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7.występowanie do samorządu gminy z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4.podejmowanie inicjatyw związanych z budową infrastruktury wiejskiej: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 tworzenie płaszczyzny wymiany informacji i doświadczeń pomiędzy osobami i instytucjami zainteresowanymi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członków Trzynastego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</w:t>
            </w:r>
            <w:r>
              <w:rPr>
                <w:rFonts w:ascii="Times New Roman" w:hAnsi="Times New Roman" w:cs="Times New Roman"/>
              </w:rPr>
              <w:lastRenderedPageBreak/>
              <w:t xml:space="preserve">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zaskarżanie w formie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</w:t>
            </w:r>
            <w:r>
              <w:rPr>
                <w:b/>
                <w:bCs/>
                <w:u w:val="single"/>
              </w:rPr>
              <w:lastRenderedPageBreak/>
              <w:t>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Klub Hodowców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Grunwaldzka 10, 83 – </w:t>
            </w:r>
            <w:r>
              <w:rPr>
                <w:rFonts w:ascii="Times New Roman" w:hAnsi="Times New Roman" w:cs="Times New Roman"/>
              </w:rPr>
              <w:lastRenderedPageBreak/>
              <w:t>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– Bogdan </w:t>
            </w:r>
            <w:r>
              <w:rPr>
                <w:rFonts w:ascii="Times New Roman" w:hAnsi="Times New Roman" w:cs="Times New Roman"/>
              </w:rPr>
              <w:lastRenderedPageBreak/>
              <w:t>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</w:t>
            </w:r>
            <w:r>
              <w:rPr>
                <w:b/>
                <w:bCs/>
                <w:u w:val="single"/>
              </w:rPr>
              <w:lastRenderedPageBreak/>
              <w:t>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różnorodnych akcji przeciwstawiających się próbom zakłócenia porządku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 xml:space="preserve">państwowej oraz parlamentarzystami w zakresie dotyczącym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organizowanie spotkań, prelekcji, imprez, współpraca z wszelkimi osobami i instytucjami o podobnych celach działania, wspieranie działań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Stowarzyszenie Wariant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1.czynne uczestniczenie w konsultacjach społecznych dotyczących planowania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lastRenderedPageBreak/>
              <w:t xml:space="preserve">Stowarzyszenie zwykłe jest reprezentowane przez </w:t>
            </w:r>
            <w:r w:rsidRPr="003A398C">
              <w:rPr>
                <w:rFonts w:ascii="Times New Roman" w:hAnsi="Times New Roman" w:cs="Times New Roman"/>
              </w:rPr>
              <w:lastRenderedPageBreak/>
              <w:t xml:space="preserve">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</w:t>
            </w:r>
            <w:r>
              <w:rPr>
                <w:b/>
                <w:bCs/>
                <w:u w:val="single"/>
              </w:rPr>
              <w:lastRenderedPageBreak/>
              <w:t>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Pr="003A398C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reprezentowane przez przedstawiciela</w:t>
            </w:r>
            <w:r w:rsidRPr="00E67357">
              <w:rPr>
                <w:rFonts w:ascii="Times New Roman" w:hAnsi="Times New Roman" w:cs="Times New Roman"/>
              </w:rPr>
              <w:lastRenderedPageBreak/>
              <w:t xml:space="preserve">: </w:t>
            </w:r>
            <w:r>
              <w:rPr>
                <w:rFonts w:ascii="Times New Roman" w:hAnsi="Times New Roman" w:cs="Times New Roman"/>
              </w:rPr>
              <w:t>Bernard Pawlak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rozpowszechnianie informacji psach ratowniczych za pośrednictwem 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10.troska o transparentność działań organów Gminy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Przekształcenie w 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działanie na rzecz umuzykalniania 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10.budowanie więzi międzyludzkich i społecznych, aktywizacja społeczności lokalnej oraz budowanie społeczeństwa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16.propoagowanie rożnych form ubezpieczeń i wspieranie umożliwienia przystąpienia do programów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5.opracowywanie i realizowanie programów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 xml:space="preserve">oraz wyposażenie i sprzęt techniczny, organizację warsztatów muzycznych i wyjazdów konkursowych,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udzielanie pomocy materialnej, w tym finansowej, materialnej i niematerialnej, stypendiów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33.organizowanie wypoczynku, obozów, imprez turystycznych i integracyjnych dla dzieci, młodzieży, osób niepełnosprawnych,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38.udostępnianie i wdrażanie różnorakich programów ubezpieczeń osobowych i majątkowych działu I i działu II, ich organizacja i obsługa, oraz ich propagowanie umożliwiające swobodne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działanie na rzecz promocji zdrowia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Dworcowa 6A, 83-010 Straszyn</w:t>
            </w:r>
          </w:p>
        </w:tc>
        <w:tc>
          <w:tcPr>
            <w:tcW w:w="1614" w:type="dxa"/>
          </w:tcPr>
          <w:p w:rsidR="0047126A" w:rsidRPr="00D51238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są: Marek Kozłow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rozwijanie  różnorodnych form zachęty dla młodzieży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pomoc osobom z rożnych środowisk społecznych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1.aktywizacja i integracja mieszkańców gminy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niedochodowych seminariów, szkoleń, warsztatów, koncertów, wystaw, zawodów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Stowarzyszenie zwykle jest </w:t>
            </w:r>
            <w:r>
              <w:rPr>
                <w:rFonts w:ascii="Times New Roman" w:hAnsi="Times New Roman" w:cs="Times New Roman"/>
              </w:rPr>
              <w:lastRenderedPageBreak/>
              <w:t>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Zarządu – Prezes – </w:t>
            </w:r>
            <w:r>
              <w:rPr>
                <w:rFonts w:ascii="Times New Roman" w:hAnsi="Times New Roman" w:cs="Times New Roman"/>
              </w:rPr>
              <w:lastRenderedPageBreak/>
              <w:t>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>hmielowiec, Wiceprezes – Przemysław Dymarkowski, Wiceprezes – 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447073" w:rsidRDefault="00447073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1.rozwój społeczny, kulturalny,, gospodarczy i turystyczny Województwa  Pomorskiego, a zwłaszcza Gminy Trąbki Wielkie i gmin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t>ościennych. Stowarzyszenie jest też zainteresowane tworzeniem miejsc rekreacji i turystyki oraz miejsc pamięci związanych z terenem jego działania</w:t>
            </w:r>
          </w:p>
          <w:p w:rsidR="00C13EA9" w:rsidRPr="007D5BFF" w:rsidRDefault="00C13EA9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2.stowarzyszenie zabiega o pobudzenie aktywności społecznej i zaangażowanie w sprawy lokalne oraz integrację społeczności lokalnej wokół zadań służących służących dobru wspólnemu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3EA9" w:rsidRDefault="00C13EA9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1.pozyskiwanie środków zewnętrznych, w tym dotacji na zasadach określonych</w:t>
            </w:r>
            <w:r w:rsidR="003E045E">
              <w:rPr>
                <w:rFonts w:ascii="Times New Roman" w:hAnsi="Times New Roman" w:cs="Times New Roman"/>
                <w:sz w:val="20"/>
                <w:szCs w:val="20"/>
              </w:rPr>
              <w:t xml:space="preserve"> w odrębnych przepisach,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2.zbiórkę składek członkowskich, przyjmowanie darowizn, spadków, zapisów, dochodów z majątku stowarzyszenia oraz ofiarności publicznej,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3.współpracę z organami administracji publicznej oraz innymi instytucjami i podmiotami</w:t>
            </w:r>
            <w:r w:rsidR="00885328">
              <w:rPr>
                <w:rFonts w:ascii="Times New Roman" w:hAnsi="Times New Roman" w:cs="Times New Roman"/>
                <w:sz w:val="20"/>
                <w:szCs w:val="20"/>
              </w:rPr>
              <w:t>, w tym także w zakresie udzielania i pozyskiwania dotacji, nagród, grantów itp.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4.zabieranie głosu i wyrażanie swojego stanowiska na forum publicznym,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5.kierowanie postulatów do organów administracji publicznej i władz,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innych działań sprzyjających realizacji statutowych celów stowarzyszenia.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lastRenderedPageBreak/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4.wspieranie edukacji kulturalnej społeczeństwa, zwłaszcza poprzez propagowanie wydarzeń muzycznych związanych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8.zrównoważony rozwój przedsiębiorczości w poszczególnych gminach i na terenie Powiatu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4.wyrażanie stanowisk na temat propozycji zmian prawa miejscowego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rywalizacji sportowej na arenie lokalnej, krajowej mi 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4.wspieranie osób utalentowanych w zakresie sportu, szczególnie sportów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lastRenderedPageBreak/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1.organizowanie akcji, protestów, spotkań, imprez informacyjnych i 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lastRenderedPageBreak/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 xml:space="preserve">Celem Stowarzyszenia jest działalność na rzecz utrzymania i 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lastRenderedPageBreak/>
              <w:t xml:space="preserve">Ul. Plac Kaszubski 7 </w:t>
            </w:r>
            <w:r w:rsidRPr="00FB3500">
              <w:rPr>
                <w:rFonts w:ascii="Times New Roman" w:hAnsi="Times New Roman" w:cs="Times New Roman"/>
              </w:rPr>
              <w:lastRenderedPageBreak/>
              <w:t>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lastRenderedPageBreak/>
              <w:t xml:space="preserve">Stowarzyszenie reprezentowane przed </w:t>
            </w:r>
            <w:r w:rsidRPr="00FB3500">
              <w:rPr>
                <w:rFonts w:ascii="Times New Roman" w:hAnsi="Times New Roman" w:cs="Times New Roman"/>
              </w:rPr>
              <w:lastRenderedPageBreak/>
              <w:t>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 xml:space="preserve">Regulamin uchwalony dnia </w:t>
            </w:r>
            <w:r w:rsidRPr="00FB3500">
              <w:rPr>
                <w:rFonts w:ascii="Times New Roman" w:hAnsi="Times New Roman" w:cs="Times New Roman"/>
              </w:rPr>
              <w:lastRenderedPageBreak/>
              <w:t>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społeczeństwa dotyczącej </w:t>
            </w:r>
            <w:r w:rsidRPr="00420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13.współpraca przy organizowaniu pomocy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jest </w:t>
            </w:r>
            <w:r>
              <w:rPr>
                <w:rFonts w:ascii="Times New Roman" w:hAnsi="Times New Roman" w:cs="Times New Roman"/>
              </w:rPr>
              <w:lastRenderedPageBreak/>
              <w:t>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 xml:space="preserve">w rozgrywkach i zawodach sportowych rangi gminnej, powiatowej, wojewódzkiej,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MKaczorowska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Pr="00501567" w:rsidRDefault="009032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Pr="00501567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kształtowanie poszanowania dla polski,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 xml:space="preserve">1.organizacja spotkań, eventów, zlotów, przejazdów i innych </w:t>
            </w:r>
            <w:r w:rsidRPr="00581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6.organizację imprez plenerowych promujących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 xml:space="preserve">i działań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kreowanie postaw liderskich  na wszystkich poziomach administracyjnych,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3.krzewienie kultury fizycznej wśród dzieci, młodzieży oraz ich wychowywanie przez sport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>Stowarzyszenie zwykłe w dniu 18 stycznia wpisane do ewidencji stowarzyszeń zwykłych prowadzonej przez Starostę kartuskiego, w dniu  5.11.202</w:t>
            </w:r>
            <w:r w:rsidRPr="0029438C">
              <w:rPr>
                <w:rFonts w:ascii="Times New Roman" w:hAnsi="Times New Roman" w:cs="Times New Roman"/>
              </w:rPr>
              <w:lastRenderedPageBreak/>
              <w:t>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Stowarzyszenie zwykłe jest reprezentowane </w:t>
            </w:r>
            <w:r>
              <w:rPr>
                <w:rFonts w:ascii="Times New Roman" w:hAnsi="Times New Roman" w:cs="Times New Roman"/>
              </w:rPr>
              <w:lastRenderedPageBreak/>
              <w:t>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6.zabieranie głosu i wyrażanie swojego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Działania na rzecz integracji osób i środowisk zainteresowanych ideą edukacji domowej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Wspieranie dzieci i młodzieży w ich wszechstronnym rozwoju społecznym, edukacyjnym,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Wspieranie działalności projektowej i badawczej dzieci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6.organizowanie, koordynowanie i prowadzenie szkoleń, warsztatów oraz kursów dla rodziców dzieci i młodzieży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 xml:space="preserve">owywanie i udostępnianie autorskich 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33.wspieranie innych inicjatyw, programów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2.czynny udział w przedsięwzięciach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6.promocja działań i inicjatyw społecznych, intelektualnych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b.opieka nad zabytkami, popularyzowanie i upowszechnianie wiedzy o zabytkach oraz ich znaczeniu dla historii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i.podtrzymywanie tradycji narodowej, pielęgnowanie polskości oraz rozwoju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Na Rzecz Rozwoju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Przyjaciół Zespołu Szkół  Ogólnokształcących nr 1 im. Marii Konopnickiej w Pruszczu Gdańskim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3.współudział w rozwoju bazy materialnej Zespolu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11.inicjowanie wszelkich działań zmierzających do przeciwdziałania przemocy,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 xml:space="preserve">i zewnętrznej infrastruktury Zespołu szkół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  <w:bookmarkStart w:id="0" w:name="_GoBack"/>
            <w:bookmarkEnd w:id="0"/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FC" w:rsidRDefault="00DA59FC" w:rsidP="00E55A34">
      <w:pPr>
        <w:spacing w:after="0" w:line="240" w:lineRule="auto"/>
      </w:pPr>
      <w:r>
        <w:separator/>
      </w:r>
    </w:p>
  </w:endnote>
  <w:endnote w:type="continuationSeparator" w:id="0">
    <w:p w:rsidR="00DA59FC" w:rsidRDefault="00DA59FC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FC" w:rsidRDefault="00DA59FC" w:rsidP="00E55A34">
      <w:pPr>
        <w:spacing w:after="0" w:line="240" w:lineRule="auto"/>
      </w:pPr>
      <w:r>
        <w:separator/>
      </w:r>
    </w:p>
  </w:footnote>
  <w:footnote w:type="continuationSeparator" w:id="0">
    <w:p w:rsidR="00DA59FC" w:rsidRDefault="00DA59FC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6F2F"/>
    <w:rsid w:val="0005300E"/>
    <w:rsid w:val="000541E1"/>
    <w:rsid w:val="00065AE4"/>
    <w:rsid w:val="0007024C"/>
    <w:rsid w:val="00081286"/>
    <w:rsid w:val="00087F11"/>
    <w:rsid w:val="000A1477"/>
    <w:rsid w:val="000B0C3E"/>
    <w:rsid w:val="000B3419"/>
    <w:rsid w:val="000B6D5B"/>
    <w:rsid w:val="000C3FF7"/>
    <w:rsid w:val="000D1608"/>
    <w:rsid w:val="000E491D"/>
    <w:rsid w:val="000F416A"/>
    <w:rsid w:val="00105757"/>
    <w:rsid w:val="00106598"/>
    <w:rsid w:val="00107D45"/>
    <w:rsid w:val="00110615"/>
    <w:rsid w:val="00112E06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78EA"/>
    <w:rsid w:val="001849A6"/>
    <w:rsid w:val="0019162B"/>
    <w:rsid w:val="001959D3"/>
    <w:rsid w:val="001A113D"/>
    <w:rsid w:val="001A2062"/>
    <w:rsid w:val="001B294C"/>
    <w:rsid w:val="001B5ABC"/>
    <w:rsid w:val="001C4F85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7E6D"/>
    <w:rsid w:val="00370CD6"/>
    <w:rsid w:val="00381815"/>
    <w:rsid w:val="00381E01"/>
    <w:rsid w:val="0039579C"/>
    <w:rsid w:val="003A398C"/>
    <w:rsid w:val="003A6774"/>
    <w:rsid w:val="003B0809"/>
    <w:rsid w:val="003B3AD9"/>
    <w:rsid w:val="003C2350"/>
    <w:rsid w:val="003C462F"/>
    <w:rsid w:val="003D09C1"/>
    <w:rsid w:val="003D22B8"/>
    <w:rsid w:val="003D492B"/>
    <w:rsid w:val="003D6E4C"/>
    <w:rsid w:val="003E045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359E"/>
    <w:rsid w:val="004B4119"/>
    <w:rsid w:val="004C26E5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FAE"/>
    <w:rsid w:val="0061594F"/>
    <w:rsid w:val="00620440"/>
    <w:rsid w:val="00620BFA"/>
    <w:rsid w:val="00621290"/>
    <w:rsid w:val="0063223C"/>
    <w:rsid w:val="00637AC3"/>
    <w:rsid w:val="00654C26"/>
    <w:rsid w:val="006574CB"/>
    <w:rsid w:val="00670E31"/>
    <w:rsid w:val="00673E6B"/>
    <w:rsid w:val="0067498A"/>
    <w:rsid w:val="00681326"/>
    <w:rsid w:val="00696E2E"/>
    <w:rsid w:val="006A3B43"/>
    <w:rsid w:val="006A5529"/>
    <w:rsid w:val="006A6A4B"/>
    <w:rsid w:val="006C232E"/>
    <w:rsid w:val="006C4789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A157B"/>
    <w:rsid w:val="007A3701"/>
    <w:rsid w:val="007A786B"/>
    <w:rsid w:val="007C6D32"/>
    <w:rsid w:val="007C7623"/>
    <w:rsid w:val="007C7A20"/>
    <w:rsid w:val="007D5BFF"/>
    <w:rsid w:val="007D7C7D"/>
    <w:rsid w:val="007F41A7"/>
    <w:rsid w:val="00802F61"/>
    <w:rsid w:val="00810767"/>
    <w:rsid w:val="00813A1C"/>
    <w:rsid w:val="00824A1C"/>
    <w:rsid w:val="008351C9"/>
    <w:rsid w:val="00836523"/>
    <w:rsid w:val="008441E6"/>
    <w:rsid w:val="00852045"/>
    <w:rsid w:val="00855C48"/>
    <w:rsid w:val="0086225D"/>
    <w:rsid w:val="00863188"/>
    <w:rsid w:val="00863423"/>
    <w:rsid w:val="00864768"/>
    <w:rsid w:val="00867400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4C33"/>
    <w:rsid w:val="009B6227"/>
    <w:rsid w:val="009D06F4"/>
    <w:rsid w:val="009D2A63"/>
    <w:rsid w:val="009D3A01"/>
    <w:rsid w:val="009E01E2"/>
    <w:rsid w:val="009E6174"/>
    <w:rsid w:val="009F1594"/>
    <w:rsid w:val="009F41F2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6F21"/>
    <w:rsid w:val="00A60B0C"/>
    <w:rsid w:val="00A65F59"/>
    <w:rsid w:val="00A67626"/>
    <w:rsid w:val="00A83FDA"/>
    <w:rsid w:val="00AA02B3"/>
    <w:rsid w:val="00AA1AAD"/>
    <w:rsid w:val="00AA73C4"/>
    <w:rsid w:val="00AA7D54"/>
    <w:rsid w:val="00AB5D89"/>
    <w:rsid w:val="00AC283D"/>
    <w:rsid w:val="00AC47FE"/>
    <w:rsid w:val="00AD0DE6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DDE"/>
    <w:rsid w:val="00B71B10"/>
    <w:rsid w:val="00B81D61"/>
    <w:rsid w:val="00B85CAC"/>
    <w:rsid w:val="00B918B8"/>
    <w:rsid w:val="00B92E86"/>
    <w:rsid w:val="00BA73E4"/>
    <w:rsid w:val="00BB12B4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2754F"/>
    <w:rsid w:val="00D27C85"/>
    <w:rsid w:val="00D30E30"/>
    <w:rsid w:val="00D340E2"/>
    <w:rsid w:val="00D36262"/>
    <w:rsid w:val="00D36414"/>
    <w:rsid w:val="00D41279"/>
    <w:rsid w:val="00D51238"/>
    <w:rsid w:val="00D51A29"/>
    <w:rsid w:val="00D670E2"/>
    <w:rsid w:val="00D7191E"/>
    <w:rsid w:val="00D74AE0"/>
    <w:rsid w:val="00D846C3"/>
    <w:rsid w:val="00D85E05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93BC8"/>
    <w:rsid w:val="00E97A38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82FE-040A-40C3-A144-F91F3121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1</Pages>
  <Words>17475</Words>
  <Characters>104851</Characters>
  <Application>Microsoft Office Word</Application>
  <DocSecurity>0</DocSecurity>
  <Lines>873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171</cp:revision>
  <cp:lastPrinted>2024-07-31T07:47:00Z</cp:lastPrinted>
  <dcterms:created xsi:type="dcterms:W3CDTF">2016-07-20T09:04:00Z</dcterms:created>
  <dcterms:modified xsi:type="dcterms:W3CDTF">2024-08-02T07:26:00Z</dcterms:modified>
</cp:coreProperties>
</file>