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E75" w:rsidRPr="00353CD8" w:rsidRDefault="00353CD8" w:rsidP="00353CD8">
      <w:pPr>
        <w:snapToGrid w:val="0"/>
        <w:jc w:val="right"/>
        <w:rPr>
          <w:rFonts w:eastAsia="Arial"/>
          <w:b/>
          <w:bCs/>
        </w:rPr>
      </w:pPr>
      <w:r w:rsidRPr="00353CD8">
        <w:rPr>
          <w:rFonts w:eastAsia="Arial"/>
          <w:b/>
          <w:bCs/>
        </w:rPr>
        <w:t>Załącznik Nr 2 do SIWZ</w:t>
      </w:r>
    </w:p>
    <w:p w:rsidR="00E51E75" w:rsidRDefault="00E51E75">
      <w:pPr>
        <w:snapToGrid w:val="0"/>
        <w:rPr>
          <w:rFonts w:eastAsia="Arial"/>
          <w:b/>
          <w:bCs/>
          <w:u w:val="single"/>
        </w:rPr>
      </w:pPr>
    </w:p>
    <w:p w:rsidR="00E51E75" w:rsidRDefault="00E51E75">
      <w:pPr>
        <w:snapToGrid w:val="0"/>
        <w:rPr>
          <w:rFonts w:eastAsia="Arial"/>
          <w:b/>
          <w:bCs/>
          <w:u w:val="single"/>
        </w:rPr>
      </w:pPr>
    </w:p>
    <w:p w:rsidR="00E51E75" w:rsidRDefault="00E51E75">
      <w:pPr>
        <w:snapToGrid w:val="0"/>
        <w:rPr>
          <w:rFonts w:eastAsia="Arial"/>
          <w:b/>
          <w:bCs/>
          <w:u w:val="single"/>
        </w:rPr>
      </w:pPr>
    </w:p>
    <w:p w:rsidR="00353CD8" w:rsidRPr="00353CD8" w:rsidRDefault="00353CD8" w:rsidP="005D02D0">
      <w:pPr>
        <w:tabs>
          <w:tab w:val="left" w:pos="0"/>
          <w:tab w:val="left" w:pos="5670"/>
        </w:tabs>
        <w:jc w:val="center"/>
        <w:rPr>
          <w:rFonts w:eastAsia="SimSun"/>
          <w:b/>
          <w:bCs/>
          <w:color w:val="auto"/>
          <w:sz w:val="28"/>
          <w:szCs w:val="28"/>
          <w:lang w:eastAsia="zh-CN"/>
        </w:rPr>
      </w:pPr>
      <w:r w:rsidRPr="00353CD8">
        <w:rPr>
          <w:b/>
          <w:bCs/>
          <w:sz w:val="28"/>
          <w:szCs w:val="28"/>
          <w:lang w:eastAsia="ar-SA"/>
        </w:rPr>
        <w:t xml:space="preserve">Szczegółowy opis </w:t>
      </w:r>
      <w:r w:rsidRPr="00353CD8">
        <w:rPr>
          <w:rFonts w:eastAsia="SimSun"/>
          <w:b/>
          <w:bCs/>
          <w:sz w:val="28"/>
          <w:szCs w:val="28"/>
          <w:lang w:eastAsia="zh-CN"/>
        </w:rPr>
        <w:t xml:space="preserve">parametrów </w:t>
      </w:r>
      <w:proofErr w:type="spellStart"/>
      <w:r w:rsidRPr="00353CD8">
        <w:rPr>
          <w:rFonts w:eastAsia="SimSun"/>
          <w:b/>
          <w:bCs/>
          <w:sz w:val="28"/>
          <w:szCs w:val="28"/>
          <w:lang w:eastAsia="zh-CN"/>
        </w:rPr>
        <w:t>techniczno</w:t>
      </w:r>
      <w:proofErr w:type="spellEnd"/>
      <w:r w:rsidRPr="00353CD8">
        <w:rPr>
          <w:rFonts w:eastAsia="SimSun"/>
          <w:b/>
          <w:bCs/>
          <w:sz w:val="28"/>
          <w:szCs w:val="28"/>
          <w:lang w:eastAsia="zh-CN"/>
        </w:rPr>
        <w:t xml:space="preserve"> – funkcjonalnych aparatu RTG</w:t>
      </w:r>
      <w:r w:rsidR="005D02D0">
        <w:rPr>
          <w:rFonts w:eastAsia="SimSun"/>
          <w:b/>
          <w:bCs/>
          <w:sz w:val="28"/>
          <w:szCs w:val="28"/>
          <w:lang w:eastAsia="zh-CN"/>
        </w:rPr>
        <w:t xml:space="preserve">, </w:t>
      </w:r>
      <w:bookmarkStart w:id="0" w:name="_GoBack"/>
      <w:r w:rsidR="005D02D0">
        <w:rPr>
          <w:rFonts w:eastAsia="SimSun"/>
          <w:b/>
          <w:bCs/>
          <w:sz w:val="28"/>
          <w:szCs w:val="28"/>
          <w:lang w:eastAsia="zh-CN"/>
        </w:rPr>
        <w:t>serwera PACS, oprogramowania oraz automatycznej nagrywarki</w:t>
      </w:r>
    </w:p>
    <w:bookmarkEnd w:id="0"/>
    <w:p w:rsidR="00E51E75" w:rsidRDefault="00E51E75">
      <w:pPr>
        <w:snapToGrid w:val="0"/>
        <w:jc w:val="center"/>
        <w:rPr>
          <w:rFonts w:eastAsia="Arial"/>
          <w:b/>
          <w:bCs/>
          <w:u w:val="single"/>
        </w:rPr>
      </w:pPr>
    </w:p>
    <w:p w:rsidR="00E51E75" w:rsidRDefault="00166080">
      <w:pPr>
        <w:snapToGrid w:val="0"/>
        <w:jc w:val="center"/>
        <w:rPr>
          <w:rFonts w:eastAsia="Arial"/>
          <w:b/>
          <w:bCs/>
          <w:sz w:val="28"/>
          <w:szCs w:val="28"/>
        </w:rPr>
      </w:pPr>
      <w:r>
        <w:rPr>
          <w:rFonts w:eastAsia="Arial"/>
          <w:b/>
          <w:bCs/>
          <w:sz w:val="28"/>
          <w:szCs w:val="28"/>
        </w:rPr>
        <w:t>Aparat RTG z zawieszeniem sufitowym</w:t>
      </w:r>
    </w:p>
    <w:p w:rsidR="00E51E75" w:rsidRDefault="00E51E75">
      <w:pPr>
        <w:snapToGrid w:val="0"/>
        <w:jc w:val="center"/>
        <w:rPr>
          <w:rFonts w:eastAsia="Arial"/>
          <w:b/>
          <w:bCs/>
        </w:rPr>
      </w:pPr>
    </w:p>
    <w:p w:rsidR="00E51E75" w:rsidRDefault="00166080">
      <w:pPr>
        <w:snapToGri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Producent: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E51E75" w:rsidRDefault="00166080">
      <w:pPr>
        <w:snapToGri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Model: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E51E75" w:rsidRDefault="00166080">
      <w:pPr>
        <w:snapToGri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Kraj pochodzenia: </w:t>
      </w:r>
    </w:p>
    <w:p w:rsidR="00E51E75" w:rsidRDefault="00166080">
      <w:pPr>
        <w:snapToGri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Rok produkcji: </w:t>
      </w:r>
      <w:r>
        <w:rPr>
          <w:color w:val="000000"/>
          <w:sz w:val="28"/>
          <w:szCs w:val="28"/>
        </w:rPr>
        <w:tab/>
      </w:r>
    </w:p>
    <w:p w:rsidR="00E51E75" w:rsidRDefault="00166080">
      <w:pPr>
        <w:snapToGrid w:val="0"/>
        <w:rPr>
          <w:i/>
          <w:color w:val="000000"/>
          <w:sz w:val="28"/>
          <w:szCs w:val="28"/>
        </w:rPr>
      </w:pPr>
      <w:bookmarkStart w:id="1" w:name="__DdeLink__6393_3766046462"/>
      <w:r>
        <w:rPr>
          <w:i/>
          <w:color w:val="000000"/>
          <w:sz w:val="28"/>
          <w:szCs w:val="28"/>
        </w:rPr>
        <w:t>wymagane urządzenie fabrycznie nowe, rok produkcji min. 2020 r.</w:t>
      </w:r>
      <w:bookmarkEnd w:id="1"/>
    </w:p>
    <w:p w:rsidR="00E51E75" w:rsidRDefault="00E51E75">
      <w:pPr>
        <w:snapToGrid w:val="0"/>
        <w:jc w:val="center"/>
        <w:rPr>
          <w:rFonts w:eastAsia="Arial"/>
          <w:b/>
          <w:bCs/>
        </w:rPr>
      </w:pPr>
    </w:p>
    <w:tbl>
      <w:tblPr>
        <w:tblW w:w="13522" w:type="dxa"/>
        <w:jc w:val="center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7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4"/>
        <w:gridCol w:w="5812"/>
        <w:gridCol w:w="2944"/>
        <w:gridCol w:w="1944"/>
        <w:gridCol w:w="1918"/>
      </w:tblGrid>
      <w:tr w:rsidR="00E51E75">
        <w:trPr>
          <w:cantSplit/>
          <w:trHeight w:val="142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snapToGrid w:val="0"/>
              <w:spacing w:before="100" w:after="100"/>
              <w:ind w:left="-70"/>
              <w:jc w:val="center"/>
              <w:rPr>
                <w:color w:val="000000"/>
                <w:sz w:val="20"/>
                <w:lang w:eastAsia="ar-SA"/>
              </w:rPr>
            </w:pPr>
            <w:proofErr w:type="spellStart"/>
            <w:r>
              <w:rPr>
                <w:color w:val="000000"/>
                <w:sz w:val="20"/>
                <w:lang w:eastAsia="ar-SA"/>
              </w:rPr>
              <w:t>L.p</w:t>
            </w:r>
            <w:proofErr w:type="spellEnd"/>
            <w:r>
              <w:rPr>
                <w:color w:val="000000"/>
                <w:sz w:val="20"/>
                <w:lang w:eastAsia="ar-SA"/>
              </w:rPr>
              <w:t>.</w:t>
            </w: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OPIS PARAMETRÓW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Nagwek7"/>
              <w:keepLines w:val="0"/>
              <w:suppressAutoHyphens/>
              <w:spacing w:before="0"/>
              <w:jc w:val="both"/>
              <w:textAlignment w:val="baseline"/>
              <w:rPr>
                <w:rFonts w:ascii="Times New Roman" w:hAnsi="Times New Roman"/>
                <w:i w:val="0"/>
                <w:lang w:eastAsia="ar-SA"/>
              </w:rPr>
            </w:pPr>
            <w:r>
              <w:rPr>
                <w:rFonts w:ascii="Times New Roman" w:hAnsi="Times New Roman"/>
                <w:i w:val="0"/>
                <w:lang w:eastAsia="ar-SA"/>
              </w:rPr>
              <w:t>WYMAGANE WARTOŚCI GRANICZNE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WARTOŚCI, PARAMETRY, DANE TECHNICZNE </w:t>
            </w:r>
          </w:p>
          <w:p w:rsidR="00E51E75" w:rsidRDefault="00166080">
            <w:pPr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(wypełnia Wykonawca)</w:t>
            </w: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bCs/>
              </w:rPr>
            </w:pPr>
            <w:r>
              <w:rPr>
                <w:bCs/>
              </w:rPr>
              <w:t>PUNKTACJA</w:t>
            </w:r>
          </w:p>
        </w:tc>
      </w:tr>
      <w:tr w:rsidR="00E51E75">
        <w:trPr>
          <w:cantSplit/>
          <w:trHeight w:val="142"/>
          <w:jc w:val="center"/>
        </w:trPr>
        <w:tc>
          <w:tcPr>
            <w:tcW w:w="13522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</w:pPr>
            <w:r>
              <w:t>CYFROWY APARAT RENTGENOWSKI Z LAMPĄ RTG NA ZAWIESZENIU SUFITOWYM</w:t>
            </w:r>
          </w:p>
        </w:tc>
      </w:tr>
      <w:tr w:rsidR="00E51E75">
        <w:trPr>
          <w:cantSplit/>
          <w:trHeight w:val="142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-70" w:right="-329" w:firstLine="0"/>
              <w:jc w:val="right"/>
              <w:textAlignment w:val="baseline"/>
              <w:rPr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snapToGrid w:val="0"/>
              <w:spacing w:line="100" w:lineRule="atLeast"/>
            </w:pPr>
            <w:r>
              <w:rPr>
                <w:sz w:val="18"/>
                <w:szCs w:val="18"/>
                <w:lang w:val="pl-PL"/>
              </w:rPr>
              <w:t>Producent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snapToGrid w:val="0"/>
              <w:spacing w:line="100" w:lineRule="atLeast"/>
              <w:jc w:val="center"/>
              <w:rPr>
                <w:bCs/>
                <w:sz w:val="18"/>
                <w:szCs w:val="18"/>
                <w:lang w:val="pl-PL"/>
              </w:rPr>
            </w:pPr>
            <w:r>
              <w:rPr>
                <w:bCs/>
                <w:sz w:val="18"/>
                <w:szCs w:val="18"/>
                <w:lang w:val="pl-PL"/>
              </w:rPr>
              <w:t>Podać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42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-70" w:right="-329" w:firstLine="0"/>
              <w:jc w:val="right"/>
              <w:textAlignment w:val="baseline"/>
              <w:rPr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Podtytu"/>
              <w:jc w:val="left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 xml:space="preserve">Typ / Model   </w:t>
            </w:r>
            <w:r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Podać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42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-70" w:right="-329" w:firstLine="0"/>
              <w:jc w:val="right"/>
              <w:textAlignment w:val="baseline"/>
              <w:rPr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Podtytu"/>
              <w:jc w:val="left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Aparat RTG fabrycznie nowy, rok produkcji 2020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-70" w:right="-329" w:firstLine="0"/>
              <w:jc w:val="right"/>
              <w:textAlignment w:val="baseline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Aparat z 2 detektorami cyfrowymi - jeden detektor bezprzewodowy w stole        i jeden detektor w stojaku do zdjęć odległościowych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-70" w:right="-329" w:firstLine="0"/>
              <w:jc w:val="right"/>
              <w:textAlignment w:val="baseline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Deklaracja zgodności na oferowany aparat cyfrowy w całości jako wyrób medyczny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TAK, dołączyć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-70" w:right="-329" w:firstLine="0"/>
              <w:jc w:val="right"/>
              <w:textAlignment w:val="baseline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r>
              <w:rPr>
                <w:sz w:val="18"/>
                <w:szCs w:val="18"/>
              </w:rPr>
              <w:t xml:space="preserve">Wszystkie podstawowe elementy aparatu jak: stół, stojak, detektory, generator, lampa RTG, oprogramowanie konsoli operatora - wyprodukowane przez </w:t>
            </w:r>
            <w:r>
              <w:rPr>
                <w:sz w:val="18"/>
                <w:szCs w:val="18"/>
                <w:lang w:eastAsia="en-US"/>
              </w:rPr>
              <w:t xml:space="preserve">jednego producenta. </w:t>
            </w:r>
          </w:p>
          <w:p w:rsidR="00E51E75" w:rsidRDefault="00166080">
            <w:r>
              <w:rPr>
                <w:sz w:val="18"/>
                <w:szCs w:val="18"/>
                <w:lang w:eastAsia="en-US"/>
              </w:rPr>
              <w:t xml:space="preserve">Dopuszcza się jeden element (lampa lub detektory) innego producenta   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TAK, podać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-70" w:right="-329" w:firstLine="0"/>
              <w:jc w:val="right"/>
              <w:textAlignment w:val="baseline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Jedna konsola operatora do sterowania aparatem, generatorem oraz cyfrowymi detektorami. Sterowanie poprzez monitor dotykowy, klawiaturę, mysz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-70" w:right="-329" w:firstLine="0"/>
              <w:jc w:val="right"/>
              <w:textAlignment w:val="baseline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Detektory w pełni zintegrowane z aparatem na etapie jego produkcji przez producenta aparatu RTG oraz objęte jedną deklaracją zgodności w ramach kompletnego aparatu RTG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-70" w:right="-329" w:firstLine="0"/>
              <w:jc w:val="right"/>
              <w:textAlignment w:val="baseline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Autoryzowany serwis producenta świadczony przez Wykonawcę, dołączyć dokument potwierdzający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13522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GENERATOR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Producent, typ, model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Podać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Generator wysokiej częstotliwości min. 100kHz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TAK, podać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≥200kHz– 1 pkt</w:t>
            </w:r>
          </w:p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&lt;200kHz – 0 pkt 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Moc wyjściowa generatora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 50kW, podać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napięcia roboczego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40 - 150kV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Minimalny czas ekspozycji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1ms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Maksymalny czas ekspozycji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≥6000ms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Zakres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miliamperów</w:t>
            </w:r>
            <w:proofErr w:type="spellEnd"/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≤10 - ≥600mA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Zakres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miliamperosekund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≤0,1 -  ≥600 </w:t>
            </w:r>
            <w:proofErr w:type="spellStart"/>
            <w:r>
              <w:rPr>
                <w:sz w:val="18"/>
                <w:szCs w:val="18"/>
              </w:rPr>
              <w:t>mAs</w:t>
            </w:r>
            <w:proofErr w:type="spellEnd"/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Możliwość przypisania maksymalnej wartości obciążenia prądowo-czasowego do każdego programu anatomicznego z osobna (tzw. backup </w:t>
            </w:r>
            <w:proofErr w:type="spellStart"/>
            <w:r>
              <w:rPr>
                <w:sz w:val="18"/>
                <w:szCs w:val="18"/>
              </w:rPr>
              <w:t>mAs</w:t>
            </w:r>
            <w:proofErr w:type="spellEnd"/>
            <w:r>
              <w:rPr>
                <w:sz w:val="18"/>
                <w:szCs w:val="18"/>
              </w:rPr>
              <w:t xml:space="preserve"> dla każdej zaprogramowanej projekcji)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Automatyczna kontrola ekspozycji 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Ręczny dobór parametrów ekspozycji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Tryb programów anatomicznych zintegrowany z menu wyboru projekcji w systemie akwizycji obrazu DR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Synchronizacja nastaw programów anatomicznych z generatorem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Autodiagnostyka aparatu RTG z komunikatami o błędach na konsoli operatora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Zasilanie trójfazowe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400V/ 50Hz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  <w:vAlign w:val="center"/>
          </w:tcPr>
          <w:p w:rsidR="00E51E75" w:rsidRDefault="00E51E75">
            <w:pPr>
              <w:pStyle w:val="Zawartotabeli"/>
              <w:snapToGrid w:val="0"/>
              <w:spacing w:before="100" w:after="10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vAlign w:val="center"/>
          </w:tcPr>
          <w:p w:rsidR="00E51E75" w:rsidRDefault="00166080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LAMPA RTG, KOLIMATOR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Producent, typ, model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Podać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Wielkość małego ogniska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0,6mm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Moc małego ogniska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≥ 25kW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Wielkość dużego ogniska 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1,2mm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Moc dużego ogniska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≥ 75kW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Pojemność cieplna anody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 300KHU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Pojemność cieplna kołpaka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 1200KHU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Nominalne obroty anody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≥ 8500 </w:t>
            </w:r>
            <w:proofErr w:type="spellStart"/>
            <w:r>
              <w:rPr>
                <w:sz w:val="18"/>
                <w:szCs w:val="18"/>
              </w:rPr>
              <w:t>obr</w:t>
            </w:r>
            <w:proofErr w:type="spellEnd"/>
            <w:r>
              <w:rPr>
                <w:sz w:val="18"/>
                <w:szCs w:val="18"/>
              </w:rPr>
              <w:t>./ min.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Miernik dawki zintegrowany z kolimatorem i z prezentacją wartości dawki na konsoli operatora i zapisem w pliku </w:t>
            </w:r>
            <w:proofErr w:type="spellStart"/>
            <w:r>
              <w:rPr>
                <w:sz w:val="18"/>
                <w:szCs w:val="18"/>
              </w:rPr>
              <w:t>Dicom</w:t>
            </w:r>
            <w:proofErr w:type="spellEnd"/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snapToGrid w:val="0"/>
              <w:spacing w:line="100" w:lineRule="atLeast"/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punktacji</w:t>
            </w:r>
            <w:proofErr w:type="spellEnd"/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Kolimacja manualna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 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spacing w:line="100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punktacji</w:t>
            </w:r>
            <w:proofErr w:type="spellEnd"/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Automatyka zabezpieczenia lampy przed przegrzaniem  z informacją o wykorzystanej pojemności cieplnej lampy RTG na konsoli operatora w %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Obrót kolimatora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+/- 90°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Dotykowy, czytelny panel LCD min 8” na kołpaku z możliwością zmiany warunków ekspozycji i pola komory układu ACE, wybór miejsca pracy (stół, statyw, wolna ekspozycja), funkcją wyświetlania obrazu/badania wraz z możliwością akceptacji lub odrzucenia badania, wyświetlanie kąta obrotu lampy, wyświetlanie odległości SID (lampa – detektor)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snapToGrid w:val="0"/>
              <w:spacing w:line="100" w:lineRule="atLeast"/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TAK, </w:t>
            </w:r>
            <w:proofErr w:type="spellStart"/>
            <w:r>
              <w:rPr>
                <w:bCs/>
                <w:iCs/>
                <w:sz w:val="18"/>
                <w:szCs w:val="18"/>
              </w:rPr>
              <w:t>podać</w:t>
            </w:r>
            <w:proofErr w:type="spellEnd"/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10” – 0 pkt</w:t>
            </w:r>
          </w:p>
          <w:p w:rsidR="00E51E75" w:rsidRDefault="00166080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&gt; 10” – 1 </w:t>
            </w:r>
            <w:proofErr w:type="spellStart"/>
            <w:r>
              <w:rPr>
                <w:sz w:val="18"/>
                <w:szCs w:val="18"/>
              </w:rPr>
              <w:t>pkt</w:t>
            </w:r>
            <w:proofErr w:type="spellEnd"/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Dotykowy panel LCD na kołpaku pozwalający na wyświetlenie danych o badaniu, godzinie i dacie oraz pacjencie (imię i nazwisko)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snapToGrid w:val="0"/>
              <w:spacing w:line="100" w:lineRule="atLeast"/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punktacji</w:t>
            </w:r>
            <w:proofErr w:type="spellEnd"/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Dotykowy panel LCD z możliwością pionowego odczytu w momencie, kiedy lampa z kołpakiem obrócona jest o 90° np. zdjęcia z użyciem statywu płucnego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snapToGrid w:val="0"/>
              <w:spacing w:line="100" w:lineRule="atLeast"/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TAK/NIE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– 0 pkt</w:t>
            </w:r>
          </w:p>
          <w:p w:rsidR="00E51E75" w:rsidRDefault="00166080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 – 1 </w:t>
            </w:r>
            <w:proofErr w:type="spellStart"/>
            <w:r>
              <w:rPr>
                <w:sz w:val="18"/>
                <w:szCs w:val="18"/>
              </w:rPr>
              <w:t>pkt</w:t>
            </w:r>
            <w:proofErr w:type="spellEnd"/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Miarka centymetrowa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snapToGrid w:val="0"/>
              <w:spacing w:line="100" w:lineRule="atLeast"/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punktacji</w:t>
            </w:r>
            <w:proofErr w:type="spellEnd"/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Wskaźnik laserowy 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snapToGrid w:val="0"/>
              <w:spacing w:line="100" w:lineRule="atLeast"/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punktacji</w:t>
            </w:r>
            <w:proofErr w:type="spellEnd"/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Filtry utwardzające promieniowanie rentgenowskie; 2,0mm Al, 1mmAl+0,1mmCu, 1mmAl+0,2mmCu, zabudowane w kolimatorze nieprzesłaniające pola ekspozycyjnego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snapToGrid w:val="0"/>
              <w:spacing w:line="100" w:lineRule="atLeast"/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punktacji</w:t>
            </w:r>
            <w:proofErr w:type="spellEnd"/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Fabrycznie zapewniona możliwość instalacji lampy RTG innego producenta niż lampa zaoferowana, podać typ i producenta zaoferowanej lampy oraz co najmniej jednego zamiennika  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snapToGrid w:val="0"/>
              <w:spacing w:line="100" w:lineRule="atLeast"/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proofErr w:type="spellStart"/>
            <w:r>
              <w:rPr>
                <w:sz w:val="18"/>
                <w:szCs w:val="18"/>
              </w:rPr>
              <w:t>zamiennik</w:t>
            </w:r>
            <w:proofErr w:type="spellEnd"/>
            <w:r>
              <w:rPr>
                <w:sz w:val="18"/>
                <w:szCs w:val="18"/>
              </w:rPr>
              <w:t xml:space="preserve"> – 1pkt</w:t>
            </w:r>
          </w:p>
          <w:p w:rsidR="00E51E75" w:rsidRDefault="00166080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proofErr w:type="spellStart"/>
            <w:r>
              <w:rPr>
                <w:sz w:val="18"/>
                <w:szCs w:val="18"/>
              </w:rPr>
              <w:t>zamienniki</w:t>
            </w:r>
            <w:proofErr w:type="spellEnd"/>
            <w:r>
              <w:rPr>
                <w:sz w:val="18"/>
                <w:szCs w:val="18"/>
              </w:rPr>
              <w:t xml:space="preserve"> - 3pkt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13522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vAlign w:val="center"/>
          </w:tcPr>
          <w:p w:rsidR="00E51E75" w:rsidRDefault="00166080">
            <w:pPr>
              <w:pStyle w:val="Zawartotabeli"/>
              <w:snapToGrid w:val="0"/>
              <w:spacing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RUCHOMA KOLUMNA LAMPY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Kolumna z zawieszeniem sufitowym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Zakres poprzecznego ruchu wózka z kolumną i kołpakiem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min. 1900 mm, podać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Zakres wzdłużnego ruchu wózka z kolumną i kołpakiem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min. 3000 mm, podać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pacing w:before="120"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Zakres pionowego ruchu kołpaka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min. 1600 mm, podać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Zakres obrotu kolumny teleskopowej wokół osi pionowej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</w:pPr>
            <w:r>
              <w:rPr>
                <w:color w:val="000000"/>
                <w:sz w:val="18"/>
                <w:szCs w:val="18"/>
              </w:rPr>
              <w:t>min. + 180</w:t>
            </w:r>
            <w:r>
              <w:rPr>
                <w:color w:val="000000"/>
                <w:spacing w:val="4"/>
                <w:sz w:val="18"/>
                <w:szCs w:val="18"/>
              </w:rPr>
              <w:t>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3"/>
                <w:sz w:val="18"/>
                <w:szCs w:val="18"/>
              </w:rPr>
              <w:t>- 130</w:t>
            </w:r>
            <w:r>
              <w:rPr>
                <w:color w:val="000000"/>
                <w:spacing w:val="4"/>
                <w:sz w:val="18"/>
                <w:szCs w:val="18"/>
              </w:rPr>
              <w:t>°, podać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Zakres obrotu kołpaka z lampą RTG wokół osi poziomej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hd w:val="clear" w:color="auto" w:fill="FFFFFF"/>
              <w:spacing w:before="120" w:after="120"/>
              <w:jc w:val="center"/>
              <w:rPr>
                <w:color w:val="000000"/>
                <w:spacing w:val="3"/>
                <w:sz w:val="18"/>
                <w:szCs w:val="18"/>
              </w:rPr>
            </w:pPr>
            <w:r>
              <w:rPr>
                <w:color w:val="000000"/>
                <w:spacing w:val="3"/>
                <w:sz w:val="18"/>
                <w:szCs w:val="18"/>
              </w:rPr>
              <w:t>min. ±120°, podać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Zmotoryzowany ruch pionowy kolumny z lampą </w:t>
            </w:r>
            <w:proofErr w:type="spellStart"/>
            <w:r>
              <w:rPr>
                <w:color w:val="000000"/>
                <w:sz w:val="18"/>
                <w:szCs w:val="18"/>
              </w:rPr>
              <w:t>rtg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 tzw. funkcja </w:t>
            </w:r>
            <w:proofErr w:type="spellStart"/>
            <w:r>
              <w:rPr>
                <w:color w:val="000000"/>
                <w:sz w:val="18"/>
                <w:szCs w:val="18"/>
              </w:rPr>
              <w:t>autotrackingu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(nadążność lampy RTG za detektorem w stole z zachowaniem SID)   z możliwością ręcznego wykonywania ruchów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Automatyczny ruch nadążny lampy </w:t>
            </w:r>
            <w:proofErr w:type="spellStart"/>
            <w:r>
              <w:rPr>
                <w:color w:val="000000"/>
                <w:sz w:val="18"/>
                <w:szCs w:val="18"/>
              </w:rPr>
              <w:t>rtg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zgodnie z pionowym ruchem uchwytu  </w:t>
            </w:r>
            <w:proofErr w:type="spellStart"/>
            <w:r>
              <w:rPr>
                <w:color w:val="000000"/>
                <w:sz w:val="18"/>
                <w:szCs w:val="18"/>
              </w:rPr>
              <w:t>Bucky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statywie do zdjęć odległościowych z zachowaniem odległości SID (Source Image </w:t>
            </w:r>
            <w:proofErr w:type="spellStart"/>
            <w:r>
              <w:rPr>
                <w:color w:val="000000"/>
                <w:sz w:val="18"/>
                <w:szCs w:val="18"/>
              </w:rPr>
              <w:t>Distance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Autopozycjonowanie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lampy RTG do zadanej odległości SID dla stołu RTG oraz </w:t>
            </w:r>
            <w:proofErr w:type="spellStart"/>
            <w:r>
              <w:rPr>
                <w:color w:val="000000"/>
                <w:sz w:val="18"/>
                <w:szCs w:val="18"/>
              </w:rPr>
              <w:t>autopozycjonowanie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lampy RTG względem środka </w:t>
            </w:r>
            <w:proofErr w:type="spellStart"/>
            <w:r>
              <w:rPr>
                <w:color w:val="000000"/>
                <w:sz w:val="18"/>
                <w:szCs w:val="18"/>
              </w:rPr>
              <w:t>Bucky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dla statywu płucnego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13522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STÓŁ Z PŁYWAJĄCYM, PODNOSZONYM BLATEM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Automatyczna kontrola ekspozycji min. trzypolowa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TAK, podać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Szerokość blatu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≥85cm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&lt;90cm - 0pkt</w:t>
            </w:r>
          </w:p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≥90cm - 1pkt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Długość blatu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≥215cm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ruchu poprzecznego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 30cm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22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Zakres ruchu wzdłużnego 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≥75cm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22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Standard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Najniższe położenie blatu stołu od podłogi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Standard"/>
              <w:spacing w:line="10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≤ 55 cm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pacing w:line="100" w:lineRule="atLeas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Standard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Zakres regulacji wysokości blatu stołu 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≥25cm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Kratka przeciw rozproszeniowa umożliwiająca wykonanie zdjęć z odległości SID = 100 cm, gęstość kratki 40 linii/cm, współczynnik kratki 10:1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</w:pPr>
            <w:r>
              <w:rPr>
                <w:sz w:val="18"/>
                <w:szCs w:val="18"/>
                <w:lang w:eastAsia="en-US"/>
              </w:rPr>
              <w:t xml:space="preserve">Ręczne wyjmowanie kratki </w:t>
            </w:r>
            <w:proofErr w:type="spellStart"/>
            <w:r>
              <w:rPr>
                <w:sz w:val="18"/>
                <w:szCs w:val="18"/>
                <w:lang w:eastAsia="en-US"/>
              </w:rPr>
              <w:t>przeciwrozproszeniowej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(bez użycia narzędzi)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Dopuszczalne obciążenie stołu przez pacjenta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≥250kg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Blat stołu całkowicie płaski, bez widocznych ram utrudniających przemieszczanie pacjenta i dezynfekcję blatu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TAK/NIE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– 0 pkt</w:t>
            </w:r>
          </w:p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 – 1 pkt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Odległość powierzchnia płyty stołu-kaseta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≤ 80mm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Pochłanialność blatu stołu RTG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≤1 mm Al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Realizacja funkcji przemieszczania blatu stołu przyciskami nożnymi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Realizacja funkcji przemieszczania blatu stołu pilotem lub przyciskami ręcznymi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TAK/NIE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– 0 pkt</w:t>
            </w:r>
          </w:p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 – 1 pkt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Wyłącznik zabezpieczający przed przypadkowym zwolnieniem blokad ruchu blatu stołu  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System antykolizyjny wyłączający pionowy ruch blatu po napotkaniu przeszkody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Standard"/>
              <w:spacing w:line="100" w:lineRule="atLeas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Szuflada na detektor bezprzewodowy Wi-Fi z funkcją zasilania/ładowania detektora.</w:t>
            </w:r>
          </w:p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Detektor zaczyna ładować się automatyczne po włożeniu do szuflady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Uchwyt do zdjęć promieniem poziomym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Uchwyty dla rąk po dwóch stronach blatu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13522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 xml:space="preserve">  STOJAK DO ZDJĘĆ ODLEGŁOŚCIOWYCH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Automatyczna kontrola ekspozycji min. trzypolowa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TAK, podać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Najniższe położenie punktu centralnego detektora w stojaku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40cm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≥ 35 ≤ 40cm – 0pkt</w:t>
            </w:r>
          </w:p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 35 – 1 pkt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ruchu pionowego detektora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≥145cm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Możliwość wykonywania badań odległościowych o zakresie 110-180cm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punktacji</w:t>
            </w:r>
            <w:proofErr w:type="spellEnd"/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Kratka </w:t>
            </w:r>
            <w:proofErr w:type="spellStart"/>
            <w:r>
              <w:rPr>
                <w:sz w:val="18"/>
                <w:szCs w:val="18"/>
                <w:lang w:eastAsia="en-US"/>
              </w:rPr>
              <w:t>przeciwrozproszeniowa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umożliwiająca wykonanie zdjęć płuc z odległości SID = 180 cm, gęstość kratki 40 linii/cm, współczynnik kratki 10:1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punktacji</w:t>
            </w:r>
            <w:proofErr w:type="spellEnd"/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Ręczne wyjmowanie kratki </w:t>
            </w:r>
            <w:proofErr w:type="spellStart"/>
            <w:r>
              <w:rPr>
                <w:sz w:val="18"/>
                <w:szCs w:val="18"/>
                <w:lang w:eastAsia="en-US"/>
              </w:rPr>
              <w:t>przeciwrozproszeniowej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(bez użycia narzędzi)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punktacji</w:t>
            </w:r>
            <w:proofErr w:type="spellEnd"/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Zlokalizowany na kolumnie statywu do zdjęć odległościowych czytelny  wyświetlacz  podający min. dane pacjenta oraz informację czy w statywie znajduje się kratka </w:t>
            </w:r>
            <w:proofErr w:type="spellStart"/>
            <w:r>
              <w:rPr>
                <w:sz w:val="18"/>
                <w:szCs w:val="18"/>
                <w:lang w:eastAsia="en-US"/>
              </w:rPr>
              <w:t>przeciwrozproszeniowa</w:t>
            </w:r>
            <w:proofErr w:type="spellEnd"/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TAK/NIE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- 0pkt</w:t>
            </w:r>
          </w:p>
          <w:p w:rsidR="00E51E75" w:rsidRDefault="00166080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 – 1 </w:t>
            </w:r>
            <w:proofErr w:type="spellStart"/>
            <w:r>
              <w:rPr>
                <w:sz w:val="18"/>
                <w:szCs w:val="18"/>
              </w:rPr>
              <w:t>pkt</w:t>
            </w:r>
            <w:proofErr w:type="spellEnd"/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Trwałe oznaczenie obszaru aktywnego detektora oraz położenia komór jonizacyjnych systemu AEC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punktacji</w:t>
            </w:r>
            <w:proofErr w:type="spellEnd"/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Odległość płyta statywu – detektor obrazu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≤ 45mm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punktacji</w:t>
            </w:r>
            <w:proofErr w:type="spellEnd"/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Pochłanialność płyty statywu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≤ 1,0 mm Al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punktacji</w:t>
            </w:r>
            <w:proofErr w:type="spellEnd"/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Komplet uchwytów pacjenta do projekcji PA i LAT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Blokowanie wysokości pulpitu </w:t>
            </w:r>
            <w:proofErr w:type="spellStart"/>
            <w:r>
              <w:rPr>
                <w:sz w:val="18"/>
                <w:szCs w:val="18"/>
              </w:rPr>
              <w:t>Bucky</w:t>
            </w:r>
            <w:proofErr w:type="spellEnd"/>
            <w:r>
              <w:rPr>
                <w:sz w:val="18"/>
                <w:szCs w:val="18"/>
              </w:rPr>
              <w:t xml:space="preserve"> za  pomocą hamulca elektromagnetycznego 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Przycisk włącz/wyłącz dla automatycznego nadążania lampy za ruchem pionowym </w:t>
            </w:r>
            <w:proofErr w:type="spellStart"/>
            <w:r>
              <w:rPr>
                <w:sz w:val="18"/>
                <w:szCs w:val="18"/>
              </w:rPr>
              <w:t>Bucky</w:t>
            </w:r>
            <w:proofErr w:type="spellEnd"/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1352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E51E75" w:rsidRDefault="00166080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CYFROWY BEZPRZEWODOWY PŁASKI PRZENOŚNY DETEKTOR W STOLE 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Producent, typ, model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Podać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Płaski bezprzewodowy detektor cyfrowy do wykonywania badań  z wymiennymi akumulatorami bez konieczności ładowania całego detektora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Materiał warstwy scyntylacyjnej </w:t>
            </w:r>
            <w:proofErr w:type="spellStart"/>
            <w:r>
              <w:rPr>
                <w:sz w:val="18"/>
                <w:szCs w:val="18"/>
              </w:rPr>
              <w:t>Csl</w:t>
            </w:r>
            <w:proofErr w:type="spellEnd"/>
            <w:r>
              <w:rPr>
                <w:sz w:val="18"/>
                <w:szCs w:val="18"/>
              </w:rPr>
              <w:t xml:space="preserve"> (jodek cezu)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Max obciążenie detektora (na całej powierzchni detektora)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jc w:val="center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≥ 160 kg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Maks. Punktowe [4x4 cm] obciążenie detektora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jc w:val="center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≥ 100 kg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 xml:space="preserve">Rozmiar aktywny detektora 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jc w:val="center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35 x 43cm ± 1cm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 xml:space="preserve">Grubość detektora 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jc w:val="center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≤ 15 mm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Standard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Waga detektora z baterią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jc w:val="center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≤ 3,2 kg, podać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pacing w:line="100" w:lineRule="atLeast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Standard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 xml:space="preserve">Rozdzielczość detektora wyrażona liczbą  pikseli  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jc w:val="center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≥7mln, podać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Rozmiar piksela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jc w:val="center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≤ 145µm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≥140 ≤ 145µm – 0pkt</w:t>
            </w:r>
          </w:p>
          <w:p w:rsidR="00E51E75" w:rsidRDefault="00166080">
            <w:pPr>
              <w:snapToGrid w:val="0"/>
              <w:spacing w:line="100" w:lineRule="atLeast"/>
              <w:jc w:val="center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&lt; 140µm – 1 pkt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Głębokość akwizycji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jc w:val="center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≥ 16bit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DQE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jc w:val="center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≥ 70%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Rozdzielczość detektora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jc w:val="center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 xml:space="preserve">≥3,6 </w:t>
            </w:r>
            <w:proofErr w:type="spellStart"/>
            <w:r>
              <w:rPr>
                <w:kern w:val="2"/>
                <w:sz w:val="18"/>
                <w:szCs w:val="18"/>
                <w:lang w:eastAsia="hi-IN" w:bidi="hi-IN"/>
              </w:rPr>
              <w:t>lp</w:t>
            </w:r>
            <w:proofErr w:type="spellEnd"/>
            <w:r>
              <w:rPr>
                <w:kern w:val="2"/>
                <w:sz w:val="18"/>
                <w:szCs w:val="18"/>
                <w:lang w:eastAsia="hi-IN" w:bidi="hi-IN"/>
              </w:rPr>
              <w:t>/mm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Ładowarka umożliwiająca jednoczesne ładowanie min. 3 baterii oraz min. 4 baterie w komplecie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jc w:val="center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Maksymalna ilość ekspozycji na jednym naładowaniu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 300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Czas do pojawienia się obrazu na konsoli ≤4s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8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51E75" w:rsidRDefault="00166080">
            <w:pPr>
              <w:widowControl w:val="0"/>
              <w:snapToGrid w:val="0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Zaawansowana konstrukcja obudowy zapewniająca ochronę przed wnikaniem wody i pyłu  min. IP56.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IP56 - 0pkt</w:t>
            </w:r>
          </w:p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 IP56 – 1 pkt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1352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CYFROWY DETEKTOR W STATYWIE PŁUCNYM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Producent, typ, model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Podać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Materiał warstwy scyntylacyjnej </w:t>
            </w:r>
            <w:proofErr w:type="spellStart"/>
            <w:r>
              <w:rPr>
                <w:sz w:val="18"/>
                <w:szCs w:val="18"/>
              </w:rPr>
              <w:t>Csl</w:t>
            </w:r>
            <w:proofErr w:type="spellEnd"/>
            <w:r>
              <w:rPr>
                <w:sz w:val="18"/>
                <w:szCs w:val="18"/>
              </w:rPr>
              <w:t xml:space="preserve"> (jodek cezu)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 xml:space="preserve">Rozmiar aktywny detektora 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jc w:val="center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43 x 43cm ± 1cm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 xml:space="preserve">Rozdzielczość detektora wyrażona liczbą  pikseli  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jc w:val="center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≥9mln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Rozmiar piksela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jc w:val="center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≤ 145µm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≥140 ≤ 145µm – 0pkt</w:t>
            </w:r>
          </w:p>
          <w:p w:rsidR="00E51E75" w:rsidRDefault="00166080">
            <w:pPr>
              <w:snapToGrid w:val="0"/>
              <w:spacing w:line="100" w:lineRule="atLeast"/>
              <w:jc w:val="center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&lt; 140µm – 1 pkt</w:t>
            </w:r>
          </w:p>
        </w:tc>
      </w:tr>
      <w:tr w:rsidR="00E51E75">
        <w:trPr>
          <w:cantSplit/>
          <w:trHeight w:val="363"/>
          <w:jc w:val="center"/>
        </w:trPr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DQE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jc w:val="center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≥ 70%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 xml:space="preserve"> 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Rozdzielczość detektora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jc w:val="center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 xml:space="preserve">≥3,6 </w:t>
            </w:r>
            <w:proofErr w:type="spellStart"/>
            <w:r>
              <w:rPr>
                <w:kern w:val="2"/>
                <w:sz w:val="18"/>
                <w:szCs w:val="18"/>
                <w:lang w:eastAsia="hi-IN" w:bidi="hi-IN"/>
              </w:rPr>
              <w:t>lp</w:t>
            </w:r>
            <w:proofErr w:type="spellEnd"/>
            <w:r>
              <w:rPr>
                <w:kern w:val="2"/>
                <w:sz w:val="18"/>
                <w:szCs w:val="18"/>
                <w:lang w:eastAsia="hi-IN" w:bidi="hi-IN"/>
              </w:rPr>
              <w:t>/mm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13522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KONSOLA OPERATORA APARATU RENTGENOWSKIEGO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Producent, typ, model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Podać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Obsługa aparatu zintegrowana w jednej konsoli  do sterowania generatorem RTG i systemem obrazowania cyfrowego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</w:pPr>
            <w:r>
              <w:rPr>
                <w:sz w:val="18"/>
                <w:szCs w:val="18"/>
              </w:rPr>
              <w:t>Kolorowy, dotykowy monitor stacji technika do wybierania warunków ekspozycji i wysyłania obrazów, co najmniej 1 monitor, z możliwością przełączenia w tryb DICOM; minimalna rozdzielczość: 1 megapiksel; minimalna, robocza przekątna ekranu: ≥ 19cali; minimalna luminancja: 200 cd/m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>; minimalny kontrast: 100/1;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</w:pPr>
            <w:r>
              <w:rPr>
                <w:sz w:val="18"/>
                <w:szCs w:val="18"/>
              </w:rPr>
              <w:t>≥ 19cali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</w:pPr>
            <w:r>
              <w:rPr>
                <w:sz w:val="18"/>
                <w:szCs w:val="18"/>
              </w:rPr>
              <w:t>≥ 19cali &lt; 22cale -0 pkt</w:t>
            </w:r>
          </w:p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 22cale – 1 pkt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Stacja technika z komputerem minimum czterordzeniowym procesorem, 8 GB RAM, dysk min. 500GB, systemem operacyjnym, dedykowanym oprogramowaniem producenta aparatu RTG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Standard"/>
              <w:spacing w:line="100" w:lineRule="atLeas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Logowanie do konsoli operatora poprzez indywidualne konto użytkownika zabezpieczone hasłem min. 5 kont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Standard"/>
              <w:spacing w:line="100" w:lineRule="atLeas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Podział użytkowników systemu na minimum 3 grupy o różnym poziomie dostępu do funkcjonalności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Możliwość obsługi za pomocą klawiatury i myszy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snapToGrid w:val="0"/>
              <w:spacing w:line="100" w:lineRule="atLeast"/>
              <w:jc w:val="center"/>
            </w:pPr>
            <w:r>
              <w:rPr>
                <w:sz w:val="18"/>
                <w:szCs w:val="18"/>
                <w:lang w:val="pl-PL"/>
              </w:rPr>
              <w:t>Bez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pl-PL"/>
              </w:rPr>
              <w:t>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Oprogramowanie konsoli w całości w języku polskim wraz z systemem pomocy kontekstowej i polskimi znakami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Wprowadzanie danych pacjenta za pomocą klawiatury i monitora dotykowego bezpośrednio na stanowisku oraz z systemu RIS z pomocą systemu </w:t>
            </w:r>
            <w:proofErr w:type="spellStart"/>
            <w:r>
              <w:rPr>
                <w:sz w:val="18"/>
                <w:szCs w:val="18"/>
              </w:rPr>
              <w:t>Dicom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Worklist</w:t>
            </w:r>
            <w:proofErr w:type="spellEnd"/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Oprogramowanie umożliwiające przypisywanie konkretnym projekcjom warunków ekspozycji, zaczernienia, ostrości i dynamiki obrazów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Wybór ustawienia pacjenta (np. AP, bok, itd.)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Ilość obrazów w pamięci (w pełnej matrycy)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AbsatzTableFormat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1000 obrazów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</w:pPr>
            <w:r>
              <w:rPr>
                <w:sz w:val="18"/>
                <w:szCs w:val="18"/>
              </w:rPr>
              <w:t>Bez punktacji</w:t>
            </w:r>
            <w:r>
              <w:rPr>
                <w:kern w:val="2"/>
                <w:sz w:val="18"/>
                <w:szCs w:val="18"/>
                <w:lang w:eastAsia="hi-IN" w:bidi="hi-IN"/>
              </w:rPr>
              <w:t xml:space="preserve"> 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Regulacja okna obrazu, jasności, kontrastu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Blendowanie</w:t>
            </w:r>
            <w:proofErr w:type="spellEnd"/>
            <w:r>
              <w:rPr>
                <w:sz w:val="18"/>
                <w:szCs w:val="18"/>
              </w:rPr>
              <w:t xml:space="preserve"> (czarne maskowanie tła) wielokątowe, ręczne z możliwością zmiany powierzchni i automatyczne 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</w:pPr>
            <w:bookmarkStart w:id="2" w:name="OLE_LINK2"/>
            <w:bookmarkStart w:id="3" w:name="OLE_LINK1"/>
            <w:bookmarkStart w:id="4" w:name="OLE_LINK3"/>
            <w:r>
              <w:rPr>
                <w:sz w:val="18"/>
                <w:szCs w:val="18"/>
              </w:rPr>
              <w:t>Funkcja obrotu</w:t>
            </w:r>
            <w:bookmarkEnd w:id="2"/>
            <w:bookmarkEnd w:id="3"/>
            <w:bookmarkEnd w:id="4"/>
            <w:r>
              <w:rPr>
                <w:sz w:val="18"/>
                <w:szCs w:val="18"/>
              </w:rPr>
              <w:t xml:space="preserve"> o dowolny kąt, powiększenie i odbicia obrazu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  <w:bookmarkStart w:id="5" w:name="_Hlk477350892"/>
            <w:bookmarkEnd w:id="5"/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Funkcja pozytyw – negatyw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Wprowadzanie danych pacjenta przy pomocy czytnika kodów kreskowych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Standard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Zdalna diagnostyka i usuwanie części usterek bez konieczności wizyt serwisu w miejscu instalacji aparatu RTG.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Standard"/>
              <w:spacing w:line="100" w:lineRule="atLeas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UPS  do podtrzymania zasilania konsoli w przypadku braku napięcia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 xml:space="preserve">Pomiary długości, kątów, kątów </w:t>
            </w:r>
            <w:proofErr w:type="spellStart"/>
            <w:r>
              <w:rPr>
                <w:kern w:val="2"/>
                <w:sz w:val="18"/>
                <w:szCs w:val="18"/>
                <w:lang w:eastAsia="hi-IN" w:bidi="hi-IN"/>
              </w:rPr>
              <w:t>Cobba</w:t>
            </w:r>
            <w:proofErr w:type="spellEnd"/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Zarządzanie bazą wykonanych badań oraz  listą pacjentów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Możliwość przypisania różnych statusów pacjentom na liście roboczej w zależności od statusu badania np.:</w:t>
            </w:r>
          </w:p>
          <w:p w:rsidR="00E51E75" w:rsidRDefault="00166080">
            <w:pPr>
              <w:snapToGrid w:val="0"/>
              <w:spacing w:line="100" w:lineRule="atLeast"/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color w:val="000000"/>
                <w:sz w:val="18"/>
                <w:szCs w:val="18"/>
              </w:rPr>
              <w:t>zaplanowany</w:t>
            </w:r>
          </w:p>
          <w:p w:rsidR="00E51E75" w:rsidRDefault="00166080">
            <w:pPr>
              <w:snapToGrid w:val="0"/>
              <w:spacing w:line="10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rozpoczęty</w:t>
            </w:r>
          </w:p>
          <w:p w:rsidR="00E51E75" w:rsidRDefault="00166080">
            <w:pPr>
              <w:snapToGrid w:val="0"/>
              <w:spacing w:line="10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otrzymany</w:t>
            </w:r>
          </w:p>
          <w:p w:rsidR="00E51E75" w:rsidRDefault="00166080">
            <w:pPr>
              <w:snapToGrid w:val="0"/>
              <w:spacing w:line="10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aktualizacja nie powiodła się</w:t>
            </w:r>
          </w:p>
          <w:p w:rsidR="00E51E75" w:rsidRDefault="00166080">
            <w:pPr>
              <w:snapToGrid w:val="0"/>
              <w:spacing w:line="10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zakończono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Funkcja wprowadzania:</w:t>
            </w:r>
          </w:p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pola tekstowego w dowolnym miejscu na obrazie</w:t>
            </w:r>
          </w:p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elektronicznych markerów z możliwością definiowania własnych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Interfejs DICOM : DICOM 3.0, </w:t>
            </w:r>
            <w:proofErr w:type="spellStart"/>
            <w:r>
              <w:rPr>
                <w:sz w:val="18"/>
                <w:szCs w:val="18"/>
              </w:rPr>
              <w:t>Work</w:t>
            </w:r>
            <w:proofErr w:type="spellEnd"/>
            <w:r>
              <w:rPr>
                <w:sz w:val="18"/>
                <w:szCs w:val="18"/>
              </w:rPr>
              <w:t xml:space="preserve"> List Manager(WLM), </w:t>
            </w:r>
            <w:proofErr w:type="spellStart"/>
            <w:r>
              <w:rPr>
                <w:sz w:val="18"/>
                <w:szCs w:val="18"/>
              </w:rPr>
              <w:t>Print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Send</w:t>
            </w:r>
            <w:proofErr w:type="spellEnd"/>
            <w:r>
              <w:rPr>
                <w:sz w:val="18"/>
                <w:szCs w:val="18"/>
              </w:rPr>
              <w:t xml:space="preserve">, nagrywanie płyt CD dla pacjenta z przeglądarką zgodną z </w:t>
            </w:r>
            <w:proofErr w:type="spellStart"/>
            <w:r>
              <w:rPr>
                <w:sz w:val="18"/>
                <w:szCs w:val="18"/>
              </w:rPr>
              <w:t>Dicom</w:t>
            </w:r>
            <w:proofErr w:type="spellEnd"/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Przypisywanie własnych ustawień do programów anatomicznych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Oprogramowanie do prowadzenia statystyk zdjęć wykonanych, odrzuconych, wg techników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 / NIE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 – 1 pkt</w:t>
            </w:r>
          </w:p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– 0 pkt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Oprogramowanie do prowadzenia statystyk zdjęć wykonanych, odrzuconych, wg przyczyn i rodzajów badań odrzuconych,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 / NIE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 – 1 pkt</w:t>
            </w:r>
          </w:p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– 0 pkt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Dostęp do badań odrzuconych, min. 100 ostatnich, na aparacie z możliwością wysłania na inny serwer do celów kontroli jakości 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Oprogramowanie pediatryczne z podziałem wiekowym i wagowym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Automatyczne dodawanie do obrazu skali centymetrowej (na brzegu monitora) lub inna metoda pomiaru długości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 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654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Funkcjonalność przywrócenia obrazu do pierwotnej postaci, cofnięcie wprowadzonych zmian wyglądu obrazu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Wydruk obrazów w trybie True </w:t>
            </w:r>
            <w:proofErr w:type="spellStart"/>
            <w:r>
              <w:rPr>
                <w:sz w:val="18"/>
                <w:szCs w:val="18"/>
              </w:rPr>
              <w:t>Size</w:t>
            </w:r>
            <w:proofErr w:type="spellEnd"/>
            <w:r>
              <w:rPr>
                <w:sz w:val="18"/>
                <w:szCs w:val="18"/>
              </w:rPr>
              <w:t xml:space="preserve"> z możliwością podziału na min. 1/2/4/8/12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Wyświetlanie współczynnika ekspozycji zgodnie z IEC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Wysyłanie sumarycznej dawki po zakończeniu badania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rPr>
                <w:rFonts w:eastAsia="Garamond"/>
                <w:sz w:val="18"/>
                <w:szCs w:val="18"/>
              </w:rPr>
            </w:pPr>
            <w:r>
              <w:rPr>
                <w:rFonts w:eastAsia="Garamond"/>
                <w:sz w:val="18"/>
                <w:szCs w:val="18"/>
              </w:rPr>
              <w:t>Oprogramowanie do wizualizacji rur intubacyjnych, opcja dostępna w chwili składania oferty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TAK/NIE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- 0pkt</w:t>
            </w:r>
          </w:p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 – 1 pkt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0"/>
              <w:rPr>
                <w:rFonts w:eastAsia="Garamond"/>
                <w:sz w:val="18"/>
                <w:szCs w:val="18"/>
                <w:lang w:bidi="ar-SA"/>
              </w:rPr>
            </w:pPr>
            <w:r>
              <w:rPr>
                <w:rFonts w:eastAsia="Garamond"/>
                <w:sz w:val="18"/>
                <w:szCs w:val="18"/>
                <w:lang w:bidi="ar-SA"/>
              </w:rPr>
              <w:t>Funkcja separacji (różnicowania) tkanki miękkiej od twardej (kości) realizowana przy użyciu dwóch energii oparta na 2 ekspozycjach z dwoma energiami (ekspozycji niskoenergetycznej i wysokoenergetycznej)  lub realizowanej podczas jednej ekspozycji przy użyciu dedykowanego oprogramowania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TAK/NIE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- 0pkt</w:t>
            </w:r>
          </w:p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 – 1 pkt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rPr>
                <w:rFonts w:eastAsia="Garamond"/>
                <w:sz w:val="18"/>
                <w:szCs w:val="18"/>
              </w:rPr>
            </w:pPr>
            <w:r>
              <w:rPr>
                <w:rFonts w:eastAsia="Garamond"/>
                <w:sz w:val="18"/>
                <w:szCs w:val="18"/>
              </w:rPr>
              <w:t>Zdalna diagnostyka i usuwanie części usterek bez konieczności wizyt serwisu w miejscu instalacji aparatu RTG.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8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UPS  do podtrzymania zasilania konsoli w przypadku braku napięcia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Przełączenie góra-dół i pozytyw-negatyw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Możliwość zmiany jasności i kontrastu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898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Regulacja skali szarości wg. histogramu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Bezpieczny sposób zapisu obrazu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Zgodność z DICOM 3.0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Realizacja funkcjonalności DICOM </w:t>
            </w:r>
            <w:proofErr w:type="spellStart"/>
            <w:r>
              <w:rPr>
                <w:sz w:val="18"/>
                <w:szCs w:val="18"/>
              </w:rPr>
              <w:t>Print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Worklist</w:t>
            </w:r>
            <w:proofErr w:type="spellEnd"/>
            <w:r>
              <w:rPr>
                <w:sz w:val="18"/>
                <w:szCs w:val="18"/>
              </w:rPr>
              <w:t xml:space="preserve">, MPPS, </w:t>
            </w:r>
            <w:proofErr w:type="spellStart"/>
            <w:r>
              <w:rPr>
                <w:sz w:val="18"/>
                <w:szCs w:val="18"/>
              </w:rPr>
              <w:t>Store</w:t>
            </w:r>
            <w:proofErr w:type="spellEnd"/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Skonfigurowanie urządzenia do pracy z  systemem informatycznym  Zamawiającego  PACS/RIS 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Oprogramowanie umożliwiające wykonanie codziennych testów monitora przeglądowego z wgranym obrazem TG18-patern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1352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INNE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2"/>
              </w:numPr>
              <w:suppressAutoHyphens/>
              <w:snapToGrid w:val="0"/>
              <w:spacing w:before="100" w:after="10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Kontrola jakości - zestaw wystarczający do wykonania wszystkich testów podstawowych wymaganych zgodnie z aktualnym Rozporządzeniem Ministra Zdrowia w sprawie warunków bezpiecznego stosowania promieniowania jonizującego dla wszystkich rodzajów ekspozycji medycznej  w aparatach wyposażonych w system AEC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2"/>
              </w:numPr>
              <w:suppressAutoHyphens/>
              <w:snapToGrid w:val="0"/>
              <w:spacing w:before="100" w:after="10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Zestaw fartuchów ochronnych (równoważnik ołowiu min. 0,35 </w:t>
            </w:r>
            <w:proofErr w:type="spellStart"/>
            <w:r>
              <w:rPr>
                <w:sz w:val="18"/>
                <w:szCs w:val="18"/>
              </w:rPr>
              <w:t>mmPb</w:t>
            </w:r>
            <w:proofErr w:type="spellEnd"/>
            <w:r>
              <w:rPr>
                <w:sz w:val="18"/>
                <w:szCs w:val="18"/>
              </w:rPr>
              <w:t>): 2xfartuch ochronny jednostronny (różne wielkości)1xfartuch ochronny dziecięcy; komplet fartuchów miednicowych; komplet osłon na gonady (męskie, żeńskie), komplet osłon na tarczycę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2"/>
              </w:numPr>
              <w:suppressAutoHyphens/>
              <w:snapToGrid w:val="0"/>
              <w:spacing w:before="100" w:after="10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Bobiks</w:t>
            </w:r>
            <w:proofErr w:type="spellEnd"/>
            <w:r>
              <w:rPr>
                <w:sz w:val="18"/>
                <w:szCs w:val="18"/>
              </w:rPr>
              <w:t xml:space="preserve"> – przyrząd do stabilizacji małych dzieci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2"/>
              </w:numPr>
              <w:suppressAutoHyphens/>
              <w:snapToGrid w:val="0"/>
              <w:spacing w:before="100" w:after="10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</w:pPr>
            <w:r>
              <w:rPr>
                <w:sz w:val="18"/>
                <w:szCs w:val="18"/>
              </w:rPr>
              <w:t xml:space="preserve">Zestaw pozycjonerów do badań </w:t>
            </w:r>
            <w:proofErr w:type="spellStart"/>
            <w:r>
              <w:rPr>
                <w:sz w:val="18"/>
                <w:szCs w:val="18"/>
              </w:rPr>
              <w:t>rtg</w:t>
            </w:r>
            <w:proofErr w:type="spellEnd"/>
            <w:r>
              <w:rPr>
                <w:sz w:val="18"/>
                <w:szCs w:val="18"/>
              </w:rPr>
              <w:t xml:space="preserve"> w walizce wraz z cyferkami i literkami z ołowiu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2"/>
              </w:numPr>
              <w:suppressAutoHyphens/>
              <w:snapToGrid w:val="0"/>
              <w:spacing w:before="100" w:after="10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</w:tcPr>
          <w:p w:rsidR="00E51E75" w:rsidRDefault="00166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Wykonawca dostarcza po wykonaniu instalacji sprzętu</w:t>
            </w:r>
          </w:p>
          <w:p w:rsidR="00E51E75" w:rsidRDefault="00166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- karty gwarancyjne w języku polskim,</w:t>
            </w:r>
          </w:p>
          <w:p w:rsidR="00E51E75" w:rsidRDefault="00166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- instrukcje  użytkowania w języku polskim,</w:t>
            </w:r>
          </w:p>
          <w:p w:rsidR="00E51E75" w:rsidRDefault="00166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- wykaz autoryzowanych  serwisów, </w:t>
            </w:r>
          </w:p>
          <w:p w:rsidR="00E51E75" w:rsidRDefault="00166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- paszporty techniczne urządzenia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2"/>
              </w:numPr>
              <w:suppressAutoHyphens/>
              <w:snapToGrid w:val="0"/>
              <w:spacing w:before="100" w:after="10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</w:tcPr>
          <w:p w:rsidR="00E51E75" w:rsidRDefault="00166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Szkolenie w zakresie obsługi dostarczonego sprzętu i wyposażenia:</w:t>
            </w:r>
          </w:p>
          <w:p w:rsidR="00E51E75" w:rsidRDefault="00166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- min. 2 dni szkoleniowe po 5 godzin oraz</w:t>
            </w:r>
          </w:p>
          <w:p w:rsidR="00E51E75" w:rsidRDefault="00166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dzień na zestaw kontroli jakości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2"/>
              </w:numPr>
              <w:suppressAutoHyphens/>
              <w:snapToGrid w:val="0"/>
              <w:spacing w:before="100" w:after="10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</w:tcPr>
          <w:p w:rsidR="00E51E75" w:rsidRDefault="00166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Przeglądy zgodnie z dokumentacją producenta dokonywane na koszt Wykonawcy po uprzednim uzgodnieniu terminu z Zamawiającym (min. 1 raz w roku w okresie gwarancji)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2"/>
              </w:numPr>
              <w:suppressAutoHyphens/>
              <w:snapToGrid w:val="0"/>
              <w:spacing w:before="100" w:after="10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</w:tcPr>
          <w:p w:rsidR="00E51E75" w:rsidRDefault="00166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Czas reakcji serwisu (liczony w dni robocze od poniedziałku do piątku z wyłączeniem dni ustawowo wolnych od pracy):</w:t>
            </w:r>
          </w:p>
          <w:p w:rsidR="00E51E75" w:rsidRDefault="00166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kontakt telefoniczny lub połączenie zdalne od zgłoszenia do 12 godzin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TAK, podać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2"/>
              </w:numPr>
              <w:suppressAutoHyphens/>
              <w:snapToGrid w:val="0"/>
              <w:spacing w:before="100" w:after="10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Usuwanie awarii  zgodnie z zaleceniami i procedurami producenta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2"/>
              </w:numPr>
              <w:suppressAutoHyphens/>
              <w:snapToGrid w:val="0"/>
              <w:spacing w:before="100" w:after="10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</w:tcPr>
          <w:p w:rsidR="00E51E75" w:rsidRDefault="00166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Czas usunięcia usterki  </w:t>
            </w:r>
          </w:p>
          <w:p w:rsidR="00E51E75" w:rsidRDefault="00166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max. 3 dni robocze w przypadku braku konieczności sprowadzenia części zamiennych</w:t>
            </w:r>
          </w:p>
          <w:p w:rsidR="00E51E75" w:rsidRDefault="00166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max. 10 dni roboczych w przypadku sprowadzenia części zamiennych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Tak, podać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2"/>
              </w:numPr>
              <w:suppressAutoHyphens/>
              <w:snapToGrid w:val="0"/>
              <w:spacing w:before="100" w:after="10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</w:tcPr>
          <w:p w:rsidR="00E51E75" w:rsidRDefault="00166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Gwarancja zapewnienia części zamiennych oraz płatnego serwisu przez okres 10 lat po zakończeniu gwarancji   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334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2"/>
              </w:numPr>
              <w:suppressAutoHyphens/>
              <w:snapToGrid w:val="0"/>
              <w:spacing w:before="100" w:after="10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Gwarancja na cały oferowany sprzęt minimum 24 miesiące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TAK, podać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334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2"/>
              </w:numPr>
              <w:suppressAutoHyphens/>
              <w:snapToGrid w:val="0"/>
              <w:spacing w:before="100" w:after="10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</w:tcPr>
          <w:p w:rsidR="00E51E75" w:rsidRDefault="00166080">
            <w:pPr>
              <w:snapToGrid w:val="0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Zapewnienie bezpłatnych przeglądów zgodnie z planem serwisowym producenta w okresie trwania gwarancji, min, 2 przeglądy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TAK, podać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334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2"/>
              </w:numPr>
              <w:suppressAutoHyphens/>
              <w:snapToGrid w:val="0"/>
              <w:spacing w:before="100" w:after="10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Integracja z posiadanym systemem RIS/PACS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334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2"/>
              </w:numPr>
              <w:suppressAutoHyphens/>
              <w:snapToGrid w:val="0"/>
              <w:spacing w:before="100" w:after="10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r>
              <w:rPr>
                <w:rFonts w:eastAsia="Arial"/>
                <w:sz w:val="18"/>
                <w:szCs w:val="18"/>
              </w:rPr>
              <w:t>Wykonanie prac ogólnobudowlanych i instalacyjnych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</w:tbl>
    <w:p w:rsidR="00E51E75" w:rsidRDefault="00E51E75">
      <w:pPr>
        <w:snapToGrid w:val="0"/>
        <w:jc w:val="center"/>
        <w:rPr>
          <w:rFonts w:eastAsia="Arial"/>
          <w:b/>
          <w:bCs/>
        </w:rPr>
      </w:pPr>
    </w:p>
    <w:p w:rsidR="00E51E75" w:rsidRDefault="00E51E75">
      <w:pPr>
        <w:snapToGrid w:val="0"/>
        <w:rPr>
          <w:rFonts w:eastAsia="Arial"/>
          <w:b/>
          <w:bCs/>
        </w:rPr>
      </w:pPr>
    </w:p>
    <w:p w:rsidR="00E51E75" w:rsidRDefault="0016608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(miejscowość)……………..(data)……………………                                                                     podpis osoby(osób ) uprawnionej(</w:t>
      </w:r>
      <w:proofErr w:type="spellStart"/>
      <w:r>
        <w:rPr>
          <w:color w:val="000000"/>
          <w:sz w:val="22"/>
          <w:szCs w:val="22"/>
        </w:rPr>
        <w:t>ych</w:t>
      </w:r>
      <w:proofErr w:type="spellEnd"/>
      <w:r>
        <w:rPr>
          <w:color w:val="000000"/>
          <w:sz w:val="22"/>
          <w:szCs w:val="22"/>
        </w:rPr>
        <w:t xml:space="preserve">) do </w:t>
      </w:r>
    </w:p>
    <w:p w:rsidR="00E51E75" w:rsidRDefault="00166080">
      <w:pPr>
        <w:rPr>
          <w:color w:val="000000"/>
          <w:sz w:val="22"/>
          <w:szCs w:val="22"/>
        </w:rPr>
        <w:sectPr w:rsidR="00E51E75">
          <w:footerReference w:type="default" r:id="rId7"/>
          <w:pgSz w:w="16838" w:h="11906" w:orient="landscape"/>
          <w:pgMar w:top="720" w:right="720" w:bottom="1548" w:left="720" w:header="0" w:footer="709" w:gutter="0"/>
          <w:cols w:space="708"/>
          <w:formProt w:val="0"/>
          <w:docGrid w:linePitch="600" w:charSpace="32768"/>
        </w:sect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reprezentowania Wykonawcy:   </w:t>
      </w:r>
    </w:p>
    <w:p w:rsidR="00E51E75" w:rsidRDefault="00E51E75">
      <w:pPr>
        <w:snapToGrid w:val="0"/>
        <w:jc w:val="center"/>
        <w:rPr>
          <w:rFonts w:eastAsia="Arial"/>
          <w:b/>
          <w:bCs/>
          <w:u w:val="single"/>
        </w:rPr>
      </w:pPr>
    </w:p>
    <w:p w:rsidR="00E51E75" w:rsidRDefault="00166080">
      <w:pPr>
        <w:snapToGrid w:val="0"/>
        <w:jc w:val="center"/>
        <w:rPr>
          <w:rFonts w:eastAsia="Arial"/>
          <w:b/>
          <w:bCs/>
          <w:sz w:val="28"/>
          <w:szCs w:val="28"/>
        </w:rPr>
      </w:pPr>
      <w:r>
        <w:rPr>
          <w:rFonts w:eastAsia="Arial"/>
          <w:b/>
          <w:bCs/>
          <w:sz w:val="28"/>
          <w:szCs w:val="28"/>
        </w:rPr>
        <w:t>Serwer PACS, Oprogramowanie przeglądowe oraz nagrywarka automatyczna</w:t>
      </w:r>
    </w:p>
    <w:p w:rsidR="00E51E75" w:rsidRDefault="00E51E75">
      <w:pPr>
        <w:snapToGrid w:val="0"/>
        <w:jc w:val="center"/>
        <w:rPr>
          <w:rFonts w:eastAsia="Arial"/>
          <w:b/>
          <w:bCs/>
        </w:rPr>
      </w:pPr>
    </w:p>
    <w:p w:rsidR="00E51E75" w:rsidRDefault="00166080">
      <w:pPr>
        <w:snapToGri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Producent: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E51E75" w:rsidRDefault="00166080">
      <w:pPr>
        <w:snapToGri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Model: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E51E75" w:rsidRDefault="00166080">
      <w:pPr>
        <w:snapToGri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Kraj pochodzenia: </w:t>
      </w:r>
    </w:p>
    <w:p w:rsidR="00E51E75" w:rsidRDefault="00166080">
      <w:pPr>
        <w:snapToGri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Rok produkcji: </w:t>
      </w:r>
      <w:r>
        <w:rPr>
          <w:color w:val="000000"/>
          <w:sz w:val="28"/>
          <w:szCs w:val="28"/>
        </w:rPr>
        <w:tab/>
      </w:r>
    </w:p>
    <w:p w:rsidR="00E51E75" w:rsidRDefault="00166080">
      <w:pPr>
        <w:snapToGrid w:val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wymagane urządzenie fabrycznie nowe, rok produkcji min. 2020 r.</w:t>
      </w:r>
    </w:p>
    <w:p w:rsidR="00E51E75" w:rsidRDefault="00E51E75">
      <w:pPr>
        <w:snapToGrid w:val="0"/>
      </w:pPr>
    </w:p>
    <w:tbl>
      <w:tblPr>
        <w:tblW w:w="1457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9"/>
        <w:gridCol w:w="29"/>
        <w:gridCol w:w="6494"/>
        <w:gridCol w:w="8"/>
        <w:gridCol w:w="2368"/>
        <w:gridCol w:w="16"/>
        <w:gridCol w:w="3158"/>
        <w:gridCol w:w="10"/>
        <w:gridCol w:w="1874"/>
      </w:tblGrid>
      <w:tr w:rsidR="00E51E75">
        <w:trPr>
          <w:cantSplit/>
          <w:trHeight w:val="175"/>
        </w:trPr>
        <w:tc>
          <w:tcPr>
            <w:tcW w:w="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snapToGrid w:val="0"/>
              <w:spacing w:before="100" w:after="100"/>
              <w:ind w:left="-70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>
              <w:rPr>
                <w:sz w:val="18"/>
                <w:szCs w:val="18"/>
                <w:lang w:eastAsia="ar-SA"/>
              </w:rPr>
              <w:t>L.p</w:t>
            </w:r>
            <w:proofErr w:type="spellEnd"/>
            <w:r>
              <w:rPr>
                <w:sz w:val="18"/>
                <w:szCs w:val="18"/>
                <w:lang w:eastAsia="ar-SA"/>
              </w:rPr>
              <w:t>.</w:t>
            </w:r>
          </w:p>
        </w:tc>
        <w:tc>
          <w:tcPr>
            <w:tcW w:w="65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jc w:val="center"/>
            </w:pPr>
            <w:r>
              <w:rPr>
                <w:sz w:val="18"/>
                <w:szCs w:val="18"/>
                <w:lang w:eastAsia="ar-SA"/>
              </w:rPr>
              <w:t>OPIS PARAMETRÓW</w:t>
            </w:r>
          </w:p>
        </w:tc>
        <w:tc>
          <w:tcPr>
            <w:tcW w:w="23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Nagwek7"/>
              <w:keepLines w:val="0"/>
              <w:suppressAutoHyphens/>
              <w:spacing w:before="0"/>
              <w:jc w:val="center"/>
              <w:textAlignment w:val="baseline"/>
              <w:rPr>
                <w:rFonts w:ascii="Times New Roman" w:hAnsi="Times New Roman"/>
                <w:i w:val="0"/>
                <w:color w:val="00000A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i w:val="0"/>
                <w:color w:val="00000A"/>
                <w:sz w:val="18"/>
                <w:szCs w:val="18"/>
                <w:lang w:eastAsia="ar-SA"/>
              </w:rPr>
              <w:t>WYMAGANE WARTOŚCI GRANICZNE</w:t>
            </w:r>
          </w:p>
        </w:tc>
        <w:tc>
          <w:tcPr>
            <w:tcW w:w="31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WARTOŚCI, PARAMETRY, DANE TECHNICZNE </w:t>
            </w:r>
          </w:p>
          <w:p w:rsidR="00E51E75" w:rsidRDefault="00166080">
            <w:pPr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(wypełnia Wykonawca)</w:t>
            </w:r>
          </w:p>
        </w:tc>
        <w:tc>
          <w:tcPr>
            <w:tcW w:w="18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PUNKTACJA</w:t>
            </w:r>
          </w:p>
        </w:tc>
      </w:tr>
      <w:tr w:rsidR="00E51E75">
        <w:trPr>
          <w:cantSplit/>
          <w:trHeight w:val="335"/>
        </w:trPr>
        <w:tc>
          <w:tcPr>
            <w:tcW w:w="14576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hd w:val="clear" w:color="auto" w:fill="CCCCCC"/>
              <w:jc w:val="center"/>
            </w:pPr>
            <w:r>
              <w:rPr>
                <w:rFonts w:cs="Arial"/>
                <w:b/>
                <w:bCs/>
                <w:sz w:val="18"/>
                <w:szCs w:val="18"/>
              </w:rPr>
              <w:t>SERWER PACS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rFonts w:cs="Arial"/>
                <w:sz w:val="18"/>
                <w:szCs w:val="18"/>
                <w:lang w:val="pl-PL"/>
              </w:rPr>
              <w:t xml:space="preserve">Realizacja serwisów DICOM: </w:t>
            </w:r>
            <w:proofErr w:type="spellStart"/>
            <w:r>
              <w:rPr>
                <w:rFonts w:cs="Arial"/>
                <w:sz w:val="18"/>
                <w:szCs w:val="18"/>
                <w:lang w:val="pl-PL"/>
              </w:rPr>
              <w:t>Store</w:t>
            </w:r>
            <w:proofErr w:type="spellEnd"/>
            <w:r>
              <w:rPr>
                <w:rFonts w:cs="Arial"/>
                <w:sz w:val="18"/>
                <w:szCs w:val="18"/>
                <w:lang w:val="pl-PL"/>
              </w:rPr>
              <w:t xml:space="preserve"> SCU/SCP, Query/</w:t>
            </w:r>
            <w:proofErr w:type="spellStart"/>
            <w:r>
              <w:rPr>
                <w:rFonts w:cs="Arial"/>
                <w:sz w:val="18"/>
                <w:szCs w:val="18"/>
                <w:lang w:val="pl-PL"/>
              </w:rPr>
              <w:t>Retrieve</w:t>
            </w:r>
            <w:proofErr w:type="spellEnd"/>
            <w:r>
              <w:rPr>
                <w:rFonts w:cs="Arial"/>
                <w:sz w:val="18"/>
                <w:szCs w:val="18"/>
                <w:lang w:val="pl-PL"/>
              </w:rPr>
              <w:t xml:space="preserve"> SCP, Storage </w:t>
            </w:r>
            <w:proofErr w:type="spellStart"/>
            <w:r>
              <w:rPr>
                <w:rFonts w:cs="Arial"/>
                <w:sz w:val="18"/>
                <w:szCs w:val="18"/>
                <w:lang w:val="pl-PL"/>
              </w:rPr>
              <w:t>Commitment</w:t>
            </w:r>
            <w:proofErr w:type="spellEnd"/>
            <w:r>
              <w:rPr>
                <w:rFonts w:cs="Arial"/>
                <w:sz w:val="18"/>
                <w:szCs w:val="18"/>
                <w:lang w:val="pl-PL"/>
              </w:rPr>
              <w:t>, MPPS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bCs/>
                <w:iCs/>
                <w:sz w:val="18"/>
                <w:szCs w:val="18"/>
              </w:rPr>
              <w:t>TAK</w:t>
            </w: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rFonts w:cs="Arial"/>
                <w:sz w:val="18"/>
                <w:szCs w:val="18"/>
                <w:lang w:val="pl-PL"/>
              </w:rPr>
              <w:t xml:space="preserve">Obsługa obrazów pochodzących co najmniej z urządzeń: CR, DR, CT, MR, XA (single i </w:t>
            </w:r>
            <w:proofErr w:type="spellStart"/>
            <w:r>
              <w:rPr>
                <w:rFonts w:cs="Arial"/>
                <w:sz w:val="18"/>
                <w:szCs w:val="18"/>
                <w:lang w:val="pl-PL"/>
              </w:rPr>
              <w:t>multi-frame</w:t>
            </w:r>
            <w:proofErr w:type="spellEnd"/>
            <w:r>
              <w:rPr>
                <w:rFonts w:cs="Arial"/>
                <w:sz w:val="18"/>
                <w:szCs w:val="18"/>
                <w:lang w:val="pl-PL"/>
              </w:rPr>
              <w:t xml:space="preserve">), US (single i </w:t>
            </w:r>
            <w:proofErr w:type="spellStart"/>
            <w:r>
              <w:rPr>
                <w:rFonts w:cs="Arial"/>
                <w:sz w:val="18"/>
                <w:szCs w:val="18"/>
                <w:lang w:val="pl-PL"/>
              </w:rPr>
              <w:t>multi-frame</w:t>
            </w:r>
            <w:proofErr w:type="spellEnd"/>
            <w:r>
              <w:rPr>
                <w:rFonts w:cs="Arial"/>
                <w:sz w:val="18"/>
                <w:szCs w:val="18"/>
                <w:lang w:val="pl-PL"/>
              </w:rPr>
              <w:t>)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TAK</w:t>
            </w: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rFonts w:cs="Arial"/>
                <w:sz w:val="18"/>
                <w:szCs w:val="18"/>
                <w:lang w:val="pl-PL"/>
              </w:rPr>
              <w:t>Możliwość archiwizowania obrazów w kolejnych, stopniowo podłączanych zasobach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TAK</w:t>
            </w: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rFonts w:cs="Arial"/>
                <w:sz w:val="18"/>
                <w:szCs w:val="18"/>
                <w:lang w:val="pl-PL"/>
              </w:rPr>
              <w:t>Automatyczna kompresja obrazów otrzymywanych z sieci PACS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TAK</w:t>
            </w: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rFonts w:cs="Arial"/>
                <w:sz w:val="18"/>
                <w:szCs w:val="18"/>
                <w:lang w:val="pl-PL"/>
              </w:rPr>
              <w:t>Sygnalizacja obecności innych badań pacjenta w archiwum i/lub na którymkolwiek z serwerów.</w:t>
            </w:r>
          </w:p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rFonts w:cs="Arial"/>
                <w:sz w:val="18"/>
                <w:szCs w:val="18"/>
                <w:lang w:val="pl-PL"/>
              </w:rPr>
              <w:t>Możliwość szybkiego wyświetlenia wybranego badania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TAK</w:t>
            </w: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rFonts w:cs="Arial"/>
                <w:sz w:val="18"/>
                <w:szCs w:val="18"/>
                <w:lang w:val="pl-PL"/>
              </w:rPr>
              <w:t>Możliwość udostępniania obrazów w formacie skompresowanym lub rozkompresowanym, niezależnie od formatu przechowywanego obrazu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TAK</w:t>
            </w: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rFonts w:cs="Arial"/>
                <w:sz w:val="18"/>
                <w:szCs w:val="18"/>
                <w:lang w:val="pl-PL"/>
              </w:rPr>
              <w:t>Możliwość skonfigurowania automatycznego przesyłania badań (</w:t>
            </w:r>
            <w:proofErr w:type="spellStart"/>
            <w:r>
              <w:rPr>
                <w:rFonts w:cs="Arial"/>
                <w:sz w:val="18"/>
                <w:szCs w:val="18"/>
                <w:lang w:val="pl-PL"/>
              </w:rPr>
              <w:t>forward</w:t>
            </w:r>
            <w:proofErr w:type="spellEnd"/>
            <w:r>
              <w:rPr>
                <w:rFonts w:cs="Arial"/>
                <w:sz w:val="18"/>
                <w:szCs w:val="18"/>
                <w:lang w:val="pl-PL"/>
              </w:rPr>
              <w:t xml:space="preserve">): </w:t>
            </w:r>
          </w:p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rFonts w:cs="Arial"/>
                <w:sz w:val="18"/>
                <w:szCs w:val="18"/>
                <w:lang w:val="pl-PL"/>
              </w:rPr>
              <w:t>- do określonych odbiorników w zależności od urządzenia przysyłającego obraz wraz z poprzednimi badaniami tego pacjenta zapisanymi na serwerze PACS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TAK</w:t>
            </w: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rFonts w:cs="Arial"/>
                <w:sz w:val="18"/>
                <w:szCs w:val="18"/>
                <w:lang w:val="pl-PL"/>
              </w:rPr>
              <w:t>Możliwość skonfigurowania automatycznego przesyłania badań (</w:t>
            </w:r>
            <w:proofErr w:type="spellStart"/>
            <w:r>
              <w:rPr>
                <w:rFonts w:cs="Arial"/>
                <w:sz w:val="18"/>
                <w:szCs w:val="18"/>
                <w:lang w:val="pl-PL"/>
              </w:rPr>
              <w:t>forward</w:t>
            </w:r>
            <w:proofErr w:type="spellEnd"/>
            <w:r>
              <w:rPr>
                <w:rFonts w:cs="Arial"/>
                <w:sz w:val="18"/>
                <w:szCs w:val="18"/>
                <w:lang w:val="pl-PL"/>
              </w:rPr>
              <w:t xml:space="preserve">): </w:t>
            </w:r>
          </w:p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rFonts w:cs="Arial"/>
                <w:sz w:val="18"/>
                <w:szCs w:val="18"/>
                <w:lang w:val="pl-PL"/>
              </w:rPr>
              <w:t xml:space="preserve">- do określonych odbiorników w zależności od dowolnie wybranego przez Użytkownika </w:t>
            </w:r>
            <w:proofErr w:type="spellStart"/>
            <w:r>
              <w:rPr>
                <w:rFonts w:cs="Arial"/>
                <w:sz w:val="18"/>
                <w:szCs w:val="18"/>
                <w:lang w:val="pl-PL"/>
              </w:rPr>
              <w:t>tagu</w:t>
            </w:r>
            <w:proofErr w:type="spellEnd"/>
            <w:r>
              <w:rPr>
                <w:rFonts w:cs="Arial"/>
                <w:sz w:val="18"/>
                <w:szCs w:val="18"/>
                <w:lang w:val="pl-PL"/>
              </w:rPr>
              <w:t xml:space="preserve"> DICOM wraz z poprzednimi badaniami tego pacjenta zapisanymi na serwerze PACS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TAK</w:t>
            </w: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rFonts w:cs="Arial"/>
                <w:sz w:val="18"/>
                <w:szCs w:val="18"/>
                <w:lang w:val="pl-PL"/>
              </w:rPr>
              <w:t>Możliwość skonfigurowania automatycznego przesyłania badań (</w:t>
            </w:r>
            <w:proofErr w:type="spellStart"/>
            <w:r>
              <w:rPr>
                <w:rFonts w:cs="Arial"/>
                <w:sz w:val="18"/>
                <w:szCs w:val="18"/>
                <w:lang w:val="pl-PL"/>
              </w:rPr>
              <w:t>forward</w:t>
            </w:r>
            <w:proofErr w:type="spellEnd"/>
            <w:r>
              <w:rPr>
                <w:rFonts w:cs="Arial"/>
                <w:sz w:val="18"/>
                <w:szCs w:val="18"/>
                <w:lang w:val="pl-PL"/>
              </w:rPr>
              <w:t xml:space="preserve">): </w:t>
            </w:r>
          </w:p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rFonts w:cs="Arial"/>
                <w:sz w:val="18"/>
                <w:szCs w:val="18"/>
                <w:lang w:val="pl-PL"/>
              </w:rPr>
              <w:t xml:space="preserve">- do określonych odbiorników w zależności od dowolnie wybranych przez Użytkownika kombinacji </w:t>
            </w:r>
            <w:proofErr w:type="spellStart"/>
            <w:r>
              <w:rPr>
                <w:rFonts w:cs="Arial"/>
                <w:sz w:val="18"/>
                <w:szCs w:val="18"/>
                <w:lang w:val="pl-PL"/>
              </w:rPr>
              <w:t>tagów</w:t>
            </w:r>
            <w:proofErr w:type="spellEnd"/>
            <w:r>
              <w:rPr>
                <w:rFonts w:cs="Arial"/>
                <w:sz w:val="18"/>
                <w:szCs w:val="18"/>
                <w:lang w:val="pl-PL"/>
              </w:rPr>
              <w:t xml:space="preserve"> DICOM wraz z poprzednimi badaniami tego pacjenta zapisanymi na serwerze PACS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TAK</w:t>
            </w: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rFonts w:cs="Arial"/>
                <w:sz w:val="18"/>
                <w:szCs w:val="18"/>
                <w:lang w:val="pl-PL"/>
              </w:rPr>
              <w:t>Możliwość przechowywania danych tekstowych z użyciem polskich liter diakrytycznych (w formacie ISO IR101)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TAK</w:t>
            </w: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rFonts w:cs="Arial"/>
                <w:sz w:val="18"/>
                <w:szCs w:val="18"/>
                <w:lang w:val="pl-PL"/>
              </w:rPr>
              <w:t>Wyszukiwanie nazwiska pacjenta zawierającego polskie litery diakrytyczne powinno być możliwe zarówno z użyciem tych liter jak też z użyciem ich łacińskich odpowiedników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TAK</w:t>
            </w: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rFonts w:cs="Arial"/>
                <w:sz w:val="18"/>
                <w:szCs w:val="18"/>
                <w:lang w:val="pl-PL"/>
              </w:rPr>
              <w:t xml:space="preserve">Udostępnianie danych tekstowych w </w:t>
            </w:r>
            <w:proofErr w:type="spellStart"/>
            <w:r>
              <w:rPr>
                <w:rFonts w:cs="Arial"/>
                <w:sz w:val="18"/>
                <w:szCs w:val="18"/>
                <w:lang w:val="pl-PL"/>
              </w:rPr>
              <w:t>tagach</w:t>
            </w:r>
            <w:proofErr w:type="spellEnd"/>
            <w:r>
              <w:rPr>
                <w:rFonts w:cs="Arial"/>
                <w:sz w:val="18"/>
                <w:szCs w:val="18"/>
                <w:lang w:val="pl-PL"/>
              </w:rPr>
              <w:t xml:space="preserve"> obrazów w formacie ISO IR100 lub ISO IR101 w zależności od urządzenia współpracującego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TAK</w:t>
            </w: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bCs/>
                <w:sz w:val="18"/>
                <w:szCs w:val="18"/>
              </w:rPr>
              <w:t>Możliwość rozbudowy o dalsze źródła obrazów radiologicznych bez dodatkowych dopłat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TAK</w:t>
            </w: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rFonts w:cs="Arial"/>
                <w:sz w:val="18"/>
                <w:szCs w:val="18"/>
                <w:lang w:val="pl-PL"/>
              </w:rPr>
              <w:t xml:space="preserve">Moduł do obsługi </w:t>
            </w:r>
            <w:proofErr w:type="spellStart"/>
            <w:r>
              <w:rPr>
                <w:rFonts w:cs="Arial"/>
                <w:sz w:val="18"/>
                <w:szCs w:val="18"/>
                <w:lang w:val="pl-PL"/>
              </w:rPr>
              <w:t>teleradiologii</w:t>
            </w:r>
            <w:proofErr w:type="spellEnd"/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rFonts w:cs="Arial"/>
                <w:sz w:val="18"/>
                <w:szCs w:val="18"/>
                <w:lang w:val="pl-PL"/>
              </w:rPr>
              <w:t xml:space="preserve">Oprogramowanie zarejestrowane lub zgłoszone w Polsce jako wyrób medyczny klasy co najmniej </w:t>
            </w:r>
            <w:proofErr w:type="spellStart"/>
            <w:r>
              <w:rPr>
                <w:rFonts w:cs="Arial"/>
                <w:sz w:val="18"/>
                <w:szCs w:val="18"/>
                <w:lang w:val="pl-PL"/>
              </w:rPr>
              <w:t>IIa</w:t>
            </w:r>
            <w:proofErr w:type="spellEnd"/>
            <w:r>
              <w:rPr>
                <w:rFonts w:cs="Arial"/>
                <w:sz w:val="18"/>
                <w:szCs w:val="18"/>
                <w:lang w:val="pl-PL"/>
              </w:rPr>
              <w:t>, oznaczone znakiem CE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TAK, załączyć</w:t>
            </w: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bCs/>
                <w:sz w:val="18"/>
                <w:szCs w:val="18"/>
              </w:rPr>
              <w:t>procesor czterordzeniowy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TAK</w:t>
            </w: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bCs/>
                <w:sz w:val="18"/>
                <w:szCs w:val="18"/>
              </w:rPr>
              <w:t>współczynnik PASSMARK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 9000</w:t>
            </w: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bCs/>
                <w:sz w:val="18"/>
                <w:szCs w:val="18"/>
              </w:rPr>
              <w:t>pamięć RAM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[GB]≥ 16</w:t>
            </w: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bCs/>
                <w:sz w:val="18"/>
                <w:szCs w:val="18"/>
              </w:rPr>
              <w:t>dysk typu RAID6 o pojemności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[TB]≥ 4</w:t>
            </w: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bCs/>
                <w:sz w:val="18"/>
                <w:szCs w:val="18"/>
              </w:rPr>
              <w:t>Możliwość rozbudowy pamięci RAID bez kosztów dodatkowej licencji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TAK</w:t>
            </w: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 xml:space="preserve">Możliwość zapisywania danych na sieciowych zasobach zewnętrznych 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TAK</w:t>
            </w: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>Automatyczne wykonywanie codziennych kopii bezpieczeństwa na dodatkowym nośniku danych (taśmowym lub typu RDX)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TAK</w:t>
            </w: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>Dodatkowe nośniki (taśmowy lub typu RDX) o sumarycznej pojemności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[TB]≥ 2</w:t>
            </w: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>Urządzenie zasilające (UPS) wystarczające do pełnego prawidłowego zamknięcia systemu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TAK</w:t>
            </w:r>
          </w:p>
        </w:tc>
        <w:tc>
          <w:tcPr>
            <w:tcW w:w="3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46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8D8D8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928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vAlign w:val="center"/>
          </w:tcPr>
          <w:p w:rsidR="00E51E75" w:rsidRDefault="00166080">
            <w:pPr>
              <w:jc w:val="center"/>
            </w:pPr>
            <w:r>
              <w:rPr>
                <w:rFonts w:cs="Arial"/>
                <w:b/>
                <w:bCs/>
                <w:sz w:val="18"/>
                <w:szCs w:val="18"/>
              </w:rPr>
              <w:t>PARAMETRY OPROGRAMOWANIA PRZEGLĄDOWEGO: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>Możliwość wyświetlenia jednocześnie kilku badań różnych pacjentów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>Możliwość zmiany położenia wyświetlanych obrazów względem siebie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>Możliwość przeszukiwania listy pacjentów w archiwum lokalnym i na serwerach PACS według różnych kryteriów – co najmniej wg. Identyfikatora pacjenta, nazwiska pacjenta (lub jego kilku początkowych liter) oraz daty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>Przechowywanie badań pobranych z serwera w lokalnym archiwum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 xml:space="preserve">Oprogramowanie stacji przeglądowej umożliwia przeglądanie oraz import badań z płyt CD/DVD/USB do archiwum lokalnego jak również nagrywanie badań na płyty dla pacjentów w formacie DICOM wraz z przeglądarką również w przypadku braku komunikacji z serwerem. 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>Możliwość przeszukiwania wielu archiwów PACS jednocześnie i pobierania z nich obrazów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 xml:space="preserve">Wyświetlanie obrazów z ustawieniami zawartymi w </w:t>
            </w:r>
            <w:proofErr w:type="spellStart"/>
            <w:r>
              <w:rPr>
                <w:rFonts w:cs="Arial"/>
                <w:sz w:val="18"/>
                <w:szCs w:val="18"/>
              </w:rPr>
              <w:t>tagach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Window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Width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cs="Arial"/>
                <w:sz w:val="18"/>
                <w:szCs w:val="18"/>
              </w:rPr>
              <w:t>Window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Level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 xml:space="preserve">Jeżeli obrazy zawierają kilka wartości </w:t>
            </w:r>
            <w:proofErr w:type="spellStart"/>
            <w:r>
              <w:rPr>
                <w:rFonts w:cs="Arial"/>
                <w:sz w:val="18"/>
                <w:szCs w:val="18"/>
              </w:rPr>
              <w:t>tagów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Window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Width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cs="Arial"/>
                <w:sz w:val="18"/>
                <w:szCs w:val="18"/>
              </w:rPr>
              <w:t>Window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Level (np. ustawienia dla okna kostnego, mózgowego i tkankowego), to stacja powinna umożliwiać przełączenie wyświetlania obrazu dla każdego z tych ustawień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 xml:space="preserve">Obsługa </w:t>
            </w:r>
            <w:proofErr w:type="spellStart"/>
            <w:r>
              <w:rPr>
                <w:rFonts w:cs="Arial"/>
                <w:sz w:val="18"/>
                <w:szCs w:val="18"/>
              </w:rPr>
              <w:t>Dicom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Grayscale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Softcopy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Presentation </w:t>
            </w:r>
            <w:proofErr w:type="spellStart"/>
            <w:r>
              <w:rPr>
                <w:rFonts w:cs="Arial"/>
                <w:sz w:val="18"/>
                <w:szCs w:val="18"/>
              </w:rPr>
              <w:t>State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(GSPS) 1.2.840.10008.5.1.4.1.1.11.1 w zakresie przesyłania, zaznaczania i odczytu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>Stacja musi umożliwiać wykonanie pomiarów odległości, kątów oraz pola powierzchni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 xml:space="preserve">Stacja musi umożliwiać dokonywanie pomiarów gęstości </w:t>
            </w:r>
            <w:proofErr w:type="spellStart"/>
            <w:r>
              <w:rPr>
                <w:rFonts w:cs="Arial"/>
                <w:sz w:val="18"/>
                <w:szCs w:val="18"/>
              </w:rPr>
              <w:t>Hounsfielda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(dla obrazów CT) i wartości piksela obrazu punktowo oraz – dla zaznaczonego obszaru – ich wartości średniej i odchylenia standardowego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>Możliwość obracania obrazu o wielokrotność 90 st. oraz dokonywanie lustrzanego odbicia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>Możliwość regulacji kontrastu (szerokość i poziom okna)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>Możliwość skalibrowania wyświetlanych odległości na ekranie tak, by możliwe było wyświetlenie obrazu w powiększeniu naturalnym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>Możliwość powiększania obrazu oraz oglądania powiększonego fragmentu obrazu (lupa)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>Możliwość wyświetlenia obrazu w ten sposób, aby 1 piksel obrazu oryginalnego odpowiadał 1 pikselowi ekranu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>Zaznaczanie położenia oglądanego przekroju na przekrojach prostopadłych linia referencyjną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 xml:space="preserve">Zaznaczanie tego samego punktu na różnych przekrojach należących do tego samego układu współrzędnych (ten sam </w:t>
            </w:r>
            <w:proofErr w:type="spellStart"/>
            <w:r>
              <w:rPr>
                <w:rFonts w:cs="Arial"/>
                <w:sz w:val="18"/>
                <w:szCs w:val="18"/>
              </w:rPr>
              <w:t>Frame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of Reference) - tzw. "kursor 3D"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>Możliwość automatycznej synchronizacji serii z tego samego ułożenia pacjenta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>Możliwość ręcznej synchronizacji serii w ten sposób, aby przekroje wyświetlały się według odległości od przekrojów wybranych przy starcie synchronizacji ręcznej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>Możliwość wyświetlania rekonstrukcji MPR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 xml:space="preserve">Możliwość zapisania okna obrazowego w postaci pliku JPG z zachowaniem wyświetlanego opisu, lecz z zanonimizowanymi danymi pacjenta, a w przypadku serii lub obrazów </w:t>
            </w:r>
            <w:proofErr w:type="spellStart"/>
            <w:r>
              <w:rPr>
                <w:rFonts w:cs="Arial"/>
                <w:sz w:val="18"/>
                <w:szCs w:val="18"/>
              </w:rPr>
              <w:t>multiframe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możliwość ich eksportu do formatu AVI.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 xml:space="preserve">Realizacja </w:t>
            </w:r>
            <w:proofErr w:type="spellStart"/>
            <w:r>
              <w:rPr>
                <w:rFonts w:cs="Arial"/>
                <w:sz w:val="18"/>
                <w:szCs w:val="18"/>
              </w:rPr>
              <w:t>Dicom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Store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SCP, </w:t>
            </w:r>
            <w:proofErr w:type="spellStart"/>
            <w:r>
              <w:rPr>
                <w:rFonts w:cs="Arial"/>
                <w:sz w:val="18"/>
                <w:szCs w:val="18"/>
              </w:rPr>
              <w:t>Store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SCU, Query/</w:t>
            </w:r>
            <w:proofErr w:type="spellStart"/>
            <w:r>
              <w:rPr>
                <w:rFonts w:cs="Arial"/>
                <w:sz w:val="18"/>
                <w:szCs w:val="18"/>
              </w:rPr>
              <w:t>Retrieve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SCU oraz </w:t>
            </w:r>
            <w:proofErr w:type="spellStart"/>
            <w:r>
              <w:rPr>
                <w:rFonts w:cs="Arial"/>
                <w:sz w:val="18"/>
                <w:szCs w:val="18"/>
              </w:rPr>
              <w:t>Print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SCU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>Jeżeli obrazy zawierają zapisane GSPS (</w:t>
            </w:r>
            <w:proofErr w:type="spellStart"/>
            <w:r>
              <w:rPr>
                <w:rFonts w:cs="Arial"/>
                <w:sz w:val="18"/>
                <w:szCs w:val="18"/>
              </w:rPr>
              <w:t>Grayscale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Presentation </w:t>
            </w:r>
            <w:proofErr w:type="spellStart"/>
            <w:r>
              <w:rPr>
                <w:rFonts w:cs="Arial"/>
                <w:sz w:val="18"/>
                <w:szCs w:val="18"/>
              </w:rPr>
              <w:t>States</w:t>
            </w:r>
            <w:proofErr w:type="spellEnd"/>
            <w:r>
              <w:rPr>
                <w:rFonts w:cs="Arial"/>
                <w:sz w:val="18"/>
                <w:szCs w:val="18"/>
              </w:rPr>
              <w:t>), to stacja powinna umożliwiać wyświetlenie każdego zapisanego GSPS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 xml:space="preserve">Możliwość wydruku obrazów na drukarce </w:t>
            </w:r>
            <w:proofErr w:type="spellStart"/>
            <w:r>
              <w:rPr>
                <w:rFonts w:cs="Arial"/>
                <w:sz w:val="18"/>
                <w:szCs w:val="18"/>
              </w:rPr>
              <w:t>dicomowskiej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oraz drukarce systemowej (na papierze) z wykorzystaniem tego samego narzędzia; możliwość wydrukowania obrazów różnych pacjentów na jednym filmie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 xml:space="preserve">Możliwość konfigurowania opisów wyświetlanych na obrazach niezależnie dla każdego użytkownika odpowiednio dla każdego typu obrazu (wedle modalności) oraz konfigurowania opisów drukowanych wraz z obrazem na filmie lub papierze; treść tych opisów stanowią wartości odpowiednich </w:t>
            </w:r>
            <w:proofErr w:type="spellStart"/>
            <w:r>
              <w:rPr>
                <w:rFonts w:cs="Arial"/>
                <w:sz w:val="18"/>
                <w:szCs w:val="18"/>
              </w:rPr>
              <w:t>tagów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dicom</w:t>
            </w:r>
            <w:proofErr w:type="spellEnd"/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>Możliwość wykonania opisów badania przez różnych lekarzy zalogowanych w programie stacji (np. opis radiologa i opisy klinicystów) oraz dołączenie wykonanych opisów do badania w postaci osobnych plików w formacie DICOM; opis może być edytowany tylko przez użytkownika, który jest jego autorem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 xml:space="preserve">Możliwość zapisania jednego lub więcej badań na płycie CD lub DVD, zgodnie ze standardem </w:t>
            </w:r>
            <w:proofErr w:type="spellStart"/>
            <w:r>
              <w:rPr>
                <w:rFonts w:cs="Arial"/>
                <w:sz w:val="18"/>
                <w:szCs w:val="18"/>
              </w:rPr>
              <w:t>Dicom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, z nagraną przeglądarką umożliwiającą przejrzenie nagranych obrazów w standardzie </w:t>
            </w:r>
            <w:proofErr w:type="spellStart"/>
            <w:r>
              <w:rPr>
                <w:rFonts w:cs="Arial"/>
                <w:sz w:val="18"/>
                <w:szCs w:val="18"/>
              </w:rPr>
              <w:t>Dicom</w:t>
            </w:r>
            <w:proofErr w:type="spellEnd"/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 xml:space="preserve">Możliwość importowania obrazów w formacie </w:t>
            </w:r>
            <w:proofErr w:type="spellStart"/>
            <w:r>
              <w:rPr>
                <w:rFonts w:cs="Arial"/>
                <w:sz w:val="18"/>
                <w:szCs w:val="18"/>
              </w:rPr>
              <w:t>dicom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do archiwum lokalnego z systemu plików oraz eksportu z archiwum lokalnego do systemu plików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>Możliwość usuwania wybranych badań z lokalnego archiwum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>Możliwość ustawienia automatycznego usuwania starszych obrazów z archiwum lokalnego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>Oprogramowanie zarejestrowane lub zgłoszone w Polsce jako wyrób medyczny klasy co najmniej I, oznaczone znakiem CE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TAK, załączyć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 xml:space="preserve">2x zestaw: Komputer klasy PC z parametrami minimum: procesor i5, pamięć 4 GB, dysk 500 GB, nagrywarka DVD, mysz. Klawiatura, system operacyjny z graficznym interfejsem użytkownika w architekturze 64bit, monitor przeglądowy wg. obowiązującego rozporządzenia ilość sztuk: 1, wraz z zainstalowanym powyżej oprogramowaniem w postaci licencji bezterminowej. 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14576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hd w:val="clear" w:color="auto" w:fill="CCCCCC"/>
              <w:jc w:val="center"/>
            </w:pPr>
            <w:r>
              <w:rPr>
                <w:b/>
                <w:bCs/>
                <w:sz w:val="18"/>
                <w:szCs w:val="18"/>
              </w:rPr>
              <w:t>SYSTEM AUTOMATYCZNEGO NAGRYWANIA PŁYT PACJENTA: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Komputer sterujący o parametrach minimalnych: i3, 4GB RAM, 500GB HDD z monitorem min. 19”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Nagrywanie badania pacjenta przy zachowaniu zasad: obrazy standardzie DICOM 3.0 w postaci umożliwiającej ich pełną analizę na innej, dowolnej radiologicznej stacji opisowej wraz z dodatkowo nagraną przeglądarką 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Wraz z obrazami nagrywanie tekstu opisu wyniku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Możliwość nagrania wielu badań tego samego pacjenta na jednym nośniku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Możliwość pracy w trybie bezobsługowego </w:t>
            </w:r>
            <w:proofErr w:type="spellStart"/>
            <w:r>
              <w:rPr>
                <w:sz w:val="18"/>
                <w:szCs w:val="18"/>
                <w:lang w:val="pl-PL"/>
              </w:rPr>
              <w:t>interface</w:t>
            </w:r>
            <w:proofErr w:type="spellEnd"/>
            <w:r>
              <w:rPr>
                <w:sz w:val="18"/>
                <w:szCs w:val="18"/>
                <w:lang w:val="pl-PL"/>
              </w:rPr>
              <w:t xml:space="preserve"> DICOM </w:t>
            </w:r>
            <w:proofErr w:type="spellStart"/>
            <w:r>
              <w:rPr>
                <w:sz w:val="18"/>
                <w:szCs w:val="18"/>
                <w:lang w:val="pl-PL"/>
              </w:rPr>
              <w:t>Store</w:t>
            </w:r>
            <w:proofErr w:type="spellEnd"/>
            <w:r>
              <w:rPr>
                <w:sz w:val="18"/>
                <w:szCs w:val="18"/>
                <w:lang w:val="pl-PL"/>
              </w:rPr>
              <w:t xml:space="preserve"> SCP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Możliwość wysyłania badań z wielu punktów sieci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Nadruk na płycie wybranych danych pacjenta i badania wraz z danymi jednostki wykonującej badanie (teksty stałe plus obrazy)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Automatyczny wybór nośnika CD lub DVD w zależności od objętości danych badania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>Oprogramowanie zarejestrowane lub zgłoszone w Polsce jako wyrób medyczny klasy co najmniej I, oznaczone znakiem CE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TAK, załączyć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14576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hd w:val="clear" w:color="auto" w:fill="CCCCCC"/>
              <w:jc w:val="center"/>
            </w:pPr>
            <w:r>
              <w:rPr>
                <w:b/>
                <w:bCs/>
                <w:sz w:val="18"/>
                <w:szCs w:val="18"/>
              </w:rPr>
              <w:t>PARAMETRY PRZEGLĄDARKI NAGRYWANEJ NA PŁYTY PACJENTA W SYSTEMIE AUTOMATYCZNEGO NAGRYWANIA PŁYT PACJENTA I W PROGRAMIE STACJI OPISOWEJ: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Możliwość wyświetlenia jednocześnie kilku badań różnych pacjentów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Możliwość zmiany położenia wyświetlanych obrazów względem siebie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Wyświetlanie obrazów z ustawieniami zawartymi w </w:t>
            </w:r>
            <w:proofErr w:type="spellStart"/>
            <w:r>
              <w:rPr>
                <w:sz w:val="18"/>
                <w:szCs w:val="18"/>
                <w:lang w:val="pl-PL"/>
              </w:rPr>
              <w:t>tagach</w:t>
            </w:r>
            <w:proofErr w:type="spellEnd"/>
            <w:r>
              <w:rPr>
                <w:sz w:val="18"/>
                <w:szCs w:val="18"/>
                <w:lang w:val="pl-PL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pl-PL"/>
              </w:rPr>
              <w:t>Window</w:t>
            </w:r>
            <w:proofErr w:type="spellEnd"/>
            <w:r>
              <w:rPr>
                <w:sz w:val="18"/>
                <w:szCs w:val="18"/>
                <w:lang w:val="pl-PL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pl-PL"/>
              </w:rPr>
              <w:t>Width</w:t>
            </w:r>
            <w:proofErr w:type="spellEnd"/>
            <w:r>
              <w:rPr>
                <w:sz w:val="18"/>
                <w:szCs w:val="18"/>
                <w:lang w:val="pl-PL"/>
              </w:rPr>
              <w:t xml:space="preserve"> i </w:t>
            </w:r>
            <w:proofErr w:type="spellStart"/>
            <w:r>
              <w:rPr>
                <w:sz w:val="18"/>
                <w:szCs w:val="18"/>
                <w:lang w:val="pl-PL"/>
              </w:rPr>
              <w:t>Window</w:t>
            </w:r>
            <w:proofErr w:type="spellEnd"/>
            <w:r>
              <w:rPr>
                <w:sz w:val="18"/>
                <w:szCs w:val="18"/>
                <w:lang w:val="pl-PL"/>
              </w:rPr>
              <w:t xml:space="preserve"> Level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Jeżeli obrazy zawierają kilka wartości </w:t>
            </w:r>
            <w:proofErr w:type="spellStart"/>
            <w:r>
              <w:rPr>
                <w:sz w:val="18"/>
                <w:szCs w:val="18"/>
                <w:lang w:val="pl-PL"/>
              </w:rPr>
              <w:t>tagów</w:t>
            </w:r>
            <w:proofErr w:type="spellEnd"/>
            <w:r>
              <w:rPr>
                <w:sz w:val="18"/>
                <w:szCs w:val="18"/>
                <w:lang w:val="pl-PL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pl-PL"/>
              </w:rPr>
              <w:t>Window</w:t>
            </w:r>
            <w:proofErr w:type="spellEnd"/>
            <w:r>
              <w:rPr>
                <w:sz w:val="18"/>
                <w:szCs w:val="18"/>
                <w:lang w:val="pl-PL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pl-PL"/>
              </w:rPr>
              <w:t>Width</w:t>
            </w:r>
            <w:proofErr w:type="spellEnd"/>
            <w:r>
              <w:rPr>
                <w:sz w:val="18"/>
                <w:szCs w:val="18"/>
                <w:lang w:val="pl-PL"/>
              </w:rPr>
              <w:t xml:space="preserve"> i </w:t>
            </w:r>
            <w:proofErr w:type="spellStart"/>
            <w:r>
              <w:rPr>
                <w:sz w:val="18"/>
                <w:szCs w:val="18"/>
                <w:lang w:val="pl-PL"/>
              </w:rPr>
              <w:t>Window</w:t>
            </w:r>
            <w:proofErr w:type="spellEnd"/>
            <w:r>
              <w:rPr>
                <w:sz w:val="18"/>
                <w:szCs w:val="18"/>
                <w:lang w:val="pl-PL"/>
              </w:rPr>
              <w:t xml:space="preserve"> Level (np. ustawienia dla okna kostnego, mózgowego i tkankowego), to stacja powinna umożliwiać przełączenie wyświetlania obrazu dla każdego z tych ustawień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Obsługa </w:t>
            </w:r>
            <w:proofErr w:type="spellStart"/>
            <w:r>
              <w:rPr>
                <w:sz w:val="18"/>
                <w:szCs w:val="18"/>
                <w:lang w:val="pl-PL"/>
              </w:rPr>
              <w:t>Dicom</w:t>
            </w:r>
            <w:proofErr w:type="spellEnd"/>
            <w:r>
              <w:rPr>
                <w:sz w:val="18"/>
                <w:szCs w:val="18"/>
                <w:lang w:val="pl-PL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pl-PL"/>
              </w:rPr>
              <w:t>Grayscale</w:t>
            </w:r>
            <w:proofErr w:type="spellEnd"/>
            <w:r>
              <w:rPr>
                <w:sz w:val="18"/>
                <w:szCs w:val="18"/>
                <w:lang w:val="pl-PL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pl-PL"/>
              </w:rPr>
              <w:t>Softcopy</w:t>
            </w:r>
            <w:proofErr w:type="spellEnd"/>
            <w:r>
              <w:rPr>
                <w:sz w:val="18"/>
                <w:szCs w:val="18"/>
                <w:lang w:val="pl-PL"/>
              </w:rPr>
              <w:t xml:space="preserve"> Presentation </w:t>
            </w:r>
            <w:proofErr w:type="spellStart"/>
            <w:r>
              <w:rPr>
                <w:sz w:val="18"/>
                <w:szCs w:val="18"/>
                <w:lang w:val="pl-PL"/>
              </w:rPr>
              <w:t>State</w:t>
            </w:r>
            <w:proofErr w:type="spellEnd"/>
            <w:r>
              <w:rPr>
                <w:sz w:val="18"/>
                <w:szCs w:val="18"/>
                <w:lang w:val="pl-PL"/>
              </w:rPr>
              <w:t xml:space="preserve"> (GSPS) 1.2.840.10008.5.1.4.1.1.11.1 w zakresie przesyłania, zaznaczania i odczytu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Stacja musi umożliwiać wykonanie pomiarów odległości, kątów oraz pola powierzchni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Stacja musi umożliwiać dokonywanie pomiarów gęstości </w:t>
            </w:r>
            <w:proofErr w:type="spellStart"/>
            <w:r>
              <w:rPr>
                <w:sz w:val="18"/>
                <w:szCs w:val="18"/>
                <w:lang w:val="pl-PL"/>
              </w:rPr>
              <w:t>Hounsfielda</w:t>
            </w:r>
            <w:proofErr w:type="spellEnd"/>
            <w:r>
              <w:rPr>
                <w:sz w:val="18"/>
                <w:szCs w:val="18"/>
                <w:lang w:val="pl-PL"/>
              </w:rPr>
              <w:t xml:space="preserve"> (dla obrazów CT) i wartości piksela obrazu punktowo oraz – dla zaznaczonego obszaru – ich wartości średniej i odchylenia standardowego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proofErr w:type="spellStart"/>
            <w:r>
              <w:rPr>
                <w:sz w:val="18"/>
                <w:szCs w:val="18"/>
                <w:lang w:val="pl-PL"/>
              </w:rPr>
              <w:t>Mozliwość</w:t>
            </w:r>
            <w:proofErr w:type="spellEnd"/>
            <w:r>
              <w:rPr>
                <w:sz w:val="18"/>
                <w:szCs w:val="18"/>
                <w:lang w:val="pl-PL"/>
              </w:rPr>
              <w:t xml:space="preserve"> obracania obrazu o wielokrotność 90 st. oraz dokonywanie lustrzanego odbicia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proofErr w:type="spellStart"/>
            <w:r>
              <w:rPr>
                <w:sz w:val="18"/>
                <w:szCs w:val="18"/>
                <w:lang w:val="pl-PL"/>
              </w:rPr>
              <w:t>Mozliwość</w:t>
            </w:r>
            <w:proofErr w:type="spellEnd"/>
            <w:r>
              <w:rPr>
                <w:sz w:val="18"/>
                <w:szCs w:val="18"/>
                <w:lang w:val="pl-PL"/>
              </w:rPr>
              <w:t xml:space="preserve"> regulacji kontrastu (szerokość i poziom okna)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Możliwość powiększania obrazu oraz oglądania powiększonego fragmentu obrazu (lupa)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386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Możliwość wyświetlenia obrazu w ten sposób, aby 1 piksel obrazu oryginalnego odpowiadał 1 pikselowi ekranu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Zaznaczanie położenia oglądanego przekroju na przekrojach prostopadłych linia referencyjną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Zaznaczanie tego samego punktu na różnych przekrojach należących do tego samego układu współrzędnych (ten sam </w:t>
            </w:r>
            <w:proofErr w:type="spellStart"/>
            <w:r>
              <w:rPr>
                <w:sz w:val="18"/>
                <w:szCs w:val="18"/>
                <w:lang w:val="pl-PL"/>
              </w:rPr>
              <w:t>Frame</w:t>
            </w:r>
            <w:proofErr w:type="spellEnd"/>
            <w:r>
              <w:rPr>
                <w:sz w:val="18"/>
                <w:szCs w:val="18"/>
                <w:lang w:val="pl-PL"/>
              </w:rPr>
              <w:t xml:space="preserve"> of Reference) - tzw. "kursor 3D"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Możliwość automatycznej synchronizacji serii z tego samego ułożenia pacjenta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Możliwość ręcznej synchronizacji serii w ten sposób, aby przekroje wyświetlały się według odległości od przekrojów wybranych przy starcie synchronizacji ręcznej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Jeżeli obrazy zawierają zapisane GSPS (</w:t>
            </w:r>
            <w:proofErr w:type="spellStart"/>
            <w:r>
              <w:rPr>
                <w:sz w:val="18"/>
                <w:szCs w:val="18"/>
                <w:lang w:val="pl-PL"/>
              </w:rPr>
              <w:t>Grayscale</w:t>
            </w:r>
            <w:proofErr w:type="spellEnd"/>
            <w:r>
              <w:rPr>
                <w:sz w:val="18"/>
                <w:szCs w:val="18"/>
                <w:lang w:val="pl-PL"/>
              </w:rPr>
              <w:t xml:space="preserve"> Presentation </w:t>
            </w:r>
            <w:proofErr w:type="spellStart"/>
            <w:r>
              <w:rPr>
                <w:sz w:val="18"/>
                <w:szCs w:val="18"/>
                <w:lang w:val="pl-PL"/>
              </w:rPr>
              <w:t>States</w:t>
            </w:r>
            <w:proofErr w:type="spellEnd"/>
            <w:r>
              <w:rPr>
                <w:sz w:val="18"/>
                <w:szCs w:val="18"/>
                <w:lang w:val="pl-PL"/>
              </w:rPr>
              <w:t>), to stacja powinna umożliwiać wyświetlenie każdego zapisanego GSPS</w:t>
            </w:r>
          </w:p>
        </w:tc>
        <w:tc>
          <w:tcPr>
            <w:tcW w:w="2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</w:tbl>
    <w:p w:rsidR="00E51E75" w:rsidRDefault="00E51E75">
      <w:pPr>
        <w:pStyle w:val="Tekstpodstawowy"/>
      </w:pPr>
    </w:p>
    <w:p w:rsidR="00E51E75" w:rsidRDefault="00E51E75">
      <w:pPr>
        <w:pStyle w:val="Tekstpodstawowy"/>
      </w:pPr>
    </w:p>
    <w:tbl>
      <w:tblPr>
        <w:tblW w:w="1457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25" w:type="dxa"/>
          <w:right w:w="30" w:type="dxa"/>
        </w:tblCellMar>
        <w:tblLook w:val="0000" w:firstRow="0" w:lastRow="0" w:firstColumn="0" w:lastColumn="0" w:noHBand="0" w:noVBand="0"/>
      </w:tblPr>
      <w:tblGrid>
        <w:gridCol w:w="649"/>
        <w:gridCol w:w="6505"/>
        <w:gridCol w:w="2385"/>
        <w:gridCol w:w="5037"/>
      </w:tblGrid>
      <w:tr w:rsidR="00E51E75">
        <w:trPr>
          <w:cantSplit/>
          <w:trHeight w:val="175"/>
        </w:trPr>
        <w:tc>
          <w:tcPr>
            <w:tcW w:w="1457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hd w:val="clear" w:color="auto" w:fill="CCCCCC"/>
              <w:jc w:val="center"/>
              <w:rPr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 SYSTEM REJESTRACJI PACJENTÓW WRAZ Z MODUŁEM ROZLICZENIOWYM: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bezterminowa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licencja</w:t>
            </w:r>
            <w:proofErr w:type="spellEnd"/>
            <w:r>
              <w:rPr>
                <w:sz w:val="18"/>
                <w:szCs w:val="18"/>
              </w:rPr>
              <w:t xml:space="preserve"> na </w:t>
            </w:r>
            <w:proofErr w:type="spellStart"/>
            <w:r>
              <w:rPr>
                <w:sz w:val="18"/>
                <w:szCs w:val="18"/>
              </w:rPr>
              <w:t>użytkowanie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systemu</w:t>
            </w:r>
            <w:proofErr w:type="spellEnd"/>
          </w:p>
          <w:p w:rsidR="00E51E75" w:rsidRDefault="00166080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wszystkie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elementy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menu</w:t>
            </w:r>
            <w:proofErr w:type="spellEnd"/>
            <w:r>
              <w:rPr>
                <w:sz w:val="18"/>
                <w:szCs w:val="18"/>
              </w:rPr>
              <w:t xml:space="preserve"> i </w:t>
            </w:r>
            <w:proofErr w:type="spellStart"/>
            <w:r>
              <w:rPr>
                <w:sz w:val="18"/>
                <w:szCs w:val="18"/>
              </w:rPr>
              <w:t>pomocy</w:t>
            </w:r>
            <w:proofErr w:type="spellEnd"/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języku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polskim</w:t>
            </w:r>
            <w:proofErr w:type="spellEnd"/>
          </w:p>
          <w:p w:rsidR="00E51E75" w:rsidRDefault="00166080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obsługa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rejestracji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pacjentów</w:t>
            </w:r>
            <w:proofErr w:type="spellEnd"/>
            <w:r>
              <w:rPr>
                <w:sz w:val="18"/>
                <w:szCs w:val="18"/>
              </w:rPr>
              <w:t xml:space="preserve"> z </w:t>
            </w:r>
            <w:proofErr w:type="spellStart"/>
            <w:r>
              <w:rPr>
                <w:sz w:val="18"/>
                <w:szCs w:val="18"/>
              </w:rPr>
              <w:t>terminarzem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pracowni</w:t>
            </w:r>
            <w:proofErr w:type="spellEnd"/>
            <w:r>
              <w:rPr>
                <w:sz w:val="18"/>
                <w:szCs w:val="18"/>
              </w:rPr>
              <w:t xml:space="preserve"> RTG</w:t>
            </w:r>
          </w:p>
          <w:p w:rsidR="00E51E75" w:rsidRDefault="00166080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obsługa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rozliczeń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wykonane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badania</w:t>
            </w:r>
            <w:proofErr w:type="spellEnd"/>
            <w:r>
              <w:rPr>
                <w:sz w:val="18"/>
                <w:szCs w:val="18"/>
              </w:rPr>
              <w:t xml:space="preserve"> – z </w:t>
            </w:r>
            <w:proofErr w:type="spellStart"/>
            <w:r>
              <w:rPr>
                <w:sz w:val="18"/>
                <w:szCs w:val="18"/>
              </w:rPr>
              <w:t>jednostkami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kierującymi</w:t>
            </w:r>
            <w:proofErr w:type="spellEnd"/>
            <w:r>
              <w:rPr>
                <w:sz w:val="18"/>
                <w:szCs w:val="18"/>
              </w:rPr>
              <w:t xml:space="preserve"> i z </w:t>
            </w:r>
            <w:proofErr w:type="spellStart"/>
            <w:r>
              <w:rPr>
                <w:sz w:val="18"/>
                <w:szCs w:val="18"/>
              </w:rPr>
              <w:t>lekarzami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opisującymi</w:t>
            </w:r>
            <w:proofErr w:type="spellEnd"/>
          </w:p>
          <w:p w:rsidR="00E51E75" w:rsidRDefault="00166080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dostęp</w:t>
            </w:r>
            <w:proofErr w:type="spellEnd"/>
            <w:r>
              <w:rPr>
                <w:sz w:val="18"/>
                <w:szCs w:val="18"/>
              </w:rPr>
              <w:t xml:space="preserve"> do </w:t>
            </w:r>
            <w:proofErr w:type="spellStart"/>
            <w:r>
              <w:rPr>
                <w:sz w:val="18"/>
                <w:szCs w:val="18"/>
              </w:rPr>
              <w:t>systemu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tylko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zalogowaniu</w:t>
            </w:r>
            <w:proofErr w:type="spellEnd"/>
          </w:p>
          <w:p w:rsidR="00E51E75" w:rsidRDefault="00166080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obsługa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liter</w:t>
            </w:r>
            <w:proofErr w:type="spellEnd"/>
            <w:r>
              <w:rPr>
                <w:sz w:val="18"/>
                <w:szCs w:val="18"/>
              </w:rPr>
              <w:t xml:space="preserve"> z </w:t>
            </w:r>
            <w:proofErr w:type="spellStart"/>
            <w:r>
              <w:rPr>
                <w:sz w:val="18"/>
                <w:szCs w:val="18"/>
              </w:rPr>
              <w:t>polskimi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znakami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diakrytycznymi</w:t>
            </w:r>
            <w:proofErr w:type="spellEnd"/>
          </w:p>
          <w:p w:rsidR="00E51E75" w:rsidRDefault="00166080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automatyczne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uruchomienie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serwera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restarcie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udziału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administratora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lub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serwisu</w:t>
            </w:r>
            <w:proofErr w:type="spellEnd"/>
          </w:p>
          <w:p w:rsidR="00E51E75" w:rsidRDefault="00166080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możliwość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wykonywania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czynności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serwisowych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poprzez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połączenie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internetowe</w:t>
            </w:r>
            <w:proofErr w:type="spellEnd"/>
          </w:p>
          <w:p w:rsidR="00E51E75" w:rsidRDefault="00166080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możliwość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anulowania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zaplanowanego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badania</w:t>
            </w:r>
            <w:proofErr w:type="spellEnd"/>
          </w:p>
          <w:p w:rsidR="00E51E75" w:rsidRDefault="00166080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możliwość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zmiany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terminu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badania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konieczności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ponownej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rejestracji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pacjenta</w:t>
            </w:r>
            <w:proofErr w:type="spellEnd"/>
          </w:p>
          <w:p w:rsidR="00E51E75" w:rsidRDefault="00166080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walidacja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wpisywanego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numeru</w:t>
            </w:r>
            <w:proofErr w:type="spellEnd"/>
            <w:r>
              <w:rPr>
                <w:sz w:val="18"/>
                <w:szCs w:val="18"/>
              </w:rPr>
              <w:t xml:space="preserve"> PESEL</w:t>
            </w:r>
          </w:p>
          <w:p w:rsidR="00E51E75" w:rsidRDefault="00166080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automatyczne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wpisywanie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daty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urodzenia</w:t>
            </w:r>
            <w:proofErr w:type="spellEnd"/>
            <w:r>
              <w:rPr>
                <w:sz w:val="18"/>
                <w:szCs w:val="18"/>
              </w:rPr>
              <w:t xml:space="preserve"> i </w:t>
            </w:r>
            <w:proofErr w:type="spellStart"/>
            <w:r>
              <w:rPr>
                <w:sz w:val="18"/>
                <w:szCs w:val="18"/>
              </w:rPr>
              <w:t>płci</w:t>
            </w:r>
            <w:proofErr w:type="spellEnd"/>
            <w:r>
              <w:rPr>
                <w:sz w:val="18"/>
                <w:szCs w:val="18"/>
              </w:rPr>
              <w:t xml:space="preserve"> na </w:t>
            </w:r>
            <w:proofErr w:type="spellStart"/>
            <w:r>
              <w:rPr>
                <w:sz w:val="18"/>
                <w:szCs w:val="18"/>
              </w:rPr>
              <w:t>podstawie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numeru</w:t>
            </w:r>
            <w:proofErr w:type="spellEnd"/>
            <w:r>
              <w:rPr>
                <w:sz w:val="18"/>
                <w:szCs w:val="18"/>
              </w:rPr>
              <w:t xml:space="preserve"> PESEL</w:t>
            </w:r>
          </w:p>
          <w:p w:rsidR="00E51E75" w:rsidRDefault="00166080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zabezpieczenie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przed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ponownym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wprowadzeniem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pacjenta</w:t>
            </w:r>
            <w:proofErr w:type="spellEnd"/>
            <w:r>
              <w:rPr>
                <w:sz w:val="18"/>
                <w:szCs w:val="18"/>
              </w:rPr>
              <w:t xml:space="preserve"> z </w:t>
            </w:r>
            <w:proofErr w:type="spellStart"/>
            <w:r>
              <w:rPr>
                <w:sz w:val="18"/>
                <w:szCs w:val="18"/>
              </w:rPr>
              <w:t>numerem</w:t>
            </w:r>
            <w:proofErr w:type="spellEnd"/>
            <w:r>
              <w:rPr>
                <w:sz w:val="18"/>
                <w:szCs w:val="18"/>
              </w:rPr>
              <w:t xml:space="preserve"> PESEL </w:t>
            </w:r>
            <w:proofErr w:type="spellStart"/>
            <w:r>
              <w:rPr>
                <w:sz w:val="18"/>
                <w:szCs w:val="18"/>
              </w:rPr>
              <w:t>wpisanym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wcześniej</w:t>
            </w:r>
            <w:proofErr w:type="spellEnd"/>
          </w:p>
          <w:p w:rsidR="00E51E75" w:rsidRDefault="00166080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</w:t>
            </w:r>
            <w:proofErr w:type="spellStart"/>
            <w:r>
              <w:rPr>
                <w:sz w:val="18"/>
                <w:szCs w:val="18"/>
              </w:rPr>
              <w:t>systemu</w:t>
            </w:r>
            <w:proofErr w:type="spellEnd"/>
          </w:p>
          <w:p w:rsidR="00E51E75" w:rsidRDefault="00166080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integracja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stacją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diagnostyczną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umożliwiające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wywoływanie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wyświetlania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obrazów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badań</w:t>
            </w:r>
            <w:proofErr w:type="spellEnd"/>
          </w:p>
          <w:p w:rsidR="00E51E75" w:rsidRDefault="00166080">
            <w:pPr>
              <w:pStyle w:val="Zawartotabeli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zapisanych</w:t>
            </w:r>
            <w:proofErr w:type="spellEnd"/>
            <w:r>
              <w:rPr>
                <w:sz w:val="18"/>
                <w:szCs w:val="18"/>
              </w:rPr>
              <w:t xml:space="preserve"> na </w:t>
            </w:r>
            <w:proofErr w:type="spellStart"/>
            <w:r>
              <w:rPr>
                <w:sz w:val="18"/>
                <w:szCs w:val="18"/>
              </w:rPr>
              <w:t>serwerze</w:t>
            </w:r>
            <w:proofErr w:type="spellEnd"/>
            <w:r>
              <w:rPr>
                <w:sz w:val="18"/>
                <w:szCs w:val="18"/>
              </w:rPr>
              <w:t xml:space="preserve"> PACS z </w:t>
            </w:r>
            <w:proofErr w:type="spellStart"/>
            <w:r>
              <w:rPr>
                <w:sz w:val="18"/>
                <w:szCs w:val="18"/>
              </w:rPr>
              <w:t>poziomu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systemu</w:t>
            </w:r>
            <w:proofErr w:type="spellEnd"/>
            <w:r>
              <w:rPr>
                <w:sz w:val="18"/>
                <w:szCs w:val="18"/>
              </w:rPr>
              <w:t xml:space="preserve"> RIS</w:t>
            </w:r>
          </w:p>
          <w:p w:rsidR="00E51E75" w:rsidRDefault="00166080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wyszukiwanie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pacjentów</w:t>
            </w:r>
            <w:proofErr w:type="spellEnd"/>
            <w:r>
              <w:rPr>
                <w:sz w:val="18"/>
                <w:szCs w:val="18"/>
              </w:rPr>
              <w:t xml:space="preserve"> i ich </w:t>
            </w:r>
            <w:proofErr w:type="spellStart"/>
            <w:r>
              <w:rPr>
                <w:sz w:val="18"/>
                <w:szCs w:val="18"/>
              </w:rPr>
              <w:t>badań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przy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pomocy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wyszukiwarki</w:t>
            </w:r>
            <w:proofErr w:type="spellEnd"/>
            <w:r>
              <w:rPr>
                <w:sz w:val="18"/>
                <w:szCs w:val="18"/>
              </w:rPr>
              <w:t xml:space="preserve"> z </w:t>
            </w:r>
            <w:proofErr w:type="spellStart"/>
            <w:r>
              <w:rPr>
                <w:sz w:val="18"/>
                <w:szCs w:val="18"/>
              </w:rPr>
              <w:t>możliwością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użycia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parametrów</w:t>
            </w:r>
            <w:proofErr w:type="spellEnd"/>
          </w:p>
          <w:p w:rsidR="00E51E75" w:rsidRDefault="00166080">
            <w:pPr>
              <w:pStyle w:val="Zawartotabeli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wyszukiwania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co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najmniej</w:t>
            </w:r>
            <w:proofErr w:type="spellEnd"/>
            <w:r>
              <w:rPr>
                <w:sz w:val="18"/>
                <w:szCs w:val="18"/>
              </w:rPr>
              <w:t xml:space="preserve">): </w:t>
            </w:r>
            <w:proofErr w:type="spellStart"/>
            <w:r>
              <w:rPr>
                <w:sz w:val="18"/>
                <w:szCs w:val="18"/>
              </w:rPr>
              <w:t>nazwisko</w:t>
            </w:r>
            <w:proofErr w:type="spellEnd"/>
            <w:r>
              <w:rPr>
                <w:sz w:val="18"/>
                <w:szCs w:val="18"/>
              </w:rPr>
              <w:t xml:space="preserve"> i </w:t>
            </w:r>
            <w:proofErr w:type="spellStart"/>
            <w:r>
              <w:rPr>
                <w:sz w:val="18"/>
                <w:szCs w:val="18"/>
              </w:rPr>
              <w:t>imię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pacjenta</w:t>
            </w:r>
            <w:proofErr w:type="spellEnd"/>
            <w:r>
              <w:rPr>
                <w:sz w:val="18"/>
                <w:szCs w:val="18"/>
              </w:rPr>
              <w:t xml:space="preserve">, PESEL, </w:t>
            </w:r>
            <w:proofErr w:type="spellStart"/>
            <w:r>
              <w:rPr>
                <w:sz w:val="18"/>
                <w:szCs w:val="18"/>
              </w:rPr>
              <w:t>data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badania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zakres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dat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5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1457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hd w:val="clear" w:color="auto" w:fill="CCCCCC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INNE: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Oprogramowanie serwera PACS, oprogramowanie stacji przeglądowych, systemu automatycznego nagrywania płyt pacjenta, oraz system rejestracji pacjentów jednego producenta.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5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Opisy wykonane w systemie </w:t>
            </w:r>
            <w:proofErr w:type="spellStart"/>
            <w:r>
              <w:rPr>
                <w:rFonts w:cs="Arial"/>
                <w:sz w:val="18"/>
                <w:szCs w:val="18"/>
              </w:rPr>
              <w:t>teleradiologii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pojawiają się w systemie rejestracji pacjentów oraz w systemie PACS w formacie DICOM SR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5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</w:tbl>
    <w:p w:rsidR="00E51E75" w:rsidRDefault="00E51E75">
      <w:pPr>
        <w:rPr>
          <w:rFonts w:ascii="Arial" w:hAnsi="Arial" w:cs="Arial"/>
          <w:lang w:val="en-US" w:eastAsia="en-US" w:bidi="en-US"/>
        </w:rPr>
      </w:pPr>
    </w:p>
    <w:p w:rsidR="00E51E75" w:rsidRDefault="00166080">
      <w:pPr>
        <w:snapToGrid w:val="0"/>
        <w:rPr>
          <w:sz w:val="18"/>
          <w:szCs w:val="18"/>
        </w:rPr>
      </w:pPr>
      <w:r>
        <w:rPr>
          <w:sz w:val="18"/>
          <w:szCs w:val="18"/>
        </w:rPr>
        <w:t>Niespełnienie lub nie potwierdzenie któregokolwiek z wymagań spowoduje odrzucenie oferty.</w:t>
      </w:r>
    </w:p>
    <w:p w:rsidR="00E51E75" w:rsidRDefault="00E51E75">
      <w:pPr>
        <w:snapToGrid w:val="0"/>
        <w:rPr>
          <w:sz w:val="18"/>
          <w:szCs w:val="18"/>
        </w:rPr>
      </w:pPr>
    </w:p>
    <w:p w:rsidR="00E51E75" w:rsidRDefault="00166080">
      <w:pPr>
        <w:snapToGrid w:val="0"/>
        <w:rPr>
          <w:sz w:val="18"/>
          <w:szCs w:val="18"/>
        </w:rPr>
      </w:pPr>
      <w:r>
        <w:rPr>
          <w:sz w:val="18"/>
          <w:szCs w:val="18"/>
        </w:rPr>
        <w:t xml:space="preserve">Zamawiający zastrzega sobie możliwość potwierdzenia parametrów oferowanych przez Wykonawcę w innej lokalizacji (wizyta w innej lokalizacji </w:t>
      </w:r>
    </w:p>
    <w:p w:rsidR="00E51E75" w:rsidRDefault="00166080">
      <w:pPr>
        <w:snapToGrid w:val="0"/>
        <w:rPr>
          <w:sz w:val="18"/>
          <w:szCs w:val="18"/>
        </w:rPr>
      </w:pPr>
      <w:r>
        <w:rPr>
          <w:sz w:val="18"/>
          <w:szCs w:val="18"/>
        </w:rPr>
        <w:t>w ciągu 2 dni roboczych od pisemnego wezwania wykonawcy)</w:t>
      </w:r>
    </w:p>
    <w:p w:rsidR="00E51E75" w:rsidRDefault="00E51E75">
      <w:pPr>
        <w:snapToGrid w:val="0"/>
      </w:pPr>
    </w:p>
    <w:p w:rsidR="00E51E75" w:rsidRDefault="00E51E75">
      <w:pPr>
        <w:snapToGrid w:val="0"/>
      </w:pPr>
    </w:p>
    <w:p w:rsidR="00E51E75" w:rsidRDefault="0016608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(miejscowość)……………..(data)……………………                                                                     podpis osoby(osób ) uprawnionej(</w:t>
      </w:r>
      <w:proofErr w:type="spellStart"/>
      <w:r>
        <w:rPr>
          <w:color w:val="000000"/>
          <w:sz w:val="22"/>
          <w:szCs w:val="22"/>
        </w:rPr>
        <w:t>ych</w:t>
      </w:r>
      <w:proofErr w:type="spellEnd"/>
      <w:r>
        <w:rPr>
          <w:color w:val="000000"/>
          <w:sz w:val="22"/>
          <w:szCs w:val="22"/>
        </w:rPr>
        <w:t xml:space="preserve">) do </w:t>
      </w:r>
    </w:p>
    <w:p w:rsidR="00E51E75" w:rsidRDefault="00166080">
      <w:pPr>
        <w:snapToGrid w:val="0"/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reprezentowania Wykonawcy:   </w:t>
      </w:r>
    </w:p>
    <w:sectPr w:rsidR="00E51E75">
      <w:footerReference w:type="default" r:id="rId8"/>
      <w:pgSz w:w="16838" w:h="11906" w:orient="landscape"/>
      <w:pgMar w:top="720" w:right="1548" w:bottom="766" w:left="720" w:header="0" w:footer="709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CD8" w:rsidRDefault="00353CD8">
      <w:r>
        <w:separator/>
      </w:r>
    </w:p>
  </w:endnote>
  <w:endnote w:type="continuationSeparator" w:id="0">
    <w:p w:rsidR="00353CD8" w:rsidRDefault="0035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ヒラギノ角ゴ Pro W3">
    <w:panose1 w:val="00000000000000000000"/>
    <w:charset w:val="8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CD8" w:rsidRDefault="00353CD8">
    <w:pPr>
      <w:pStyle w:val="Stopka"/>
      <w:jc w:val="right"/>
    </w:pPr>
    <w:r>
      <w:rPr>
        <w:rFonts w:ascii="Cambria" w:hAnsi="Cambria"/>
        <w:sz w:val="16"/>
        <w:szCs w:val="16"/>
      </w:rPr>
      <w:t xml:space="preserve">str. </w:t>
    </w: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</w:instrText>
    </w:r>
    <w:r>
      <w:rPr>
        <w:rFonts w:ascii="Cambria" w:hAnsi="Cambria"/>
        <w:sz w:val="16"/>
        <w:szCs w:val="16"/>
      </w:rPr>
      <w:fldChar w:fldCharType="separate"/>
    </w:r>
    <w:r w:rsidR="005D02D0">
      <w:rPr>
        <w:rFonts w:ascii="Cambria" w:hAnsi="Cambria"/>
        <w:noProof/>
        <w:sz w:val="16"/>
        <w:szCs w:val="16"/>
      </w:rPr>
      <w:t>12</w:t>
    </w:r>
    <w:r>
      <w:rPr>
        <w:rFonts w:ascii="Cambria" w:hAnsi="Cambria"/>
        <w:sz w:val="16"/>
        <w:szCs w:val="16"/>
      </w:rPr>
      <w:fldChar w:fldCharType="end"/>
    </w:r>
  </w:p>
  <w:p w:rsidR="00353CD8" w:rsidRDefault="00353CD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CD8" w:rsidRDefault="00353CD8">
    <w:pPr>
      <w:pStyle w:val="Stopka"/>
      <w:jc w:val="right"/>
    </w:pPr>
    <w:r>
      <w:rPr>
        <w:rFonts w:ascii="Cambria" w:hAnsi="Cambria"/>
        <w:sz w:val="16"/>
        <w:szCs w:val="16"/>
      </w:rPr>
      <w:t xml:space="preserve">str. </w:t>
    </w: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</w:instrText>
    </w:r>
    <w:r>
      <w:rPr>
        <w:rFonts w:ascii="Cambria" w:hAnsi="Cambria"/>
        <w:sz w:val="16"/>
        <w:szCs w:val="16"/>
      </w:rPr>
      <w:fldChar w:fldCharType="separate"/>
    </w:r>
    <w:r w:rsidR="005D02D0">
      <w:rPr>
        <w:rFonts w:ascii="Cambria" w:hAnsi="Cambria"/>
        <w:noProof/>
        <w:sz w:val="16"/>
        <w:szCs w:val="16"/>
      </w:rPr>
      <w:t>17</w:t>
    </w:r>
    <w:r>
      <w:rPr>
        <w:rFonts w:ascii="Cambria" w:hAnsi="Cambria"/>
        <w:sz w:val="16"/>
        <w:szCs w:val="16"/>
      </w:rPr>
      <w:fldChar w:fldCharType="end"/>
    </w:r>
  </w:p>
  <w:p w:rsidR="00353CD8" w:rsidRDefault="00353C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CD8" w:rsidRDefault="00353CD8">
      <w:r>
        <w:separator/>
      </w:r>
    </w:p>
  </w:footnote>
  <w:footnote w:type="continuationSeparator" w:id="0">
    <w:p w:rsidR="00353CD8" w:rsidRDefault="00353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620FC"/>
    <w:multiLevelType w:val="multilevel"/>
    <w:tmpl w:val="23CC8C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7B7391"/>
    <w:multiLevelType w:val="multilevel"/>
    <w:tmpl w:val="AFF4C6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B741067"/>
    <w:multiLevelType w:val="multilevel"/>
    <w:tmpl w:val="D23286CE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4ABE2DDC"/>
    <w:multiLevelType w:val="multilevel"/>
    <w:tmpl w:val="36CCBF94"/>
    <w:lvl w:ilvl="0">
      <w:start w:val="1"/>
      <w:numFmt w:val="decimal"/>
      <w:lvlText w:val="%1."/>
      <w:lvlJc w:val="left"/>
      <w:pPr>
        <w:ind w:left="812" w:hanging="360"/>
      </w:pPr>
    </w:lvl>
    <w:lvl w:ilvl="1">
      <w:start w:val="1"/>
      <w:numFmt w:val="lowerLetter"/>
      <w:lvlText w:val="%2."/>
      <w:lvlJc w:val="left"/>
      <w:pPr>
        <w:ind w:left="1532" w:hanging="360"/>
      </w:pPr>
    </w:lvl>
    <w:lvl w:ilvl="2">
      <w:start w:val="1"/>
      <w:numFmt w:val="lowerRoman"/>
      <w:lvlText w:val="%3."/>
      <w:lvlJc w:val="right"/>
      <w:pPr>
        <w:ind w:left="2252" w:hanging="180"/>
      </w:pPr>
    </w:lvl>
    <w:lvl w:ilvl="3">
      <w:start w:val="1"/>
      <w:numFmt w:val="decimal"/>
      <w:lvlText w:val="%4."/>
      <w:lvlJc w:val="left"/>
      <w:pPr>
        <w:ind w:left="2972" w:hanging="360"/>
      </w:pPr>
    </w:lvl>
    <w:lvl w:ilvl="4">
      <w:start w:val="1"/>
      <w:numFmt w:val="lowerLetter"/>
      <w:lvlText w:val="%5."/>
      <w:lvlJc w:val="left"/>
      <w:pPr>
        <w:ind w:left="3692" w:hanging="360"/>
      </w:pPr>
    </w:lvl>
    <w:lvl w:ilvl="5">
      <w:start w:val="1"/>
      <w:numFmt w:val="lowerRoman"/>
      <w:lvlText w:val="%6."/>
      <w:lvlJc w:val="right"/>
      <w:pPr>
        <w:ind w:left="4412" w:hanging="180"/>
      </w:pPr>
    </w:lvl>
    <w:lvl w:ilvl="6">
      <w:start w:val="1"/>
      <w:numFmt w:val="decimal"/>
      <w:lvlText w:val="%7."/>
      <w:lvlJc w:val="left"/>
      <w:pPr>
        <w:ind w:left="5132" w:hanging="360"/>
      </w:pPr>
    </w:lvl>
    <w:lvl w:ilvl="7">
      <w:start w:val="1"/>
      <w:numFmt w:val="lowerLetter"/>
      <w:lvlText w:val="%8."/>
      <w:lvlJc w:val="left"/>
      <w:pPr>
        <w:ind w:left="5852" w:hanging="360"/>
      </w:pPr>
    </w:lvl>
    <w:lvl w:ilvl="8">
      <w:start w:val="1"/>
      <w:numFmt w:val="lowerRoman"/>
      <w:lvlText w:val="%9."/>
      <w:lvlJc w:val="right"/>
      <w:pPr>
        <w:ind w:left="657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113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E75"/>
    <w:rsid w:val="00166080"/>
    <w:rsid w:val="00353CD8"/>
    <w:rsid w:val="00477BAE"/>
    <w:rsid w:val="005D02D0"/>
    <w:rsid w:val="00D46D97"/>
    <w:rsid w:val="00E5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77269F-49E7-4FAC-B97E-7E540D7F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A"/>
      <w:sz w:val="24"/>
      <w:szCs w:val="24"/>
    </w:rPr>
  </w:style>
  <w:style w:type="paragraph" w:styleId="Nagwek1">
    <w:name w:val="heading 1"/>
    <w:basedOn w:val="Normalny"/>
    <w:qFormat/>
    <w:pPr>
      <w:keepNext/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Nagwek2">
    <w:name w:val="heading 2"/>
    <w:basedOn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qFormat/>
    <w:pPr>
      <w:keepNext/>
      <w:widowControl w:val="0"/>
      <w:outlineLvl w:val="2"/>
    </w:pPr>
    <w:rPr>
      <w:rFonts w:ascii="Arial" w:eastAsia="Andale Sans UI" w:hAnsi="Arial" w:cs="Tahoma"/>
      <w:kern w:val="2"/>
      <w:szCs w:val="20"/>
      <w:lang w:val="de-DE" w:eastAsia="ja-JP" w:bidi="fa-IR"/>
    </w:rPr>
  </w:style>
  <w:style w:type="paragraph" w:styleId="Nagwek7">
    <w:name w:val="heading 7"/>
    <w:basedOn w:val="Normalny"/>
    <w:qFormat/>
    <w:pPr>
      <w:keepNext/>
      <w:keepLines/>
      <w:spacing w:before="200"/>
      <w:outlineLvl w:val="6"/>
    </w:pPr>
    <w:rPr>
      <w:rFonts w:ascii="Calibri Light" w:hAnsi="Calibri Light"/>
      <w:i/>
      <w:iCs/>
      <w:color w:val="404040"/>
    </w:rPr>
  </w:style>
  <w:style w:type="paragraph" w:styleId="Nagwek8">
    <w:name w:val="heading 8"/>
    <w:basedOn w:val="Normalny"/>
    <w:qFormat/>
    <w:pPr>
      <w:keepNext/>
      <w:suppressAutoHyphens/>
      <w:ind w:left="340" w:hanging="340"/>
      <w:jc w:val="both"/>
      <w:textAlignment w:val="baseline"/>
      <w:outlineLvl w:val="7"/>
    </w:pPr>
    <w:rPr>
      <w:u w:val="single"/>
    </w:rPr>
  </w:style>
  <w:style w:type="paragraph" w:styleId="Nagwek9">
    <w:name w:val="heading 9"/>
    <w:basedOn w:val="Normalny"/>
    <w:qFormat/>
    <w:pPr>
      <w:keepNext/>
      <w:suppressAutoHyphens/>
      <w:jc w:val="center"/>
      <w:textAlignment w:val="baseline"/>
      <w:outlineLvl w:val="8"/>
    </w:pPr>
    <w:rPr>
      <w:b/>
      <w:bCs/>
      <w:i/>
      <w:iCs/>
      <w:caps/>
      <w:szCs w:val="3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Nagwek2Znak">
    <w:name w:val="Nagłówek 2 Znak"/>
    <w:qFormat/>
    <w:rPr>
      <w:rFonts w:ascii="Arial" w:hAnsi="Arial" w:cs="Arial"/>
      <w:b/>
      <w:bCs/>
      <w:i/>
      <w:iCs/>
      <w:sz w:val="28"/>
      <w:szCs w:val="28"/>
    </w:rPr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WW8Num1z1">
    <w:name w:val="WW8Num1z1"/>
    <w:qFormat/>
    <w:rPr>
      <w:rFonts w:ascii="OpenSymbol" w:hAnsi="OpenSymbol" w:cs="OpenSymbol"/>
    </w:rPr>
  </w:style>
  <w:style w:type="character" w:customStyle="1" w:styleId="WW8Num2z0">
    <w:name w:val="WW8Num2z0"/>
    <w:qFormat/>
    <w:rPr>
      <w:rFonts w:ascii="Symbol" w:eastAsia="Arial" w:hAnsi="Symbol" w:cs="OpenSymbol"/>
      <w:color w:val="000000"/>
      <w:lang w:val="pl-PL"/>
    </w:rPr>
  </w:style>
  <w:style w:type="character" w:customStyle="1" w:styleId="WW8Num2z1">
    <w:name w:val="WW8Num2z1"/>
    <w:qFormat/>
    <w:rPr>
      <w:rFonts w:ascii="OpenSymbol" w:hAnsi="OpenSymbol" w:cs="OpenSymbol"/>
    </w:rPr>
  </w:style>
  <w:style w:type="character" w:customStyle="1" w:styleId="WW8Num3z0">
    <w:name w:val="WW8Num3z0"/>
    <w:qFormat/>
    <w:rPr>
      <w:rFonts w:ascii="Symbol" w:hAnsi="Symbol" w:cs="OpenSymbol"/>
    </w:rPr>
  </w:style>
  <w:style w:type="character" w:customStyle="1" w:styleId="WW8Num3z1">
    <w:name w:val="WW8Num3z1"/>
    <w:qFormat/>
    <w:rPr>
      <w:rFonts w:ascii="OpenSymbol" w:hAnsi="OpenSymbol" w:cs="OpenSymbol"/>
    </w:rPr>
  </w:style>
  <w:style w:type="character" w:customStyle="1" w:styleId="WW8Num4z0">
    <w:name w:val="WW8Num4z0"/>
    <w:qFormat/>
    <w:rPr>
      <w:rFonts w:ascii="Symbol" w:hAnsi="Symbol" w:cs="OpenSymbol"/>
    </w:rPr>
  </w:style>
  <w:style w:type="character" w:customStyle="1" w:styleId="WW8Num4z1">
    <w:name w:val="WW8Num4z1"/>
    <w:qFormat/>
    <w:rPr>
      <w:rFonts w:ascii="OpenSymbol" w:hAnsi="OpenSymbol" w:cs="OpenSymbol"/>
    </w:rPr>
  </w:style>
  <w:style w:type="character" w:customStyle="1" w:styleId="WW8Num5z0">
    <w:name w:val="WW8Num5z0"/>
    <w:qFormat/>
    <w:rPr>
      <w:rFonts w:ascii="Symbol" w:hAnsi="Symbol" w:cs="OpenSymbol"/>
    </w:rPr>
  </w:style>
  <w:style w:type="character" w:customStyle="1" w:styleId="WW8Num5z1">
    <w:name w:val="WW8Num5z1"/>
    <w:qFormat/>
    <w:rPr>
      <w:rFonts w:ascii="OpenSymbol" w:hAnsi="OpenSymbol" w:cs="OpenSymbol"/>
    </w:rPr>
  </w:style>
  <w:style w:type="character" w:customStyle="1" w:styleId="WW8Num6z0">
    <w:name w:val="WW8Num6z0"/>
    <w:qFormat/>
    <w:rPr>
      <w:rFonts w:ascii="Symbol" w:eastAsia="Arial" w:hAnsi="Symbol" w:cs="OpenSymbol"/>
      <w:lang w:val="pl-PL"/>
    </w:rPr>
  </w:style>
  <w:style w:type="character" w:customStyle="1" w:styleId="WW8Num6z1">
    <w:name w:val="WW8Num6z1"/>
    <w:qFormat/>
    <w:rPr>
      <w:rFonts w:ascii="OpenSymbol" w:hAnsi="Open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WW8Num7z1">
    <w:name w:val="WW8Num7z1"/>
    <w:qFormat/>
    <w:rPr>
      <w:rFonts w:ascii="OpenSymbol" w:hAnsi="OpenSymbol" w:cs="OpenSymbol"/>
    </w:rPr>
  </w:style>
  <w:style w:type="character" w:customStyle="1" w:styleId="WW8Num8z0">
    <w:name w:val="WW8Num8z0"/>
    <w:qFormat/>
    <w:rPr>
      <w:rFonts w:ascii="Symbol" w:eastAsia="Arial" w:hAnsi="Symbol" w:cs="OpenSymbol"/>
      <w:lang w:val="pl-PL"/>
    </w:rPr>
  </w:style>
  <w:style w:type="character" w:customStyle="1" w:styleId="WW8Num8z1">
    <w:name w:val="WW8Num8z1"/>
    <w:qFormat/>
    <w:rPr>
      <w:rFonts w:ascii="OpenSymbol" w:hAnsi="OpenSymbol" w:cs="Open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NagwekZnak">
    <w:name w:val="Nagłówek Znak"/>
    <w:qFormat/>
    <w:rPr>
      <w:rFonts w:ascii="Arial" w:eastAsia="MS Mincho" w:hAnsi="Arial" w:cs="Tahoma"/>
      <w:kern w:val="2"/>
      <w:sz w:val="28"/>
      <w:szCs w:val="28"/>
    </w:rPr>
  </w:style>
  <w:style w:type="character" w:customStyle="1" w:styleId="StopkaZnak">
    <w:name w:val="Stopka Znak"/>
    <w:qFormat/>
    <w:rPr>
      <w:rFonts w:eastAsia="Arial Unicode MS"/>
      <w:kern w:val="2"/>
      <w:sz w:val="24"/>
      <w:szCs w:val="24"/>
    </w:rPr>
  </w:style>
  <w:style w:type="character" w:customStyle="1" w:styleId="TekstdymkaZnak">
    <w:name w:val="Tekst dymka Znak"/>
    <w:qFormat/>
    <w:rPr>
      <w:rFonts w:ascii="Tahoma" w:eastAsia="Arial Unicode MS" w:hAnsi="Tahoma" w:cs="Tahoma"/>
      <w:kern w:val="2"/>
      <w:sz w:val="16"/>
      <w:szCs w:val="16"/>
    </w:rPr>
  </w:style>
  <w:style w:type="character" w:customStyle="1" w:styleId="Stylwiadomocie-mail18">
    <w:name w:val="Styl wiadomości e-mail 18"/>
    <w:qFormat/>
    <w:rPr>
      <w:rFonts w:ascii="Arial" w:hAnsi="Arial" w:cs="Arial"/>
      <w:color w:val="000000"/>
      <w:sz w:val="20"/>
      <w:szCs w:val="20"/>
    </w:rPr>
  </w:style>
  <w:style w:type="character" w:customStyle="1" w:styleId="None">
    <w:name w:val="None"/>
    <w:qFormat/>
    <w:rPr>
      <w:lang w:val="en-US"/>
    </w:rPr>
  </w:style>
  <w:style w:type="character" w:customStyle="1" w:styleId="Tekstpodstawowy2Znak">
    <w:name w:val="Tekst podstawowy 2 Znak"/>
    <w:qFormat/>
    <w:rPr>
      <w:rFonts w:eastAsia="Arial Unicode MS"/>
      <w:kern w:val="2"/>
      <w:sz w:val="24"/>
      <w:szCs w:val="24"/>
    </w:rPr>
  </w:style>
  <w:style w:type="character" w:customStyle="1" w:styleId="TekstkomentarzaZnak">
    <w:name w:val="Tekst komentarza Znak"/>
    <w:qFormat/>
    <w:rPr>
      <w:szCs w:val="24"/>
    </w:rPr>
  </w:style>
  <w:style w:type="character" w:customStyle="1" w:styleId="Nagwek3Znak">
    <w:name w:val="Nagłówek 3 Znak"/>
    <w:basedOn w:val="Domylnaczcionkaakapitu"/>
    <w:qFormat/>
    <w:rPr>
      <w:rFonts w:ascii="Arial" w:eastAsia="Andale Sans UI" w:hAnsi="Arial" w:cs="Tahoma"/>
      <w:kern w:val="2"/>
      <w:sz w:val="24"/>
      <w:szCs w:val="24"/>
      <w:lang w:val="de-DE" w:eastAsia="ja-JP" w:bidi="fa-IR"/>
    </w:rPr>
  </w:style>
  <w:style w:type="character" w:customStyle="1" w:styleId="HTML-wstpniesformatowanyZnak">
    <w:name w:val="HTML - wstępnie sformatowany Znak"/>
    <w:basedOn w:val="Domylnaczcionkaakapitu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TekstprzypisukocowegoZnak">
    <w:name w:val="Tekst przypisu końcowego Znak"/>
    <w:basedOn w:val="Domylnaczcionkaakapitu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qFormat/>
    <w:rPr>
      <w:vertAlign w:val="superscript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eastAsia="Times New Roman" w:cs="Arial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eastAsia="Times New Roman" w:cs="Arial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b/>
      <w:i w:val="0"/>
      <w:sz w:val="22"/>
      <w:szCs w:val="22"/>
    </w:rPr>
  </w:style>
  <w:style w:type="character" w:customStyle="1" w:styleId="ListLabel15">
    <w:name w:val="ListLabel 15"/>
    <w:qFormat/>
    <w:rPr>
      <w:sz w:val="22"/>
      <w:szCs w:val="22"/>
    </w:rPr>
  </w:style>
  <w:style w:type="character" w:customStyle="1" w:styleId="ListLabel16">
    <w:name w:val="ListLabel 16"/>
    <w:qFormat/>
    <w:rPr>
      <w:sz w:val="22"/>
      <w:szCs w:val="22"/>
    </w:rPr>
  </w:style>
  <w:style w:type="character" w:customStyle="1" w:styleId="ListLabel17">
    <w:name w:val="ListLabel 17"/>
    <w:qFormat/>
    <w:rPr>
      <w:sz w:val="22"/>
      <w:szCs w:val="22"/>
    </w:rPr>
  </w:style>
  <w:style w:type="character" w:customStyle="1" w:styleId="ListLabel18">
    <w:name w:val="ListLabel 18"/>
    <w:qFormat/>
    <w:rPr>
      <w:sz w:val="22"/>
      <w:szCs w:val="22"/>
    </w:rPr>
  </w:style>
  <w:style w:type="character" w:customStyle="1" w:styleId="ListLabel19">
    <w:name w:val="ListLabel 19"/>
    <w:qFormat/>
    <w:rPr>
      <w:sz w:val="22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/>
      <w:i w:val="0"/>
      <w:sz w:val="22"/>
      <w:szCs w:val="22"/>
    </w:rPr>
  </w:style>
  <w:style w:type="character" w:customStyle="1" w:styleId="ListLabel25">
    <w:name w:val="ListLabel 25"/>
    <w:qFormat/>
    <w:rPr>
      <w:sz w:val="22"/>
      <w:szCs w:val="22"/>
    </w:rPr>
  </w:style>
  <w:style w:type="character" w:customStyle="1" w:styleId="ListLabel26">
    <w:name w:val="ListLabel 26"/>
    <w:qFormat/>
    <w:rPr>
      <w:sz w:val="22"/>
      <w:szCs w:val="22"/>
    </w:rPr>
  </w:style>
  <w:style w:type="character" w:customStyle="1" w:styleId="ListLabel27">
    <w:name w:val="ListLabel 27"/>
    <w:qFormat/>
    <w:rPr>
      <w:sz w:val="22"/>
      <w:szCs w:val="22"/>
    </w:rPr>
  </w:style>
  <w:style w:type="character" w:customStyle="1" w:styleId="ListLabel28">
    <w:name w:val="ListLabel 28"/>
    <w:qFormat/>
    <w:rPr>
      <w:sz w:val="22"/>
      <w:szCs w:val="22"/>
    </w:rPr>
  </w:style>
  <w:style w:type="character" w:customStyle="1" w:styleId="ListLabel29">
    <w:name w:val="ListLabel 29"/>
    <w:qFormat/>
    <w:rPr>
      <w:sz w:val="22"/>
    </w:rPr>
  </w:style>
  <w:style w:type="character" w:customStyle="1" w:styleId="ListLabel30">
    <w:name w:val="ListLabel 30"/>
    <w:qFormat/>
    <w:rPr>
      <w:rFonts w:eastAsia="Times New Roman" w:cs="Arial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eastAsia="Times New Roman" w:cs="Aria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eastAsia="Times New Roman" w:cs="Aria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eastAsia="Times New Roman" w:cs="Arial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ascii="Times New Roman" w:hAnsi="Times New Roman"/>
      <w:color w:val="00000A"/>
      <w:sz w:val="24"/>
    </w:rPr>
  </w:style>
  <w:style w:type="character" w:customStyle="1" w:styleId="HTML-wstpniesformatowanyZnak1">
    <w:name w:val="HTML - wstępnie sformatowany Znak1"/>
    <w:basedOn w:val="Domylnaczcionkaakapitu"/>
    <w:qFormat/>
    <w:rPr>
      <w:rFonts w:ascii="Courier New" w:hAnsi="Courier New" w:cs="Courier New"/>
    </w:rPr>
  </w:style>
  <w:style w:type="character" w:customStyle="1" w:styleId="TekstprzypisukocowegoZnak1">
    <w:name w:val="Tekst przypisu końcowego Znak1"/>
    <w:basedOn w:val="Domylnaczcionkaakapitu"/>
    <w:qFormat/>
  </w:style>
  <w:style w:type="character" w:customStyle="1" w:styleId="StopkaZnak1">
    <w:name w:val="Stopka Znak1"/>
    <w:basedOn w:val="Domylnaczcionkaakapitu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Znakinumeracji">
    <w:name w:val="Znaki numeracji"/>
    <w:qFormat/>
  </w:style>
  <w:style w:type="character" w:customStyle="1" w:styleId="Tekstpodstawowy3Znak">
    <w:name w:val="Tekst podstawowy 3 Znak"/>
    <w:basedOn w:val="Domylnaczcionkaakapitu"/>
    <w:qFormat/>
    <w:rPr>
      <w:sz w:val="16"/>
      <w:szCs w:val="16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matkomentarzaZnak">
    <w:name w:val="Temat komentarza Znak"/>
    <w:basedOn w:val="TekstkomentarzaZnak"/>
    <w:qFormat/>
    <w:rPr>
      <w:rFonts w:ascii="Calibri" w:eastAsia="Times New Roman" w:hAnsi="Calibri" w:cs="Times New Roman"/>
      <w:b/>
      <w:bCs/>
      <w:szCs w:val="24"/>
    </w:rPr>
  </w:style>
  <w:style w:type="character" w:customStyle="1" w:styleId="tlid-translation">
    <w:name w:val="tlid-translation"/>
    <w:basedOn w:val="Domylnaczcionkaakapitu"/>
    <w:qFormat/>
  </w:style>
  <w:style w:type="character" w:customStyle="1" w:styleId="FontStyle18">
    <w:name w:val="Font Style18"/>
    <w:qFormat/>
    <w:rPr>
      <w:rFonts w:ascii="Arial" w:hAnsi="Arial" w:cs="Arial"/>
      <w:color w:val="000000"/>
      <w:sz w:val="18"/>
      <w:szCs w:val="18"/>
    </w:rPr>
  </w:style>
  <w:style w:type="character" w:customStyle="1" w:styleId="Nagwek7Znak">
    <w:name w:val="Nagłówek 7 Znak"/>
    <w:basedOn w:val="Domylnaczcionkaakapitu"/>
    <w:qFormat/>
    <w:rPr>
      <w:rFonts w:ascii="Calibri Light" w:eastAsia="Times New Roman" w:hAnsi="Calibri Light" w:cs="Times New Roman"/>
      <w:i/>
      <w:iCs/>
      <w:color w:val="404040"/>
      <w:sz w:val="24"/>
      <w:szCs w:val="24"/>
    </w:rPr>
  </w:style>
  <w:style w:type="character" w:customStyle="1" w:styleId="Nagwek8Znak">
    <w:name w:val="Nagłówek 8 Znak"/>
    <w:basedOn w:val="Domylnaczcionkaakapitu"/>
    <w:qFormat/>
    <w:rPr>
      <w:sz w:val="24"/>
      <w:szCs w:val="24"/>
      <w:u w:val="single"/>
    </w:rPr>
  </w:style>
  <w:style w:type="character" w:customStyle="1" w:styleId="Nagwek9Znak">
    <w:name w:val="Nagłówek 9 Znak"/>
    <w:basedOn w:val="Domylnaczcionkaakapitu"/>
    <w:qFormat/>
    <w:rPr>
      <w:b/>
      <w:bCs/>
      <w:i/>
      <w:iCs/>
      <w:caps/>
      <w:sz w:val="24"/>
      <w:szCs w:val="30"/>
      <w:lang w:eastAsia="ar-SA"/>
    </w:rPr>
  </w:style>
  <w:style w:type="character" w:styleId="Numerstrony">
    <w:name w:val="page number"/>
    <w:basedOn w:val="Domylnaczcionkaakapitu"/>
    <w:qFormat/>
  </w:style>
  <w:style w:type="character" w:customStyle="1" w:styleId="PodtytuZnak">
    <w:name w:val="Podtytuł Znak"/>
    <w:basedOn w:val="Domylnaczcionkaakapitu"/>
    <w:qFormat/>
    <w:rPr>
      <w:rFonts w:ascii="Arial" w:hAnsi="Arial"/>
      <w:b/>
      <w:bCs/>
      <w:sz w:val="24"/>
      <w:u w:val="single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ListLabel82">
    <w:name w:val="ListLabel 82"/>
    <w:qFormat/>
    <w:rPr>
      <w:sz w:val="20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84">
    <w:name w:val="ListLabel 84"/>
    <w:qFormat/>
    <w:rPr>
      <w:sz w:val="20"/>
    </w:rPr>
  </w:style>
  <w:style w:type="character" w:customStyle="1" w:styleId="ListLabel85">
    <w:name w:val="ListLabel 85"/>
    <w:qFormat/>
    <w:rPr>
      <w:sz w:val="20"/>
    </w:rPr>
  </w:style>
  <w:style w:type="character" w:customStyle="1" w:styleId="ListLabel86">
    <w:name w:val="ListLabel 86"/>
    <w:qFormat/>
    <w:rPr>
      <w:sz w:val="20"/>
    </w:rPr>
  </w:style>
  <w:style w:type="character" w:customStyle="1" w:styleId="ListLabel87">
    <w:name w:val="ListLabel 87"/>
    <w:qFormat/>
    <w:rPr>
      <w:sz w:val="20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Times New Roman"/>
      <w:b/>
      <w:i w:val="0"/>
      <w:sz w:val="18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  <w:b/>
      <w:i w:val="0"/>
      <w:sz w:val="18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  <w:b/>
      <w:i w:val="0"/>
      <w:sz w:val="18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  <w:b/>
      <w:i w:val="0"/>
      <w:sz w:val="18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  <w:b/>
      <w:i w:val="0"/>
      <w:sz w:val="18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  <w:b/>
      <w:i w:val="0"/>
      <w:sz w:val="18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eastAsia="Andale Sans UI" w:cs="Tahoma"/>
      <w:i/>
      <w:iCs/>
      <w:lang w:val="de-DE" w:eastAsia="ja-JP" w:bidi="fa-IR"/>
    </w:rPr>
  </w:style>
  <w:style w:type="paragraph" w:customStyle="1" w:styleId="Indeks">
    <w:name w:val="Indeks"/>
    <w:basedOn w:val="Normalny"/>
    <w:qFormat/>
    <w:pPr>
      <w:widowControl w:val="0"/>
      <w:suppressLineNumbers/>
    </w:pPr>
    <w:rPr>
      <w:rFonts w:eastAsia="Andale Sans UI" w:cs="Tahoma"/>
      <w:kern w:val="2"/>
      <w:szCs w:val="20"/>
      <w:lang w:val="de-DE" w:eastAsia="ja-JP" w:bidi="fa-IR"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  <w:rPr>
      <w:rFonts w:eastAsia="Andale Sans UI" w:cs="Tahoma"/>
      <w:kern w:val="2"/>
      <w:szCs w:val="20"/>
      <w:lang w:val="de-DE" w:eastAsia="ja-JP" w:bidi="fa-IR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Bezodstpw">
    <w:name w:val="No Spacing"/>
    <w:qFormat/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Znak">
    <w:name w:val="Znak"/>
    <w:basedOn w:val="Normalny"/>
    <w:qFormat/>
  </w:style>
  <w:style w:type="paragraph" w:customStyle="1" w:styleId="FreeForm">
    <w:name w:val="Free Form"/>
    <w:qFormat/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Tekstkomentarza1">
    <w:name w:val="Tekst komentarza1"/>
    <w:basedOn w:val="Normalny"/>
    <w:qFormat/>
    <w:rPr>
      <w:rFonts w:eastAsia="Calibri"/>
      <w:sz w:val="20"/>
      <w:szCs w:val="20"/>
      <w:lang w:eastAsia="ar-SA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color w:val="00000A"/>
      <w:kern w:val="2"/>
      <w:sz w:val="24"/>
      <w:szCs w:val="24"/>
      <w:lang w:eastAsia="ar-SA"/>
    </w:r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styleId="Tekstkomentarza">
    <w:name w:val="annotation text"/>
    <w:basedOn w:val="Normalny"/>
    <w:qFormat/>
    <w:rPr>
      <w:sz w:val="20"/>
    </w:rPr>
  </w:style>
  <w:style w:type="paragraph" w:customStyle="1" w:styleId="TableParagraph">
    <w:name w:val="Table Paragraph"/>
    <w:basedOn w:val="Normalny"/>
    <w:qFormat/>
    <w:rPr>
      <w:rFonts w:ascii="Tahoma" w:eastAsia="Tahoma" w:hAnsi="Tahoma" w:cs="Tahoma"/>
      <w:sz w:val="22"/>
      <w:szCs w:val="22"/>
      <w:lang w:bidi="pl-PL"/>
    </w:rPr>
  </w:style>
  <w:style w:type="paragraph" w:customStyle="1" w:styleId="Default">
    <w:name w:val="Default"/>
    <w:qFormat/>
    <w:rPr>
      <w:rFonts w:ascii="Lucida Sans Unicode" w:hAnsi="Lucida Sans Unicode" w:cs="Lucida Sans Unicode"/>
      <w:color w:val="000000"/>
      <w:sz w:val="24"/>
      <w:szCs w:val="24"/>
      <w:lang w:val="en-US" w:eastAsia="en-US"/>
    </w:rPr>
  </w:style>
  <w:style w:type="paragraph" w:customStyle="1" w:styleId="Body">
    <w:name w:val="Body"/>
    <w:qFormat/>
    <w:rPr>
      <w:rFonts w:ascii="Helvetica" w:eastAsia="ヒラギノ角ゴ Pro W3" w:hAnsi="Helvetica"/>
      <w:color w:val="000000"/>
      <w:sz w:val="24"/>
    </w:rPr>
  </w:style>
  <w:style w:type="paragraph" w:customStyle="1" w:styleId="Domynie">
    <w:name w:val="Domy徑nie"/>
    <w:qFormat/>
    <w:pPr>
      <w:widowControl w:val="0"/>
    </w:pPr>
    <w:rPr>
      <w:rFonts w:ascii="Garamond" w:hAnsi="Garamond" w:cs="Garamond"/>
      <w:color w:val="00000A"/>
      <w:kern w:val="2"/>
      <w:sz w:val="24"/>
      <w:szCs w:val="24"/>
      <w:lang w:bidi="hi-IN"/>
    </w:rPr>
  </w:style>
  <w:style w:type="paragraph" w:customStyle="1" w:styleId="Legenda1">
    <w:name w:val="Legenda1"/>
    <w:basedOn w:val="Normalny"/>
    <w:qFormat/>
    <w:pPr>
      <w:suppressLineNumbers/>
      <w:spacing w:before="120" w:after="120" w:line="276" w:lineRule="auto"/>
    </w:pPr>
    <w:rPr>
      <w:rFonts w:ascii="Calibri" w:hAnsi="Calibri" w:cs="Arial"/>
      <w:i/>
      <w:iCs/>
    </w:rPr>
  </w:style>
  <w:style w:type="paragraph" w:customStyle="1" w:styleId="AZA1">
    <w:name w:val="AZA1"/>
    <w:basedOn w:val="Listapunktowana3"/>
    <w:autoRedefine/>
    <w:qFormat/>
    <w:pPr>
      <w:spacing w:after="0" w:line="240" w:lineRule="auto"/>
    </w:pPr>
    <w:rPr>
      <w:rFonts w:ascii="Arial" w:eastAsia="MS Mincho" w:hAnsi="Arial" w:cs="Arial"/>
      <w:sz w:val="24"/>
      <w:szCs w:val="24"/>
      <w:lang w:eastAsia="ja-JP"/>
    </w:rPr>
  </w:style>
  <w:style w:type="paragraph" w:styleId="Listapunktowana3">
    <w:name w:val="List Bullet 3"/>
    <w:basedOn w:val="Normalny"/>
    <w:qFormat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</w:rPr>
  </w:style>
  <w:style w:type="paragraph" w:customStyle="1" w:styleId="AZA2">
    <w:name w:val="AZA2"/>
    <w:basedOn w:val="Normalny"/>
    <w:autoRedefine/>
    <w:qFormat/>
    <w:rPr>
      <w:rFonts w:ascii="Arial" w:eastAsia="MS Mincho" w:hAnsi="Arial" w:cs="Arial"/>
      <w:sz w:val="22"/>
      <w:szCs w:val="22"/>
      <w:lang w:eastAsia="ja-JP"/>
    </w:rPr>
  </w:style>
  <w:style w:type="paragraph" w:customStyle="1" w:styleId="Stopka1">
    <w:name w:val="Stopka1"/>
    <w:basedOn w:val="Normalny"/>
    <w:qFormat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paragraph" w:customStyle="1" w:styleId="Akapitzlist1">
    <w:name w:val="Akapit z listą1"/>
    <w:basedOn w:val="Normalny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a-kontynuacja2">
    <w:name w:val="List Continue 2"/>
    <w:basedOn w:val="Normalny"/>
    <w:qFormat/>
    <w:pPr>
      <w:spacing w:after="120" w:line="276" w:lineRule="auto"/>
      <w:ind w:left="566"/>
      <w:contextualSpacing/>
    </w:pPr>
    <w:rPr>
      <w:rFonts w:ascii="Calibri" w:hAnsi="Calibri"/>
      <w:sz w:val="22"/>
      <w:szCs w:val="22"/>
    </w:rPr>
  </w:style>
  <w:style w:type="paragraph" w:styleId="HTML-wstpniesformatowany">
    <w:name w:val="HTML Preformatted"/>
    <w:basedOn w:val="Normalny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Textbody">
    <w:name w:val="Text body"/>
    <w:basedOn w:val="Standard"/>
    <w:qFormat/>
    <w:pPr>
      <w:spacing w:after="120"/>
    </w:pPr>
    <w:rPr>
      <w:rFonts w:eastAsia="Andale Sans UI" w:cs="Tahoma"/>
      <w:lang w:val="de-DE" w:eastAsia="ja-JP" w:bidi="fa-IR"/>
    </w:r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paragraph" w:styleId="Tematkomentarza">
    <w:name w:val="annotation subject"/>
    <w:basedOn w:val="Tekstkomentarza"/>
    <w:qFormat/>
    <w:pPr>
      <w:spacing w:after="200"/>
    </w:pPr>
    <w:rPr>
      <w:rFonts w:ascii="Calibri" w:hAnsi="Calibri"/>
      <w:b/>
      <w:bCs/>
      <w:szCs w:val="20"/>
    </w:rPr>
  </w:style>
  <w:style w:type="paragraph" w:customStyle="1" w:styleId="Domylnie">
    <w:name w:val="Domyślnie"/>
    <w:qFormat/>
    <w:pPr>
      <w:tabs>
        <w:tab w:val="left" w:pos="708"/>
      </w:tabs>
      <w:suppressAutoHyphens/>
    </w:pPr>
    <w:rPr>
      <w:color w:val="00000A"/>
      <w:sz w:val="24"/>
      <w:szCs w:val="24"/>
      <w:lang w:eastAsia="ar-SA"/>
    </w:rPr>
  </w:style>
  <w:style w:type="paragraph" w:styleId="Podtytu">
    <w:name w:val="Subtitle"/>
    <w:basedOn w:val="Normalny"/>
    <w:qFormat/>
    <w:pPr>
      <w:suppressAutoHyphens/>
      <w:jc w:val="center"/>
      <w:textAlignment w:val="baseline"/>
    </w:pPr>
    <w:rPr>
      <w:rFonts w:ascii="Arial" w:hAnsi="Arial"/>
      <w:b/>
      <w:bCs/>
      <w:szCs w:val="20"/>
      <w:u w:val="single"/>
    </w:rPr>
  </w:style>
  <w:style w:type="paragraph" w:customStyle="1" w:styleId="AbsatzTableFormat">
    <w:name w:val="AbsatzTableFormat"/>
    <w:basedOn w:val="Normalny"/>
    <w:qFormat/>
    <w:pPr>
      <w:widowControl w:val="0"/>
      <w:suppressAutoHyphens/>
      <w:jc w:val="center"/>
      <w:textAlignment w:val="baseline"/>
    </w:pPr>
    <w:rPr>
      <w:rFonts w:ascii="Arial Narrow" w:hAnsi="Arial Narrow" w:cs="Arial"/>
      <w:kern w:val="2"/>
      <w:szCs w:val="16"/>
    </w:rPr>
  </w:style>
  <w:style w:type="paragraph" w:customStyle="1" w:styleId="Zawartotabeli0">
    <w:name w:val="Zawartoœæ tabeli"/>
    <w:basedOn w:val="Normalny"/>
    <w:qFormat/>
    <w:pPr>
      <w:widowControl w:val="0"/>
      <w:suppressAutoHyphens/>
      <w:textAlignment w:val="baseline"/>
    </w:pPr>
    <w:rPr>
      <w:lang w:bidi="pl-PL"/>
    </w:rPr>
  </w:style>
  <w:style w:type="numbering" w:customStyle="1" w:styleId="WWOutlineListStyle">
    <w:name w:val="WW_OutlineListSty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9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4682</Words>
  <Characters>28096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L</dc:creator>
  <dc:description/>
  <cp:lastModifiedBy>Katarzyna Tarkowska</cp:lastModifiedBy>
  <cp:revision>4</cp:revision>
  <cp:lastPrinted>2020-07-29T10:17:00Z</cp:lastPrinted>
  <dcterms:created xsi:type="dcterms:W3CDTF">2020-09-01T09:33:00Z</dcterms:created>
  <dcterms:modified xsi:type="dcterms:W3CDTF">2020-09-01T10:10:00Z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ATC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