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25E1" w14:textId="77777777" w:rsidR="00541F02" w:rsidRPr="00B1235C" w:rsidRDefault="00541F02" w:rsidP="00541F02">
      <w:pPr>
        <w:tabs>
          <w:tab w:val="left" w:pos="0"/>
        </w:tabs>
        <w:jc w:val="both"/>
        <w:rPr>
          <w:rFonts w:ascii="Arial Narrow" w:eastAsia="Malgun Gothic" w:hAnsi="Arial Narrow" w:cs="Arial"/>
          <w:sz w:val="18"/>
          <w:szCs w:val="18"/>
        </w:rPr>
      </w:pPr>
    </w:p>
    <w:p w14:paraId="34651576" w14:textId="4C1C3148" w:rsidR="00541F02" w:rsidRPr="00B1235C" w:rsidRDefault="00541F02" w:rsidP="00541F02">
      <w:pPr>
        <w:jc w:val="right"/>
        <w:rPr>
          <w:rFonts w:ascii="Arial Narrow" w:hAnsi="Arial Narrow" w:cs="Arial"/>
        </w:rPr>
      </w:pPr>
      <w:r w:rsidRPr="00B1235C">
        <w:rPr>
          <w:rFonts w:ascii="Arial Narrow" w:hAnsi="Arial Narrow" w:cs="Arial"/>
        </w:rPr>
        <w:t xml:space="preserve">Bakałarzewo, </w:t>
      </w:r>
      <w:r w:rsidR="00B1235C" w:rsidRPr="00B1235C">
        <w:rPr>
          <w:rFonts w:ascii="Arial Narrow" w:hAnsi="Arial Narrow" w:cs="Arial"/>
        </w:rPr>
        <w:t xml:space="preserve">9 </w:t>
      </w:r>
      <w:r w:rsidR="00FA67DB" w:rsidRPr="00B1235C">
        <w:rPr>
          <w:rFonts w:ascii="Arial Narrow" w:hAnsi="Arial Narrow" w:cs="Arial"/>
        </w:rPr>
        <w:t xml:space="preserve">czerwiec </w:t>
      </w:r>
      <w:r w:rsidRPr="00B1235C">
        <w:rPr>
          <w:rFonts w:ascii="Arial Narrow" w:hAnsi="Arial Narrow" w:cs="Arial"/>
        </w:rPr>
        <w:t>2022 r.</w:t>
      </w:r>
    </w:p>
    <w:p w14:paraId="24F518ED" w14:textId="77777777" w:rsidR="00541F02" w:rsidRPr="00B1235C" w:rsidRDefault="00541F02" w:rsidP="00541F02">
      <w:pPr>
        <w:jc w:val="both"/>
        <w:rPr>
          <w:rFonts w:ascii="Arial Narrow" w:hAnsi="Arial Narrow" w:cs="Arial"/>
          <w:b/>
          <w:bCs/>
        </w:rPr>
      </w:pPr>
      <w:r w:rsidRPr="00B1235C">
        <w:rPr>
          <w:rFonts w:ascii="Arial Narrow" w:hAnsi="Arial Narrow" w:cs="Arial"/>
          <w:b/>
          <w:bCs/>
        </w:rPr>
        <w:t xml:space="preserve">ZAŁĄCZNIK Nr 1 </w:t>
      </w:r>
    </w:p>
    <w:p w14:paraId="69C9F364" w14:textId="16036E71" w:rsidR="00541F02" w:rsidRPr="00B1235C" w:rsidRDefault="00541F02" w:rsidP="00541F02">
      <w:pPr>
        <w:jc w:val="both"/>
        <w:rPr>
          <w:rFonts w:ascii="Arial Narrow" w:hAnsi="Arial Narrow" w:cs="Arial"/>
          <w:b/>
          <w:bCs/>
        </w:rPr>
      </w:pPr>
      <w:r w:rsidRPr="00B1235C">
        <w:rPr>
          <w:rFonts w:ascii="Arial Narrow" w:hAnsi="Arial Narrow" w:cs="Arial"/>
          <w:b/>
          <w:bCs/>
        </w:rPr>
        <w:t>do decyzji Wójta Gminy Bakałarzewo znak: BIO.6220.</w:t>
      </w:r>
      <w:r w:rsidR="00961EA2" w:rsidRPr="00B1235C">
        <w:rPr>
          <w:rFonts w:ascii="Arial Narrow" w:hAnsi="Arial Narrow" w:cs="Arial"/>
          <w:b/>
          <w:bCs/>
        </w:rPr>
        <w:t>2</w:t>
      </w:r>
      <w:r w:rsidRPr="00B1235C">
        <w:rPr>
          <w:rFonts w:ascii="Arial Narrow" w:hAnsi="Arial Narrow" w:cs="Arial"/>
          <w:b/>
          <w:bCs/>
        </w:rPr>
        <w:t xml:space="preserve">.2022.AP z dnia  </w:t>
      </w:r>
      <w:r w:rsidR="00B1235C" w:rsidRPr="00B1235C">
        <w:rPr>
          <w:rFonts w:ascii="Arial Narrow" w:hAnsi="Arial Narrow" w:cs="Arial"/>
          <w:b/>
          <w:bCs/>
        </w:rPr>
        <w:t>9</w:t>
      </w:r>
      <w:r w:rsidR="00D34A88" w:rsidRPr="00B1235C">
        <w:rPr>
          <w:rFonts w:ascii="Arial Narrow" w:hAnsi="Arial Narrow" w:cs="Arial"/>
          <w:b/>
          <w:bCs/>
        </w:rPr>
        <w:t xml:space="preserve"> </w:t>
      </w:r>
      <w:r w:rsidR="00FA67DB" w:rsidRPr="00B1235C">
        <w:rPr>
          <w:rFonts w:ascii="Arial Narrow" w:hAnsi="Arial Narrow" w:cs="Arial"/>
          <w:b/>
          <w:bCs/>
        </w:rPr>
        <w:t xml:space="preserve">czerwca </w:t>
      </w:r>
      <w:r w:rsidRPr="00B1235C">
        <w:rPr>
          <w:rFonts w:ascii="Arial Narrow" w:hAnsi="Arial Narrow" w:cs="Arial"/>
          <w:b/>
          <w:bCs/>
        </w:rPr>
        <w:t>2022 r.</w:t>
      </w:r>
    </w:p>
    <w:p w14:paraId="038B457C" w14:textId="77777777" w:rsidR="00541F02" w:rsidRPr="00B1235C" w:rsidRDefault="00541F02" w:rsidP="00541F02">
      <w:pPr>
        <w:ind w:left="5670"/>
        <w:jc w:val="both"/>
        <w:rPr>
          <w:rFonts w:ascii="Arial Narrow" w:hAnsi="Arial Narrow" w:cs="Arial"/>
          <w:b/>
          <w:bCs/>
        </w:rPr>
      </w:pPr>
    </w:p>
    <w:p w14:paraId="10F546B8" w14:textId="77777777" w:rsidR="00541F02" w:rsidRPr="00B1235C" w:rsidRDefault="00541F02" w:rsidP="00541F02">
      <w:pPr>
        <w:jc w:val="center"/>
        <w:rPr>
          <w:rFonts w:ascii="Arial Narrow" w:hAnsi="Arial Narrow" w:cs="Arial"/>
          <w:b/>
          <w:bCs/>
          <w:sz w:val="28"/>
          <w:szCs w:val="28"/>
        </w:rPr>
      </w:pPr>
    </w:p>
    <w:p w14:paraId="2CA6BBD0" w14:textId="77777777" w:rsidR="00541F02" w:rsidRPr="00B1235C" w:rsidRDefault="00541F02" w:rsidP="00541F02">
      <w:pPr>
        <w:jc w:val="center"/>
        <w:rPr>
          <w:rFonts w:ascii="Arial Narrow" w:hAnsi="Arial Narrow" w:cs="Arial"/>
          <w:b/>
          <w:bCs/>
          <w:sz w:val="28"/>
          <w:szCs w:val="28"/>
        </w:rPr>
      </w:pPr>
      <w:r w:rsidRPr="00B1235C">
        <w:rPr>
          <w:rFonts w:ascii="Arial Narrow" w:hAnsi="Arial Narrow" w:cs="Arial"/>
          <w:b/>
          <w:bCs/>
          <w:sz w:val="28"/>
          <w:szCs w:val="28"/>
        </w:rPr>
        <w:t>CHARAKTERYSTYKA PRZEDSIĘWZIĘCIA</w:t>
      </w:r>
    </w:p>
    <w:p w14:paraId="137FF288" w14:textId="77777777" w:rsidR="00541F02" w:rsidRPr="00B1235C" w:rsidRDefault="00541F02" w:rsidP="00541F02">
      <w:pPr>
        <w:jc w:val="center"/>
        <w:rPr>
          <w:rFonts w:ascii="Arial Narrow" w:hAnsi="Arial Narrow" w:cs="Arial"/>
          <w:b/>
          <w:bCs/>
          <w:sz w:val="28"/>
          <w:szCs w:val="28"/>
        </w:rPr>
      </w:pPr>
    </w:p>
    <w:p w14:paraId="70DF014A" w14:textId="77777777" w:rsidR="00961EA2" w:rsidRPr="00B1235C" w:rsidRDefault="00541F02" w:rsidP="00961EA2">
      <w:pPr>
        <w:ind w:right="-115" w:firstLine="709"/>
        <w:jc w:val="both"/>
        <w:rPr>
          <w:rFonts w:ascii="Arial Narrow" w:hAnsi="Arial Narrow" w:cs="Arial"/>
          <w:sz w:val="22"/>
          <w:szCs w:val="22"/>
        </w:rPr>
      </w:pPr>
      <w:r w:rsidRPr="00B1235C">
        <w:rPr>
          <w:rFonts w:ascii="Arial Narrow" w:eastAsia="Malgun Gothic" w:hAnsi="Arial Narrow" w:cs="Arial"/>
          <w:bCs/>
          <w:sz w:val="22"/>
          <w:szCs w:val="22"/>
        </w:rPr>
        <w:tab/>
      </w:r>
      <w:r w:rsidR="00961EA2" w:rsidRPr="00B1235C">
        <w:rPr>
          <w:rFonts w:ascii="Arial Narrow" w:hAnsi="Arial Narrow" w:cs="Arial"/>
          <w:sz w:val="22"/>
          <w:szCs w:val="22"/>
        </w:rPr>
        <w:t>Teren, na którym będzie realizowane przedsięwzięcie nie jest objęty obowiązującym miejscowym planem zagospodarowania przestrzennego.</w:t>
      </w:r>
    </w:p>
    <w:p w14:paraId="364170CA" w14:textId="77777777" w:rsidR="00961EA2" w:rsidRPr="00B1235C" w:rsidRDefault="00961EA2" w:rsidP="00961EA2">
      <w:pPr>
        <w:ind w:right="-115" w:firstLine="709"/>
        <w:jc w:val="both"/>
        <w:rPr>
          <w:rFonts w:ascii="Arial Narrow" w:hAnsi="Arial Narrow" w:cs="Arial"/>
          <w:sz w:val="22"/>
          <w:szCs w:val="22"/>
        </w:rPr>
      </w:pPr>
      <w:r w:rsidRPr="00B1235C">
        <w:rPr>
          <w:rFonts w:ascii="Arial Narrow" w:hAnsi="Arial Narrow" w:cs="Arial"/>
          <w:sz w:val="22"/>
          <w:szCs w:val="22"/>
        </w:rPr>
        <w:t xml:space="preserve">Planowane przedsięwzięcie polegać będzie na budowie Elektrowni Słonecznej Bakałarzewo - Góra wraz z wymaganą infrastrukturą techniczną. Realizowane będzie na działkach nr ew. 49, 55, 69/1, 69/3, 112, 114/1, 135, 136, 137/2 w obrębie 0005 Góra oraz na działkach nr ew. 210, 211 obręb 0003 Stara Chmielówka. Planowana łączna moc wszystkich zainstalowanych modułów fotowoltaicznych wyniesie do 150 </w:t>
      </w:r>
      <w:proofErr w:type="spellStart"/>
      <w:r w:rsidRPr="00B1235C">
        <w:rPr>
          <w:rFonts w:ascii="Arial Narrow" w:hAnsi="Arial Narrow" w:cs="Arial"/>
          <w:sz w:val="22"/>
          <w:szCs w:val="22"/>
        </w:rPr>
        <w:t>MWp</w:t>
      </w:r>
      <w:proofErr w:type="spellEnd"/>
      <w:r w:rsidRPr="00B1235C">
        <w:rPr>
          <w:rFonts w:ascii="Arial Narrow" w:hAnsi="Arial Narrow" w:cs="Arial"/>
          <w:sz w:val="22"/>
          <w:szCs w:val="22"/>
        </w:rPr>
        <w:t>. Powierzchnia terenu objętego wnioskiem wyniesie ok. 227,21 ha, a powierzchnię zabudowy modułami fotowoltaicznymi szacuje się na ok. 166,42 ha, tj. na dz. 49- ok. 6,23 ha, 55- ok. 4,30 ha, dz. 112- ok. 5,96 ha, dz. 114/1- ok.1,6 ha, dz. 69/3- ok. 2,1 ha, dz. 135- ok. 47,3 ha, dz. 210- ok. 36,36 ha, dz. 211- ok. 0,67 ha, dz. 136- ok. 29,6 ha, dz. 137/2- ok. 32,3 ha. Na dz. 69/1 obręb Góra na obecnym etapie nie planuje się zabudowy modułami fotowoltaicznymi. Działka ta może być wykorzystana do zapewnienia komunikacji, lokalizacji elementów sieci przesyłowej oraz innych obiektów o funkcji gospodarczej związanych z bieżącą obsługą inwestycji.</w:t>
      </w:r>
    </w:p>
    <w:p w14:paraId="0790C76F" w14:textId="77777777" w:rsidR="00961EA2" w:rsidRPr="00B1235C" w:rsidRDefault="00961EA2" w:rsidP="00961EA2">
      <w:pPr>
        <w:ind w:right="-115" w:firstLine="709"/>
        <w:jc w:val="both"/>
        <w:rPr>
          <w:rFonts w:ascii="Arial Narrow" w:hAnsi="Arial Narrow" w:cs="Arial"/>
          <w:sz w:val="22"/>
          <w:szCs w:val="22"/>
        </w:rPr>
      </w:pPr>
      <w:r w:rsidRPr="00B1235C">
        <w:rPr>
          <w:rFonts w:ascii="Arial Narrow" w:hAnsi="Arial Narrow" w:cs="Arial"/>
          <w:sz w:val="22"/>
          <w:szCs w:val="22"/>
        </w:rPr>
        <w:t xml:space="preserve">Do obsługi komunikacji na potrzeby elektrowni słonecznej zostaną wykorzystane istniejące drogi wewnętrzne dojazdowe o nawierzchniach przepuszczalnych żwirowych oraz planowane drogi wewnętrzne gruntowe i trawiaste, których układ będzie zapewniał dojazd do urządzeń w celach okresowej konserwacji i przeglądów. Przewiduje się utwardzenie nawierzchni komunikacyjnych między stacjami transformatorowymi kruszywem przepuszczającym wody opadowe. Stacja GPO zlokalizowana zostanie na działce nr 135 w obrębie Góra. Działki przeznaczone pod inwestycję obecnie wykorzystywane są rolniczo. Realizacja inwestycji nie wymaga wycinki drzew i krzewów.  </w:t>
      </w:r>
    </w:p>
    <w:p w14:paraId="583F9CD4" w14:textId="77777777" w:rsidR="00961EA2" w:rsidRPr="00B1235C" w:rsidRDefault="00961EA2" w:rsidP="00961EA2">
      <w:pPr>
        <w:ind w:right="-115" w:firstLine="709"/>
        <w:jc w:val="both"/>
        <w:rPr>
          <w:rFonts w:ascii="Arial Narrow" w:hAnsi="Arial Narrow" w:cs="Arial"/>
          <w:sz w:val="22"/>
          <w:szCs w:val="22"/>
        </w:rPr>
      </w:pPr>
      <w:r w:rsidRPr="00B1235C">
        <w:rPr>
          <w:rFonts w:ascii="Arial Narrow" w:hAnsi="Arial Narrow" w:cs="Arial"/>
          <w:sz w:val="22"/>
          <w:szCs w:val="22"/>
        </w:rPr>
        <w:t>Przez działki objęte inwestycją przepływa rzeka Szczeberka. Obszary zajęte pod wody płynące i stojące, istniejącą zabudowę zagrodową oraz drogi stanowiące wewnętrzne ciągi komunikacyjne zapewniające dostęp do drogi publicznej zostały wydzielone i nie przewiduje się ich zabudowy panelami.</w:t>
      </w:r>
    </w:p>
    <w:p w14:paraId="1B705100" w14:textId="77777777" w:rsidR="00961EA2" w:rsidRPr="00B1235C" w:rsidRDefault="00961EA2" w:rsidP="00961EA2">
      <w:pPr>
        <w:ind w:right="-115" w:firstLine="709"/>
        <w:jc w:val="both"/>
        <w:rPr>
          <w:rFonts w:ascii="Arial Narrow" w:hAnsi="Arial Narrow" w:cs="Arial"/>
          <w:sz w:val="22"/>
          <w:szCs w:val="22"/>
        </w:rPr>
      </w:pPr>
      <w:r w:rsidRPr="00B1235C">
        <w:rPr>
          <w:rFonts w:ascii="Arial Narrow" w:hAnsi="Arial Narrow" w:cs="Arial"/>
          <w:sz w:val="22"/>
          <w:szCs w:val="22"/>
        </w:rPr>
        <w:t>Najbliższa obca zabudowa mieszkaniowa oddalona jest od granic inwestycji ok. 100 m. Jest to zabudowa zagrodowa. Zabudowa zagrodowa znajduje się również na działce 57 w obrębie 0005 Góra w odległości ok. 110 m od granic inwestycji. Oba siedliska oddzielone są od planowanej farmy fotowoltaicznej pasem drzew.</w:t>
      </w:r>
    </w:p>
    <w:p w14:paraId="3EE03AA0" w14:textId="77777777" w:rsidR="00961EA2" w:rsidRPr="00B1235C" w:rsidRDefault="00961EA2" w:rsidP="00961EA2">
      <w:pPr>
        <w:ind w:right="-115" w:firstLine="709"/>
        <w:jc w:val="both"/>
        <w:rPr>
          <w:rFonts w:ascii="Arial Narrow" w:hAnsi="Arial Narrow" w:cs="Arial"/>
          <w:sz w:val="22"/>
          <w:szCs w:val="22"/>
        </w:rPr>
      </w:pPr>
      <w:r w:rsidRPr="00B1235C">
        <w:rPr>
          <w:rFonts w:ascii="Arial Narrow" w:hAnsi="Arial Narrow" w:cs="Arial"/>
          <w:sz w:val="22"/>
          <w:szCs w:val="22"/>
        </w:rPr>
        <w:t xml:space="preserve">Planowana instalacja fotowoltaiczna o mocy do 150 </w:t>
      </w:r>
      <w:proofErr w:type="spellStart"/>
      <w:r w:rsidRPr="00B1235C">
        <w:rPr>
          <w:rFonts w:ascii="Arial Narrow" w:hAnsi="Arial Narrow" w:cs="Arial"/>
          <w:sz w:val="22"/>
          <w:szCs w:val="22"/>
        </w:rPr>
        <w:t>MWp</w:t>
      </w:r>
      <w:proofErr w:type="spellEnd"/>
      <w:r w:rsidRPr="00B1235C">
        <w:rPr>
          <w:rFonts w:ascii="Arial Narrow" w:hAnsi="Arial Narrow" w:cs="Arial"/>
          <w:sz w:val="22"/>
          <w:szCs w:val="22"/>
        </w:rPr>
        <w:t xml:space="preserve"> składać się będzie z paneli fotowoltaicznych (do 490 000 szt.), abonenckiego głównego punktu odbioru (GPO), stacji SN/</w:t>
      </w:r>
      <w:proofErr w:type="spellStart"/>
      <w:r w:rsidRPr="00B1235C">
        <w:rPr>
          <w:rFonts w:ascii="Arial Narrow" w:hAnsi="Arial Narrow" w:cs="Arial"/>
          <w:sz w:val="22"/>
          <w:szCs w:val="22"/>
        </w:rPr>
        <w:t>nn</w:t>
      </w:r>
      <w:proofErr w:type="spellEnd"/>
      <w:r w:rsidRPr="00B1235C">
        <w:rPr>
          <w:rFonts w:ascii="Arial Narrow" w:hAnsi="Arial Narrow" w:cs="Arial"/>
          <w:sz w:val="22"/>
          <w:szCs w:val="22"/>
        </w:rPr>
        <w:t xml:space="preserve">  o powierzchni do 40 m</w:t>
      </w:r>
      <w:r w:rsidRPr="00B1235C">
        <w:rPr>
          <w:rFonts w:ascii="Arial Narrow" w:hAnsi="Arial Narrow" w:cs="Arial"/>
          <w:sz w:val="22"/>
          <w:szCs w:val="22"/>
          <w:vertAlign w:val="superscript"/>
        </w:rPr>
        <w:t>2</w:t>
      </w:r>
      <w:r w:rsidRPr="00B1235C">
        <w:rPr>
          <w:rFonts w:ascii="Arial Narrow" w:hAnsi="Arial Narrow" w:cs="Arial"/>
          <w:sz w:val="22"/>
          <w:szCs w:val="22"/>
        </w:rPr>
        <w:t xml:space="preserve"> każda, inwerterów (do 2 600 szt.), kabli światłowodowych i sterowniczych oraz kabli </w:t>
      </w:r>
      <w:proofErr w:type="spellStart"/>
      <w:r w:rsidRPr="00B1235C">
        <w:rPr>
          <w:rFonts w:ascii="Arial Narrow" w:hAnsi="Arial Narrow" w:cs="Arial"/>
          <w:sz w:val="22"/>
          <w:szCs w:val="22"/>
        </w:rPr>
        <w:t>nn</w:t>
      </w:r>
      <w:proofErr w:type="spellEnd"/>
      <w:r w:rsidRPr="00B1235C">
        <w:rPr>
          <w:rFonts w:ascii="Arial Narrow" w:hAnsi="Arial Narrow" w:cs="Arial"/>
          <w:sz w:val="22"/>
          <w:szCs w:val="22"/>
        </w:rPr>
        <w:t xml:space="preserve"> (łączących panele z inwerterami i inwertery ze stacjami Sn), kabli SN (łączących stacje SN/</w:t>
      </w:r>
      <w:proofErr w:type="spellStart"/>
      <w:r w:rsidRPr="00B1235C">
        <w:rPr>
          <w:rFonts w:ascii="Arial Narrow" w:hAnsi="Arial Narrow" w:cs="Arial"/>
          <w:sz w:val="22"/>
          <w:szCs w:val="22"/>
        </w:rPr>
        <w:t>nn</w:t>
      </w:r>
      <w:proofErr w:type="spellEnd"/>
      <w:r w:rsidRPr="00B1235C">
        <w:rPr>
          <w:rFonts w:ascii="Arial Narrow" w:hAnsi="Arial Narrow" w:cs="Arial"/>
          <w:sz w:val="22"/>
          <w:szCs w:val="22"/>
        </w:rPr>
        <w:t xml:space="preserve"> ze stacją GPO), kabli WN (łączących stację GPO z siecią WN 110 </w:t>
      </w:r>
      <w:proofErr w:type="spellStart"/>
      <w:r w:rsidRPr="00B1235C">
        <w:rPr>
          <w:rFonts w:ascii="Arial Narrow" w:hAnsi="Arial Narrow" w:cs="Arial"/>
          <w:sz w:val="22"/>
          <w:szCs w:val="22"/>
        </w:rPr>
        <w:t>kV</w:t>
      </w:r>
      <w:proofErr w:type="spellEnd"/>
      <w:r w:rsidRPr="00B1235C">
        <w:rPr>
          <w:rFonts w:ascii="Arial Narrow" w:hAnsi="Arial Narrow" w:cs="Arial"/>
          <w:sz w:val="22"/>
          <w:szCs w:val="22"/>
        </w:rPr>
        <w:t xml:space="preserve"> poprzez podłączenie do istniejącego GPZ w celu przekazania wyprodukowanej energii), a także niezbędnych do funkcjonowania przedsięwzięcia urządzeń infrastruktury technicznej, w tym monitoring i instalacje odgromowe, ogrodzenie terenu. Ponadto przewiduje się pozostawienie wolnej przestrzeni wokół całej instalacji, przeznaczonej pod drogę gruntową o szerokości ok. 4,0 m (funkcja komunikacyjna) umożliwiającą dojazd do urządzeń: stacji transformatorowych SN/</w:t>
      </w:r>
      <w:proofErr w:type="spellStart"/>
      <w:r w:rsidRPr="00B1235C">
        <w:rPr>
          <w:rFonts w:ascii="Arial Narrow" w:hAnsi="Arial Narrow" w:cs="Arial"/>
          <w:sz w:val="22"/>
          <w:szCs w:val="22"/>
        </w:rPr>
        <w:t>nn</w:t>
      </w:r>
      <w:proofErr w:type="spellEnd"/>
      <w:r w:rsidRPr="00B1235C">
        <w:rPr>
          <w:rFonts w:ascii="Arial Narrow" w:hAnsi="Arial Narrow" w:cs="Arial"/>
          <w:sz w:val="22"/>
          <w:szCs w:val="22"/>
        </w:rPr>
        <w:t>, inwerterów, stacji GPO.</w:t>
      </w:r>
    </w:p>
    <w:p w14:paraId="3B35ECDC" w14:textId="77777777" w:rsidR="00961EA2" w:rsidRPr="00B1235C" w:rsidRDefault="00961EA2" w:rsidP="00961EA2">
      <w:pPr>
        <w:ind w:right="-115" w:firstLine="709"/>
        <w:jc w:val="both"/>
        <w:rPr>
          <w:rFonts w:ascii="Arial Narrow" w:hAnsi="Arial Narrow" w:cs="Arial"/>
          <w:sz w:val="22"/>
          <w:szCs w:val="22"/>
        </w:rPr>
      </w:pPr>
      <w:r w:rsidRPr="00B1235C">
        <w:rPr>
          <w:rFonts w:ascii="Arial Narrow" w:hAnsi="Arial Narrow" w:cs="Arial"/>
          <w:sz w:val="22"/>
          <w:szCs w:val="22"/>
        </w:rPr>
        <w:t xml:space="preserve">Panele zostaną umieszczone w rzędach, pomiędzy którymi pozostawiony zostanie odstęp 3 do 10 m. Przestrzeń pomiędzy rzędami paneli pozostanie biologicznie czynna. Inwestor nie przewiduje stosowania na terenie farmy herbicydów i innych substancji ograniczających wzrost roślin. W ramach jednego rzędu, panele zostaną połączone za pomocą stalowych konstrukcji i posadowione na podporach – słupkach wkręconych (lub wbitych) w grunt na głębokość ok. 1,5 – 2,5 m. Montaż konstrukcji pod panele fotowoltaiczne nie wymaga wylewania fundamentów. Zgodnie z informacjami zawartymi w przedłożonej dokumentacji wykonania fundamentu mogą wymagać stacje transformatorowe oraz stacja GPO WN/SN. Realizacja przedsięwzięcia nie będzie wiązała się z niwelacją gruntu ani przenoszeniem mas ziemnych. Jak podano w KIP do przekazania wytworzonej przez elektrownie słoneczną energii planowana jest stacja GPO zlokalizowana na działce nr ew. 135. Planuje się wykorzystanie stacji typu kontenerowego. Nie dokonano jeszcze wyboru rodzaju transformatorów jakie zostaną wykorzystane do funkcjonowania elektrowni słonecznej, w razie konieczności zastosowania transformatorów olejowych, stacja transformatorowo-rozdzielcza zostanie wyposażona w szczelną misę olejową, która będzie w stanie przejąć ewentualny wyciek uniemożliwiając zanieczyszczenie środowiska gruntowo-wodnego. Planuje się wybudowanie podziemnej linii średniego napięcia w celu przyłączenia do istniejącej sieci dystrybucyjnej. Kable elektroenergetyczne wraz z linią światłowodową  układane będą w wykopach o szerokości ok. 0,5 – 1,0 m na </w:t>
      </w:r>
      <w:r w:rsidRPr="00B1235C">
        <w:rPr>
          <w:rFonts w:ascii="Arial Narrow" w:hAnsi="Arial Narrow" w:cs="Arial"/>
          <w:sz w:val="22"/>
          <w:szCs w:val="22"/>
        </w:rPr>
        <w:lastRenderedPageBreak/>
        <w:t xml:space="preserve">głębokości około 1,2 -1,4 m w obrębie użytków rolnych. Realizacja wykopów przeprowadzona będzie przy użyciu „mikromaszyn” budowlanych, ręcznie lub inna metodą zapewniającą minimalizację ich rozmiaru. Podczas realizacji przedsięwzięcia nie przewiduje się ingerencji w koryto rzeki Szczeberka. Podczas robót w pobliżu rzeki Szczeberka koryto rzeki zostanie zabezpieczone przed ewentualnym zanieczyszczeniem. </w:t>
      </w:r>
    </w:p>
    <w:p w14:paraId="57DF4FC6" w14:textId="1ECC7A82" w:rsidR="00541F02" w:rsidRPr="00B1235C" w:rsidRDefault="00541F02" w:rsidP="00961EA2">
      <w:pPr>
        <w:tabs>
          <w:tab w:val="left" w:pos="567"/>
        </w:tabs>
        <w:jc w:val="both"/>
        <w:rPr>
          <w:rFonts w:ascii="Arial Narrow" w:eastAsia="Malgun Gothic" w:hAnsi="Arial Narrow" w:cs="Arial"/>
          <w:bCs/>
          <w:sz w:val="22"/>
          <w:szCs w:val="22"/>
        </w:rPr>
      </w:pPr>
    </w:p>
    <w:p w14:paraId="33F560EE" w14:textId="77777777" w:rsidR="00541F02" w:rsidRPr="00B1235C" w:rsidRDefault="00541F02" w:rsidP="00541F02">
      <w:pPr>
        <w:tabs>
          <w:tab w:val="left" w:pos="340"/>
          <w:tab w:val="left" w:pos="680"/>
        </w:tabs>
        <w:ind w:left="6237"/>
        <w:jc w:val="center"/>
        <w:rPr>
          <w:rFonts w:ascii="Arial Narrow" w:eastAsia="Malgun Gothic" w:hAnsi="Arial Narrow" w:cs="Arial"/>
          <w:bCs/>
          <w:i/>
          <w:iCs/>
          <w:spacing w:val="-5"/>
          <w:sz w:val="22"/>
          <w:szCs w:val="22"/>
        </w:rPr>
      </w:pPr>
      <w:r w:rsidRPr="00B1235C">
        <w:rPr>
          <w:rFonts w:ascii="Arial Narrow" w:eastAsia="Malgun Gothic" w:hAnsi="Arial Narrow" w:cs="Arial"/>
          <w:bCs/>
          <w:i/>
          <w:iCs/>
          <w:spacing w:val="-5"/>
          <w:sz w:val="22"/>
          <w:szCs w:val="22"/>
        </w:rPr>
        <w:t>WÓJT</w:t>
      </w:r>
    </w:p>
    <w:p w14:paraId="67944C19" w14:textId="77777777" w:rsidR="00541F02" w:rsidRPr="00B1235C" w:rsidRDefault="00541F02" w:rsidP="00541F02">
      <w:pPr>
        <w:tabs>
          <w:tab w:val="left" w:pos="340"/>
          <w:tab w:val="left" w:pos="680"/>
        </w:tabs>
        <w:ind w:left="6237"/>
        <w:jc w:val="center"/>
        <w:rPr>
          <w:rFonts w:ascii="Arial Narrow" w:eastAsia="Malgun Gothic" w:hAnsi="Arial Narrow" w:cs="Arial"/>
          <w:bCs/>
          <w:i/>
          <w:iCs/>
          <w:spacing w:val="-5"/>
          <w:sz w:val="22"/>
          <w:szCs w:val="22"/>
        </w:rPr>
      </w:pPr>
      <w:r w:rsidRPr="00B1235C">
        <w:rPr>
          <w:rFonts w:ascii="Arial Narrow" w:eastAsia="Malgun Gothic" w:hAnsi="Arial Narrow" w:cs="Arial"/>
          <w:bCs/>
          <w:i/>
          <w:iCs/>
          <w:spacing w:val="-5"/>
          <w:sz w:val="22"/>
          <w:szCs w:val="22"/>
        </w:rPr>
        <w:t>dr Tomasz Naruszewicz</w:t>
      </w:r>
    </w:p>
    <w:p w14:paraId="3F38396B" w14:textId="77777777" w:rsidR="00541F02" w:rsidRPr="00B1235C" w:rsidRDefault="00541F02" w:rsidP="00541F02">
      <w:pPr>
        <w:tabs>
          <w:tab w:val="left" w:pos="0"/>
        </w:tabs>
        <w:jc w:val="both"/>
        <w:rPr>
          <w:rFonts w:ascii="Arial Narrow" w:eastAsia="Malgun Gothic" w:hAnsi="Arial Narrow" w:cs="Arial"/>
          <w:bCs/>
          <w:sz w:val="22"/>
          <w:szCs w:val="22"/>
        </w:rPr>
      </w:pPr>
    </w:p>
    <w:p w14:paraId="5E03E0D1" w14:textId="77777777" w:rsidR="00A3344F" w:rsidRPr="00B1235C" w:rsidRDefault="00A3344F"/>
    <w:sectPr w:rsidR="00A3344F" w:rsidRPr="00B1235C" w:rsidSect="00132E2A">
      <w:footerReference w:type="default" r:id="rId7"/>
      <w:pgSz w:w="11906" w:h="16838" w:code="9"/>
      <w:pgMar w:top="993" w:right="1418" w:bottom="1134"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1BCC" w14:textId="77777777" w:rsidR="00374E94" w:rsidRDefault="00374E94">
      <w:r>
        <w:separator/>
      </w:r>
    </w:p>
  </w:endnote>
  <w:endnote w:type="continuationSeparator" w:id="0">
    <w:p w14:paraId="2EA00FA7" w14:textId="77777777" w:rsidR="00374E94" w:rsidRDefault="0037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8BA5" w14:textId="77777777" w:rsidR="00A83845" w:rsidRPr="00486E65" w:rsidRDefault="00541F02">
    <w:pPr>
      <w:tabs>
        <w:tab w:val="center" w:pos="4550"/>
        <w:tab w:val="left" w:pos="5818"/>
      </w:tabs>
      <w:ind w:right="260"/>
      <w:jc w:val="right"/>
      <w:rPr>
        <w:rFonts w:ascii="Arial Narrow" w:hAnsi="Arial Narrow"/>
        <w:sz w:val="16"/>
        <w:szCs w:val="16"/>
      </w:rPr>
    </w:pPr>
    <w:r w:rsidRPr="00486E65">
      <w:rPr>
        <w:rFonts w:ascii="Arial Narrow" w:hAnsi="Arial Narrow"/>
        <w:sz w:val="16"/>
        <w:szCs w:val="16"/>
      </w:rPr>
      <w:t xml:space="preserve"> </w:t>
    </w:r>
    <w:r w:rsidRPr="00486E65">
      <w:rPr>
        <w:rFonts w:ascii="Arial Narrow" w:hAnsi="Arial Narrow"/>
        <w:sz w:val="16"/>
        <w:szCs w:val="16"/>
      </w:rPr>
      <w:fldChar w:fldCharType="begin"/>
    </w:r>
    <w:r w:rsidRPr="00486E65">
      <w:rPr>
        <w:rFonts w:ascii="Arial Narrow" w:hAnsi="Arial Narrow"/>
        <w:sz w:val="16"/>
        <w:szCs w:val="16"/>
      </w:rPr>
      <w:instrText>PAGE   \* MERGEFORMAT</w:instrText>
    </w:r>
    <w:r w:rsidRPr="00486E65">
      <w:rPr>
        <w:rFonts w:ascii="Arial Narrow" w:hAnsi="Arial Narrow"/>
        <w:sz w:val="16"/>
        <w:szCs w:val="16"/>
      </w:rPr>
      <w:fldChar w:fldCharType="separate"/>
    </w:r>
    <w:r>
      <w:rPr>
        <w:rFonts w:ascii="Arial Narrow" w:hAnsi="Arial Narrow"/>
        <w:noProof/>
        <w:sz w:val="16"/>
        <w:szCs w:val="16"/>
      </w:rPr>
      <w:t>3</w:t>
    </w:r>
    <w:r w:rsidRPr="00486E65">
      <w:rPr>
        <w:rFonts w:ascii="Arial Narrow" w:hAnsi="Arial Narrow"/>
        <w:sz w:val="16"/>
        <w:szCs w:val="16"/>
      </w:rPr>
      <w:fldChar w:fldCharType="end"/>
    </w:r>
    <w:r w:rsidRPr="00486E65">
      <w:rPr>
        <w:rFonts w:ascii="Arial Narrow" w:hAnsi="Arial Narrow"/>
        <w:sz w:val="16"/>
        <w:szCs w:val="16"/>
      </w:rPr>
      <w:t xml:space="preserve"> | </w:t>
    </w:r>
    <w:r w:rsidRPr="00486E65">
      <w:rPr>
        <w:rFonts w:ascii="Arial Narrow" w:hAnsi="Arial Narrow"/>
        <w:sz w:val="16"/>
        <w:szCs w:val="16"/>
      </w:rPr>
      <w:fldChar w:fldCharType="begin"/>
    </w:r>
    <w:r w:rsidRPr="00486E65">
      <w:rPr>
        <w:rFonts w:ascii="Arial Narrow" w:hAnsi="Arial Narrow"/>
        <w:sz w:val="16"/>
        <w:szCs w:val="16"/>
      </w:rPr>
      <w:instrText>NUMPAGES  \* Arabic  \* MERGEFORMAT</w:instrText>
    </w:r>
    <w:r w:rsidRPr="00486E65">
      <w:rPr>
        <w:rFonts w:ascii="Arial Narrow" w:hAnsi="Arial Narrow"/>
        <w:sz w:val="16"/>
        <w:szCs w:val="16"/>
      </w:rPr>
      <w:fldChar w:fldCharType="separate"/>
    </w:r>
    <w:r>
      <w:rPr>
        <w:rFonts w:ascii="Arial Narrow" w:hAnsi="Arial Narrow"/>
        <w:noProof/>
        <w:sz w:val="16"/>
        <w:szCs w:val="16"/>
      </w:rPr>
      <w:t>4</w:t>
    </w:r>
    <w:r w:rsidRPr="00486E65">
      <w:rPr>
        <w:rFonts w:ascii="Arial Narrow" w:hAnsi="Arial Narrow"/>
        <w:sz w:val="16"/>
        <w:szCs w:val="16"/>
      </w:rPr>
      <w:fldChar w:fldCharType="end"/>
    </w:r>
  </w:p>
  <w:p w14:paraId="689D279C" w14:textId="77777777" w:rsidR="00346CCD" w:rsidRPr="0019743E" w:rsidRDefault="00374E94" w:rsidP="004B6059">
    <w:pPr>
      <w:pStyle w:val="Stopka"/>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238F" w14:textId="77777777" w:rsidR="00374E94" w:rsidRDefault="00374E94">
      <w:r>
        <w:separator/>
      </w:r>
    </w:p>
  </w:footnote>
  <w:footnote w:type="continuationSeparator" w:id="0">
    <w:p w14:paraId="5E851EEC" w14:textId="77777777" w:rsidR="00374E94" w:rsidRDefault="0037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45F4"/>
    <w:multiLevelType w:val="hybridMultilevel"/>
    <w:tmpl w:val="88C8C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6C3651"/>
    <w:multiLevelType w:val="hybridMultilevel"/>
    <w:tmpl w:val="AEF214FA"/>
    <w:lvl w:ilvl="0" w:tplc="04150001">
      <w:start w:val="1"/>
      <w:numFmt w:val="bullet"/>
      <w:lvlText w:val=""/>
      <w:lvlJc w:val="left"/>
      <w:pPr>
        <w:ind w:left="720" w:hanging="360"/>
      </w:pPr>
      <w:rPr>
        <w:rFonts w:ascii="Symbol" w:hAnsi="Symbol" w:hint="default"/>
        <w:spacing w:val="-3"/>
        <w:w w:val="10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3100587">
    <w:abstractNumId w:val="0"/>
  </w:num>
  <w:num w:numId="2" w16cid:durableId="1975791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2"/>
    <w:rsid w:val="000044AC"/>
    <w:rsid w:val="00112A89"/>
    <w:rsid w:val="00254CAE"/>
    <w:rsid w:val="002B705B"/>
    <w:rsid w:val="002E7955"/>
    <w:rsid w:val="00374E94"/>
    <w:rsid w:val="004011C7"/>
    <w:rsid w:val="00541F02"/>
    <w:rsid w:val="006F14AE"/>
    <w:rsid w:val="007A3791"/>
    <w:rsid w:val="0090150D"/>
    <w:rsid w:val="00953456"/>
    <w:rsid w:val="00961EA2"/>
    <w:rsid w:val="00A01EF2"/>
    <w:rsid w:val="00A3344F"/>
    <w:rsid w:val="00B1235C"/>
    <w:rsid w:val="00B44E99"/>
    <w:rsid w:val="00D31882"/>
    <w:rsid w:val="00D34A88"/>
    <w:rsid w:val="00F3548C"/>
    <w:rsid w:val="00FA6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0F49"/>
  <w15:chartTrackingRefBased/>
  <w15:docId w15:val="{6DA195F6-62E3-4090-8BA9-A8271D4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F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41F02"/>
    <w:pPr>
      <w:tabs>
        <w:tab w:val="center" w:pos="4536"/>
        <w:tab w:val="right" w:pos="9072"/>
      </w:tabs>
    </w:pPr>
  </w:style>
  <w:style w:type="character" w:customStyle="1" w:styleId="StopkaZnak">
    <w:name w:val="Stopka Znak"/>
    <w:basedOn w:val="Domylnaczcionkaakapitu"/>
    <w:link w:val="Stopka"/>
    <w:uiPriority w:val="99"/>
    <w:rsid w:val="00541F02"/>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41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4742</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APLAGA</dc:creator>
  <cp:keywords/>
  <dc:description/>
  <cp:lastModifiedBy>APLAGA</cp:lastModifiedBy>
  <cp:revision>13</cp:revision>
  <cp:lastPrinted>2022-04-08T06:01:00Z</cp:lastPrinted>
  <dcterms:created xsi:type="dcterms:W3CDTF">2022-03-23T12:13:00Z</dcterms:created>
  <dcterms:modified xsi:type="dcterms:W3CDTF">2022-06-09T10:59:00Z</dcterms:modified>
</cp:coreProperties>
</file>