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53281AE" w:rsidR="00C80103" w:rsidRPr="00813377" w:rsidRDefault="00DA62F3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50FAE4D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DA62F3">
              <w:rPr>
                <w:b/>
                <w:bCs/>
              </w:rPr>
              <w:t>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5A1BF03C" w:rsidR="00DA62F3" w:rsidRDefault="00DA62F3" w:rsidP="00DA62F3">
            <w:bookmarkStart w:id="0" w:name="_Hlk38531824"/>
            <w:r w:rsidRPr="00E417BB">
              <w:t xml:space="preserve">Przebudowa drogi gminnej </w:t>
            </w:r>
            <w:bookmarkEnd w:id="0"/>
            <w:r>
              <w:rPr>
                <w:rFonts w:eastAsia="Lucida Sans Unicode"/>
                <w:szCs w:val="24"/>
              </w:rPr>
              <w:t>nr 101949B w miejscowości Podgórze (obręb Góra)</w:t>
            </w:r>
            <w:r w:rsidRPr="002D2C8B">
              <w:rPr>
                <w:rFonts w:eastAsia="Lucida Sans Unicode"/>
                <w:szCs w:val="24"/>
              </w:rPr>
              <w:t>, gmina Bakałarzewo</w:t>
            </w:r>
            <w:r>
              <w:rPr>
                <w:rFonts w:eastAsia="Lucida Sans Unicode"/>
                <w:szCs w:val="24"/>
              </w:rPr>
              <w:t xml:space="preserve"> o dł. 1,650 km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5F79E090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>
              <w:t>Podgórze, obręb Góra,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7A90B76A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BIO.6220.2.2021.AP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C6E8D86" w:rsidR="00DA62F3" w:rsidRDefault="00DA62F3" w:rsidP="00DA62F3">
            <w:r>
              <w:t>12.02.2021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E3401A1" w:rsidR="00DA62F3" w:rsidRDefault="00DA62F3" w:rsidP="00DA62F3">
            <w:r>
              <w:t>12.02.2021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102D3812" w:rsidR="00DA62F3" w:rsidRDefault="00DA62F3" w:rsidP="00DA62F3">
            <w:r>
              <w:t>16.02.2021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E3318"/>
    <w:rsid w:val="0080451A"/>
    <w:rsid w:val="00813377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5</cp:revision>
  <cp:lastPrinted>2021-02-16T07:39:00Z</cp:lastPrinted>
  <dcterms:created xsi:type="dcterms:W3CDTF">2021-02-16T07:36:00Z</dcterms:created>
  <dcterms:modified xsi:type="dcterms:W3CDTF">2021-02-16T07:39:00Z</dcterms:modified>
</cp:coreProperties>
</file>