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48A" w:rsidRDefault="00E1148A" w:rsidP="00E1148A">
      <w:pPr>
        <w:spacing w:line="360" w:lineRule="auto"/>
        <w:jc w:val="center"/>
        <w:rPr>
          <w:rFonts w:ascii="Times New Roman" w:hAnsi="Times New Roman" w:cs="Times New Roman"/>
          <w:sz w:val="24"/>
        </w:rPr>
      </w:pPr>
      <w:r>
        <w:rPr>
          <w:rFonts w:ascii="Times New Roman" w:hAnsi="Times New Roman" w:cs="Times New Roman"/>
          <w:sz w:val="24"/>
        </w:rPr>
        <w:t xml:space="preserve">INFORMACJA O KONIECZNOŚCI ZAOPINIOWANIA NOWYCH UCHWAŁ </w:t>
      </w:r>
      <w:r>
        <w:rPr>
          <w:rFonts w:ascii="Times New Roman" w:hAnsi="Times New Roman" w:cs="Times New Roman"/>
          <w:sz w:val="24"/>
        </w:rPr>
        <w:br/>
        <w:t xml:space="preserve">W ZWIĄZKU Z ZMIANĄ USTAWY O WYCHOWANIU W TRZEŹWOŚCI </w:t>
      </w:r>
      <w:r>
        <w:rPr>
          <w:rFonts w:ascii="Times New Roman" w:hAnsi="Times New Roman" w:cs="Times New Roman"/>
          <w:sz w:val="24"/>
        </w:rPr>
        <w:br/>
      </w:r>
      <w:bookmarkStart w:id="0" w:name="_GoBack"/>
      <w:bookmarkEnd w:id="0"/>
      <w:r>
        <w:rPr>
          <w:rFonts w:ascii="Times New Roman" w:hAnsi="Times New Roman" w:cs="Times New Roman"/>
          <w:sz w:val="24"/>
        </w:rPr>
        <w:t xml:space="preserve">I PRZECIWDZIAŁANIU ALKOHOLIZMOWI </w:t>
      </w:r>
    </w:p>
    <w:p w:rsidR="00E6046A" w:rsidRPr="00C9628E" w:rsidRDefault="00724593" w:rsidP="00C9628E">
      <w:pPr>
        <w:spacing w:line="360" w:lineRule="auto"/>
        <w:jc w:val="both"/>
        <w:rPr>
          <w:rFonts w:ascii="Times New Roman" w:hAnsi="Times New Roman" w:cs="Times New Roman"/>
          <w:sz w:val="24"/>
        </w:rPr>
      </w:pPr>
      <w:r w:rsidRPr="00C9628E">
        <w:rPr>
          <w:rFonts w:ascii="Times New Roman" w:hAnsi="Times New Roman" w:cs="Times New Roman"/>
          <w:sz w:val="24"/>
        </w:rPr>
        <w:t>W dniu 10 stycznia 2018</w:t>
      </w:r>
      <w:r w:rsidR="00E6046A" w:rsidRPr="00C9628E">
        <w:rPr>
          <w:rFonts w:ascii="Times New Roman" w:hAnsi="Times New Roman" w:cs="Times New Roman"/>
          <w:sz w:val="24"/>
        </w:rPr>
        <w:t xml:space="preserve">r. Sejm uchwalił ustawę o wychowaniu w trzeźwości </w:t>
      </w:r>
      <w:r w:rsidRPr="00C9628E">
        <w:rPr>
          <w:rFonts w:ascii="Times New Roman" w:hAnsi="Times New Roman" w:cs="Times New Roman"/>
          <w:sz w:val="24"/>
        </w:rPr>
        <w:br/>
      </w:r>
      <w:r w:rsidR="00E6046A" w:rsidRPr="00C9628E">
        <w:rPr>
          <w:rFonts w:ascii="Times New Roman" w:hAnsi="Times New Roman" w:cs="Times New Roman"/>
          <w:sz w:val="24"/>
        </w:rPr>
        <w:t>i przeciwdziałaniu alkoholizmowi, która wesz</w:t>
      </w:r>
      <w:r w:rsidRPr="00C9628E">
        <w:rPr>
          <w:rFonts w:ascii="Times New Roman" w:hAnsi="Times New Roman" w:cs="Times New Roman"/>
          <w:sz w:val="24"/>
        </w:rPr>
        <w:t>ła w życie z dniem 9 marca 2018</w:t>
      </w:r>
      <w:r w:rsidR="00E6046A" w:rsidRPr="00C9628E">
        <w:rPr>
          <w:rFonts w:ascii="Times New Roman" w:hAnsi="Times New Roman" w:cs="Times New Roman"/>
          <w:sz w:val="24"/>
        </w:rPr>
        <w:t xml:space="preserve">r. Zmiana przepisów wiąże  się  z koniecznością podjęcia przez Radę Gminy </w:t>
      </w:r>
      <w:r w:rsidRPr="00C9628E">
        <w:rPr>
          <w:rFonts w:ascii="Times New Roman" w:hAnsi="Times New Roman" w:cs="Times New Roman"/>
          <w:sz w:val="24"/>
        </w:rPr>
        <w:t xml:space="preserve">Świerzno </w:t>
      </w:r>
      <w:r w:rsidR="00E6046A" w:rsidRPr="00C9628E">
        <w:rPr>
          <w:rFonts w:ascii="Times New Roman" w:hAnsi="Times New Roman" w:cs="Times New Roman"/>
          <w:sz w:val="24"/>
        </w:rPr>
        <w:t>nowych uchwał określających maksymalną liczbę zezwoleń na sprzedaż napojów alkoholowych na terenie gminy</w:t>
      </w:r>
      <w:r w:rsidRPr="00C9628E">
        <w:rPr>
          <w:rFonts w:ascii="Times New Roman" w:hAnsi="Times New Roman" w:cs="Times New Roman"/>
          <w:sz w:val="24"/>
        </w:rPr>
        <w:t>,</w:t>
      </w:r>
      <w:r w:rsidR="00E6046A" w:rsidRPr="00C9628E">
        <w:rPr>
          <w:rFonts w:ascii="Times New Roman" w:hAnsi="Times New Roman" w:cs="Times New Roman"/>
          <w:sz w:val="24"/>
        </w:rPr>
        <w:t xml:space="preserve"> zasady usytuowania</w:t>
      </w:r>
      <w:r w:rsidRPr="00C9628E">
        <w:rPr>
          <w:rFonts w:ascii="Times New Roman" w:hAnsi="Times New Roman" w:cs="Times New Roman"/>
          <w:sz w:val="24"/>
        </w:rPr>
        <w:t xml:space="preserve"> </w:t>
      </w:r>
      <w:r w:rsidR="00E6046A" w:rsidRPr="00C9628E">
        <w:rPr>
          <w:rFonts w:ascii="Times New Roman" w:hAnsi="Times New Roman" w:cs="Times New Roman"/>
          <w:sz w:val="24"/>
        </w:rPr>
        <w:t xml:space="preserve">na terenie gminy miejsc sprzedaży i </w:t>
      </w:r>
      <w:r w:rsidRPr="00C9628E">
        <w:rPr>
          <w:rFonts w:ascii="Times New Roman" w:hAnsi="Times New Roman" w:cs="Times New Roman"/>
          <w:sz w:val="24"/>
        </w:rPr>
        <w:t xml:space="preserve">podawania napojów alkoholowych oraz odstępstwa od zakazu spożywania napojów alkoholowych w miejscach publicznych na terenie Gminy Świerzno </w:t>
      </w:r>
      <w:r w:rsidR="00E6046A" w:rsidRPr="00C9628E">
        <w:rPr>
          <w:rFonts w:ascii="Times New Roman" w:hAnsi="Times New Roman" w:cs="Times New Roman"/>
          <w:sz w:val="24"/>
        </w:rPr>
        <w:t xml:space="preserve">do czego obliguje radę gminy treść </w:t>
      </w:r>
      <w:r w:rsidR="00E1148A">
        <w:rPr>
          <w:rFonts w:ascii="Times New Roman" w:hAnsi="Times New Roman" w:cs="Times New Roman"/>
          <w:sz w:val="24"/>
        </w:rPr>
        <w:br/>
      </w:r>
      <w:r w:rsidR="00E6046A" w:rsidRPr="00C9628E">
        <w:rPr>
          <w:rFonts w:ascii="Times New Roman" w:hAnsi="Times New Roman" w:cs="Times New Roman"/>
          <w:sz w:val="24"/>
        </w:rPr>
        <w:t xml:space="preserve">art. 12 znowelizowanej ustawy. </w:t>
      </w:r>
    </w:p>
    <w:p w:rsidR="00E6046A" w:rsidRPr="00C9628E" w:rsidRDefault="00E6046A" w:rsidP="00C9628E">
      <w:pPr>
        <w:spacing w:line="360" w:lineRule="auto"/>
        <w:jc w:val="both"/>
        <w:rPr>
          <w:rFonts w:ascii="Times New Roman" w:hAnsi="Times New Roman" w:cs="Times New Roman"/>
          <w:sz w:val="24"/>
        </w:rPr>
      </w:pPr>
      <w:r w:rsidRPr="00C9628E">
        <w:rPr>
          <w:rFonts w:ascii="Times New Roman" w:hAnsi="Times New Roman" w:cs="Times New Roman"/>
          <w:sz w:val="24"/>
        </w:rPr>
        <w:t xml:space="preserve">Stosownie do art. 12 ust.5 przedmiotowej ustawy rada gminy przed podjęciem uchwał, zasięga opinii jednostki pomocniczej gminy. </w:t>
      </w:r>
    </w:p>
    <w:p w:rsidR="00E6046A" w:rsidRPr="00C9628E" w:rsidRDefault="00E6046A" w:rsidP="00C9628E">
      <w:pPr>
        <w:pStyle w:val="Normal0"/>
        <w:spacing w:before="120" w:after="120" w:line="360" w:lineRule="auto"/>
        <w:rPr>
          <w:rStyle w:val="Domylnaczcionkaakapitu1"/>
          <w:sz w:val="24"/>
        </w:rPr>
      </w:pPr>
      <w:r w:rsidRPr="00C9628E">
        <w:rPr>
          <w:rStyle w:val="Domylnaczcionkaakapitu1"/>
          <w:sz w:val="24"/>
        </w:rPr>
        <w:t xml:space="preserve">Na podstawie art. 12 ust. 1, </w:t>
      </w:r>
      <w:r w:rsidRPr="00C9628E">
        <w:rPr>
          <w:rStyle w:val="Domylnaczcionkaakapitu1"/>
          <w:sz w:val="24"/>
          <w:lang w:val="x-none"/>
        </w:rPr>
        <w:t xml:space="preserve"> </w:t>
      </w:r>
      <w:r w:rsidRPr="00C9628E">
        <w:rPr>
          <w:rStyle w:val="Domylnaczcionkaakapitu1"/>
          <w:sz w:val="24"/>
        </w:rPr>
        <w:t>rada gminy ustala, w drodze uchwały, maksymalną liczbę zezwoleń na sprzedaż napojów alkoholowych na terenie gminy, odrębnie dla:</w:t>
      </w:r>
    </w:p>
    <w:p w:rsidR="00E6046A" w:rsidRPr="00C9628E" w:rsidRDefault="00E6046A" w:rsidP="00C9628E">
      <w:pPr>
        <w:pStyle w:val="Normal0"/>
        <w:numPr>
          <w:ilvl w:val="0"/>
          <w:numId w:val="6"/>
        </w:numPr>
        <w:spacing w:before="120" w:after="120" w:line="360" w:lineRule="auto"/>
        <w:rPr>
          <w:rStyle w:val="Domylnaczcionkaakapitu1"/>
          <w:sz w:val="24"/>
        </w:rPr>
      </w:pPr>
      <w:r w:rsidRPr="00C9628E">
        <w:rPr>
          <w:rStyle w:val="Domylnaczcionkaakapitu1"/>
          <w:sz w:val="24"/>
        </w:rPr>
        <w:t>poszczególnych rodzajów napojów alkoholowych, o których mowa w art. 18 ust. 3 ustawy, tj. oddzielnie na: napoje alkoholowe do 4,5% zawartości alkoholu oraz na piwo, powyżej 4,5% do 18% zawartości alkoholu ( z wyjątkiem piwa) oraz powyżej 18% zawartości alkoholu.</w:t>
      </w:r>
    </w:p>
    <w:p w:rsidR="00E6046A" w:rsidRPr="00C9628E" w:rsidRDefault="00E6046A" w:rsidP="00C9628E">
      <w:pPr>
        <w:pStyle w:val="Normal0"/>
        <w:numPr>
          <w:ilvl w:val="0"/>
          <w:numId w:val="6"/>
        </w:numPr>
        <w:spacing w:before="120" w:after="120" w:line="360" w:lineRule="auto"/>
        <w:rPr>
          <w:rStyle w:val="Domylnaczcionkaakapitu1"/>
          <w:sz w:val="24"/>
        </w:rPr>
      </w:pPr>
      <w:r w:rsidRPr="00C9628E">
        <w:rPr>
          <w:rStyle w:val="Domylnaczcionkaakapitu1"/>
          <w:sz w:val="24"/>
        </w:rPr>
        <w:t>zezwoleń na sprzedaż napojów alkoholowych przeznaczonych do spożycia w miejscu sprzedaży;</w:t>
      </w:r>
    </w:p>
    <w:p w:rsidR="00E6046A" w:rsidRPr="00C9628E" w:rsidRDefault="00E6046A" w:rsidP="00C9628E">
      <w:pPr>
        <w:pStyle w:val="Normal0"/>
        <w:numPr>
          <w:ilvl w:val="0"/>
          <w:numId w:val="6"/>
        </w:numPr>
        <w:spacing w:before="120" w:after="120" w:line="360" w:lineRule="auto"/>
        <w:rPr>
          <w:rStyle w:val="Domylnaczcionkaakapitu1"/>
          <w:sz w:val="24"/>
        </w:rPr>
      </w:pPr>
      <w:r w:rsidRPr="00C9628E">
        <w:rPr>
          <w:rStyle w:val="Domylnaczcionkaakapitu1"/>
          <w:sz w:val="24"/>
        </w:rPr>
        <w:t xml:space="preserve">zezwoleń na sprzedaż napojów alkoholowych przeznaczonych do spożycia poza miejscem sprzedaży. </w:t>
      </w:r>
    </w:p>
    <w:p w:rsidR="00E6046A" w:rsidRPr="00E1148A" w:rsidRDefault="00E6046A" w:rsidP="00C9628E">
      <w:pPr>
        <w:pStyle w:val="Normal0"/>
        <w:spacing w:before="120" w:after="120" w:line="360" w:lineRule="auto"/>
        <w:rPr>
          <w:rStyle w:val="Domylnaczcionkaakapitu1"/>
          <w:sz w:val="24"/>
        </w:rPr>
      </w:pPr>
      <w:r w:rsidRPr="00C9628E">
        <w:rPr>
          <w:rStyle w:val="Domylnaczcionkaakapitu1"/>
          <w:sz w:val="24"/>
        </w:rPr>
        <w:t xml:space="preserve">W dotychczas obowiązującym stanie prawnym, limitom podlegała liczba </w:t>
      </w:r>
      <w:r w:rsidRPr="00C9628E">
        <w:rPr>
          <w:rStyle w:val="Domylnaczcionkaakapitu1"/>
          <w:b/>
          <w:sz w:val="24"/>
        </w:rPr>
        <w:t>punktów</w:t>
      </w:r>
      <w:r w:rsidRPr="00C9628E">
        <w:rPr>
          <w:rStyle w:val="Domylnaczcionkaakapitu1"/>
          <w:sz w:val="24"/>
        </w:rPr>
        <w:t xml:space="preserve"> sprzedaży napojów alkoholowych. W gminie </w:t>
      </w:r>
      <w:r w:rsidR="00724593" w:rsidRPr="00C9628E">
        <w:rPr>
          <w:rStyle w:val="Domylnaczcionkaakapitu1"/>
          <w:sz w:val="24"/>
        </w:rPr>
        <w:t>Świerzno</w:t>
      </w:r>
      <w:r w:rsidRPr="00C9628E">
        <w:rPr>
          <w:rStyle w:val="Domylnaczcionkaakapitu1"/>
          <w:sz w:val="24"/>
        </w:rPr>
        <w:t xml:space="preserve">, w przypadku zezwoleń na sprzedaż napojów alkoholowych przeznaczonych do spożycia poza miejscem sprzedaży, dotychczasowy limit określony był na poziomie </w:t>
      </w:r>
      <w:r w:rsidR="00724593" w:rsidRPr="00C9628E">
        <w:rPr>
          <w:rStyle w:val="Domylnaczcionkaakapitu1"/>
          <w:b/>
          <w:sz w:val="24"/>
        </w:rPr>
        <w:t>30</w:t>
      </w:r>
      <w:r w:rsidRPr="00C9628E">
        <w:rPr>
          <w:rStyle w:val="Domylnaczcionkaakapitu1"/>
          <w:sz w:val="24"/>
        </w:rPr>
        <w:t xml:space="preserve"> punktów. W przedłożonym projekcie uchwały proponujemy liczbę: </w:t>
      </w:r>
      <w:r w:rsidR="00724593" w:rsidRPr="00C9628E">
        <w:rPr>
          <w:rStyle w:val="Domylnaczcionkaakapitu1"/>
          <w:b/>
          <w:sz w:val="24"/>
        </w:rPr>
        <w:t>25</w:t>
      </w:r>
      <w:r w:rsidRPr="00C9628E">
        <w:rPr>
          <w:rStyle w:val="Domylnaczcionkaakapitu1"/>
          <w:sz w:val="24"/>
        </w:rPr>
        <w:t xml:space="preserve"> zezwoleń do 4,5% zawartości alkoholu oraz piwo, </w:t>
      </w:r>
      <w:r w:rsidR="00724593" w:rsidRPr="00C9628E">
        <w:rPr>
          <w:rStyle w:val="Domylnaczcionkaakapitu1"/>
          <w:b/>
          <w:sz w:val="24"/>
        </w:rPr>
        <w:t>25</w:t>
      </w:r>
      <w:r w:rsidRPr="00C9628E">
        <w:rPr>
          <w:rStyle w:val="Domylnaczcionkaakapitu1"/>
          <w:sz w:val="24"/>
        </w:rPr>
        <w:t xml:space="preserve"> zezwoleń powyżej 4,5% zawartością alkoholu do 18% zawartoś</w:t>
      </w:r>
      <w:r w:rsidR="00724593" w:rsidRPr="00C9628E">
        <w:rPr>
          <w:rStyle w:val="Domylnaczcionkaakapitu1"/>
          <w:sz w:val="24"/>
        </w:rPr>
        <w:t xml:space="preserve">ci alkoholu </w:t>
      </w:r>
      <w:r w:rsidRPr="00C9628E">
        <w:rPr>
          <w:rStyle w:val="Domylnaczcionkaakapitu1"/>
          <w:sz w:val="24"/>
        </w:rPr>
        <w:t xml:space="preserve">(z wyjątkiem piwa) i </w:t>
      </w:r>
      <w:r w:rsidR="00724593" w:rsidRPr="00C9628E">
        <w:rPr>
          <w:rStyle w:val="Domylnaczcionkaakapitu1"/>
          <w:b/>
          <w:sz w:val="24"/>
        </w:rPr>
        <w:t>25</w:t>
      </w:r>
      <w:r w:rsidRPr="00C9628E">
        <w:rPr>
          <w:rStyle w:val="Domylnaczcionkaakapitu1"/>
          <w:b/>
          <w:sz w:val="24"/>
        </w:rPr>
        <w:t xml:space="preserve"> </w:t>
      </w:r>
      <w:r w:rsidRPr="00C9628E">
        <w:rPr>
          <w:rStyle w:val="Domylnaczcionkaakapitu1"/>
          <w:sz w:val="24"/>
        </w:rPr>
        <w:t>zezwoleń powyżej 18% zawartości alkoholu. W przypadku zezwoleń na sprzedaż napojów alkoholowych pr</w:t>
      </w:r>
      <w:r w:rsidR="00E1148A">
        <w:rPr>
          <w:rStyle w:val="Domylnaczcionkaakapitu1"/>
          <w:sz w:val="24"/>
        </w:rPr>
        <w:t xml:space="preserve">zeznaczonych do spożycia  </w:t>
      </w:r>
      <w:r w:rsidRPr="00C9628E">
        <w:rPr>
          <w:rStyle w:val="Domylnaczcionkaakapitu1"/>
          <w:sz w:val="24"/>
        </w:rPr>
        <w:t xml:space="preserve">w miejscu sprzedaży, dotychczasowy limit wynosił </w:t>
      </w:r>
      <w:r w:rsidR="00724593" w:rsidRPr="00C9628E">
        <w:rPr>
          <w:rStyle w:val="Domylnaczcionkaakapitu1"/>
          <w:b/>
          <w:sz w:val="24"/>
        </w:rPr>
        <w:t>5</w:t>
      </w:r>
      <w:r w:rsidRPr="00C9628E">
        <w:rPr>
          <w:rStyle w:val="Domylnaczcionkaakapitu1"/>
          <w:b/>
          <w:sz w:val="24"/>
        </w:rPr>
        <w:t xml:space="preserve"> punktów</w:t>
      </w:r>
      <w:r w:rsidRPr="00C9628E">
        <w:rPr>
          <w:rStyle w:val="Domylnaczcionkaakapitu1"/>
          <w:sz w:val="24"/>
        </w:rPr>
        <w:t xml:space="preserve">. W nowym projekcie uchwały proponujemy liczbę: </w:t>
      </w:r>
      <w:r w:rsidRPr="00C9628E">
        <w:rPr>
          <w:rStyle w:val="Domylnaczcionkaakapitu1"/>
          <w:b/>
          <w:sz w:val="24"/>
        </w:rPr>
        <w:t xml:space="preserve">5 </w:t>
      </w:r>
      <w:r w:rsidRPr="00C9628E">
        <w:rPr>
          <w:rStyle w:val="Domylnaczcionkaakapitu1"/>
          <w:sz w:val="24"/>
        </w:rPr>
        <w:t xml:space="preserve">zezwoleń na sprzedaż do 4,5% zawartości </w:t>
      </w:r>
      <w:r w:rsidRPr="00C9628E">
        <w:rPr>
          <w:rStyle w:val="Domylnaczcionkaakapitu1"/>
          <w:sz w:val="24"/>
        </w:rPr>
        <w:lastRenderedPageBreak/>
        <w:t xml:space="preserve">alkoholu oraz na </w:t>
      </w:r>
      <w:r w:rsidR="00E1148A">
        <w:rPr>
          <w:rStyle w:val="Domylnaczcionkaakapitu1"/>
          <w:sz w:val="24"/>
        </w:rPr>
        <w:t xml:space="preserve">piwo, </w:t>
      </w:r>
      <w:r w:rsidRPr="00C9628E">
        <w:rPr>
          <w:rStyle w:val="Domylnaczcionkaakapitu1"/>
          <w:b/>
          <w:sz w:val="24"/>
        </w:rPr>
        <w:t>5</w:t>
      </w:r>
      <w:r w:rsidRPr="00C9628E">
        <w:rPr>
          <w:rStyle w:val="Domylnaczcionkaakapitu1"/>
          <w:sz w:val="24"/>
        </w:rPr>
        <w:t xml:space="preserve"> zezwoleń</w:t>
      </w:r>
      <w:r w:rsidR="00E1148A">
        <w:rPr>
          <w:rStyle w:val="Domylnaczcionkaakapitu1"/>
          <w:sz w:val="24"/>
        </w:rPr>
        <w:t xml:space="preserve"> powyżej 4,5% do 18% zawartości </w:t>
      </w:r>
      <w:r w:rsidRPr="00C9628E">
        <w:rPr>
          <w:rStyle w:val="Domylnaczcionkaakapitu1"/>
          <w:sz w:val="24"/>
        </w:rPr>
        <w:t xml:space="preserve">alkoholu </w:t>
      </w:r>
      <w:r w:rsidR="00E1148A">
        <w:rPr>
          <w:rStyle w:val="Domylnaczcionkaakapitu1"/>
          <w:sz w:val="24"/>
        </w:rPr>
        <w:br/>
      </w:r>
      <w:r w:rsidRPr="00C9628E">
        <w:rPr>
          <w:rStyle w:val="Domylnaczcionkaakapitu1"/>
          <w:sz w:val="24"/>
        </w:rPr>
        <w:t xml:space="preserve">(z wyjątkiem piwa) i </w:t>
      </w:r>
      <w:r w:rsidRPr="00C9628E">
        <w:rPr>
          <w:rStyle w:val="Domylnaczcionkaakapitu1"/>
          <w:b/>
          <w:sz w:val="24"/>
        </w:rPr>
        <w:t>5</w:t>
      </w:r>
      <w:r w:rsidRPr="00C9628E">
        <w:rPr>
          <w:rStyle w:val="Domylnaczcionkaakapitu1"/>
          <w:sz w:val="24"/>
        </w:rPr>
        <w:t xml:space="preserve"> zezwoleń powyżej 18% zawartości alkoholu. </w:t>
      </w:r>
      <w:r w:rsidR="00E1148A">
        <w:rPr>
          <w:rStyle w:val="Domylnaczcionkaakapitu1"/>
          <w:sz w:val="24"/>
        </w:rPr>
        <w:t xml:space="preserve"> </w:t>
      </w:r>
      <w:r w:rsidRPr="00C9628E">
        <w:rPr>
          <w:rStyle w:val="Domylnaczcionkaakapitu1"/>
          <w:sz w:val="24"/>
          <w:lang w:val="x-none"/>
        </w:rPr>
        <w:t>Proponowane liczby są optymalne dla zapewnienia zasady równości wobec prawa zarówno podmiotów wykonujących działalność gospodarczą, jak i tych</w:t>
      </w:r>
      <w:r w:rsidR="006E3500" w:rsidRPr="00C9628E">
        <w:rPr>
          <w:rStyle w:val="Domylnaczcionkaakapitu1"/>
          <w:sz w:val="24"/>
        </w:rPr>
        <w:t>,</w:t>
      </w:r>
      <w:r w:rsidRPr="00C9628E">
        <w:rPr>
          <w:rStyle w:val="Domylnaczcionkaakapitu1"/>
          <w:sz w:val="24"/>
          <w:lang w:val="x-none"/>
        </w:rPr>
        <w:t xml:space="preserve"> które zamierzają tę działalność podjąć w przyszłości.</w:t>
      </w:r>
    </w:p>
    <w:p w:rsidR="00E6046A" w:rsidRPr="00C9628E" w:rsidRDefault="00E6046A" w:rsidP="00C9628E">
      <w:pPr>
        <w:pStyle w:val="Normal0"/>
        <w:spacing w:before="120" w:after="120" w:line="360" w:lineRule="auto"/>
        <w:rPr>
          <w:rStyle w:val="Domylnaczcionkaakapitu1"/>
          <w:sz w:val="24"/>
          <w:szCs w:val="22"/>
        </w:rPr>
      </w:pPr>
      <w:r w:rsidRPr="00C9628E">
        <w:rPr>
          <w:rStyle w:val="Domylnaczcionkaakapitu1"/>
          <w:sz w:val="24"/>
        </w:rPr>
        <w:t xml:space="preserve">Przygotowany projekt uwzględnia także zasady usytuowania na terenie gminy </w:t>
      </w:r>
      <w:r w:rsidR="00C9628E" w:rsidRPr="00C9628E">
        <w:rPr>
          <w:rStyle w:val="Domylnaczcionkaakapitu1"/>
          <w:sz w:val="24"/>
        </w:rPr>
        <w:t>Świerzno</w:t>
      </w:r>
      <w:r w:rsidRPr="00C9628E">
        <w:rPr>
          <w:rStyle w:val="Domylnaczcionkaakapitu1"/>
          <w:sz w:val="24"/>
        </w:rPr>
        <w:t xml:space="preserve">  miejsc sprzedaży i podawania napojów alkoholowych. Zgodnie z art. 12 ust.3 w aktualnym brzmieniu ustawy z dnia 26 października 1982 r. o wychowaniu w trzeźwości i przeciwdziałaniu alkoholizmowi ich określenie należy do kompetencj</w:t>
      </w:r>
      <w:r w:rsidR="00E1148A">
        <w:rPr>
          <w:rStyle w:val="Domylnaczcionkaakapitu1"/>
          <w:sz w:val="24"/>
        </w:rPr>
        <w:t xml:space="preserve">i </w:t>
      </w:r>
      <w:r w:rsidRPr="00C9628E">
        <w:rPr>
          <w:rStyle w:val="Domylnaczcionkaakapitu1"/>
          <w:sz w:val="24"/>
        </w:rPr>
        <w:t xml:space="preserve">rady gminy. </w:t>
      </w:r>
      <w:r w:rsidRPr="00C9628E">
        <w:rPr>
          <w:sz w:val="24"/>
          <w:szCs w:val="22"/>
        </w:rPr>
        <w:t>Pod pojęciem zasad usytuowania punktów sprzedaży</w:t>
      </w:r>
      <w:r w:rsidR="00C9628E" w:rsidRPr="00C9628E">
        <w:rPr>
          <w:sz w:val="24"/>
          <w:szCs w:val="22"/>
        </w:rPr>
        <w:t xml:space="preserve"> </w:t>
      </w:r>
      <w:r w:rsidRPr="00C9628E">
        <w:rPr>
          <w:sz w:val="24"/>
          <w:szCs w:val="22"/>
        </w:rPr>
        <w:t xml:space="preserve">i podawania napojów alkoholowych należy rozumieć </w:t>
      </w:r>
      <w:r w:rsidR="00E1148A">
        <w:rPr>
          <w:sz w:val="24"/>
          <w:szCs w:val="22"/>
        </w:rPr>
        <w:br/>
      </w:r>
      <w:r w:rsidRPr="00C9628E">
        <w:rPr>
          <w:sz w:val="24"/>
          <w:szCs w:val="22"/>
        </w:rPr>
        <w:t xml:space="preserve">ich rozmieszczenie w terenie, a w szczególności ich usytuowanie względem miejsc chronionych, przy czym ustawa nie określa jakie obiekty powinny być chronione. Tę kwestię regulują przepisy prawa miejscowego. Uchwała powinna określać zasady usytuowania punktów sprzedaży względem miejsc chronionych w sposób precyzyjny i czytelny, tak aby </w:t>
      </w:r>
      <w:r w:rsidR="00E1148A">
        <w:rPr>
          <w:sz w:val="24"/>
          <w:szCs w:val="22"/>
        </w:rPr>
        <w:br/>
      </w:r>
      <w:r w:rsidRPr="00C9628E">
        <w:rPr>
          <w:sz w:val="24"/>
          <w:szCs w:val="22"/>
        </w:rPr>
        <w:t xml:space="preserve">po zapoznaniu się z jej treścią, każdy mógł  w sposób jednoznaczny określić, jaka lokalizacja jest według jej przepisów dopuszczalna, a jaka zabroniona. </w:t>
      </w:r>
      <w:r w:rsidRPr="00C9628E">
        <w:rPr>
          <w:rStyle w:val="Domylnaczcionkaakapitu1"/>
          <w:sz w:val="24"/>
        </w:rPr>
        <w:t xml:space="preserve">W przedłożonym projekcie, </w:t>
      </w:r>
      <w:r w:rsidR="00E1148A">
        <w:rPr>
          <w:rStyle w:val="Domylnaczcionkaakapitu1"/>
          <w:sz w:val="24"/>
        </w:rPr>
        <w:br/>
      </w:r>
      <w:r w:rsidRPr="00C9628E">
        <w:rPr>
          <w:rStyle w:val="Domylnaczcionkaakapitu1"/>
          <w:sz w:val="24"/>
        </w:rPr>
        <w:t xml:space="preserve">za obiekty chronione w gminie </w:t>
      </w:r>
      <w:r w:rsidR="00C9628E" w:rsidRPr="00C9628E">
        <w:rPr>
          <w:rStyle w:val="Domylnaczcionkaakapitu1"/>
          <w:sz w:val="24"/>
        </w:rPr>
        <w:t>Świerzno</w:t>
      </w:r>
      <w:r w:rsidRPr="00C9628E">
        <w:rPr>
          <w:rStyle w:val="Domylnaczcionkaakapitu1"/>
          <w:sz w:val="24"/>
        </w:rPr>
        <w:t xml:space="preserve">  proponuje się uznać</w:t>
      </w:r>
      <w:r w:rsidR="00C9628E" w:rsidRPr="00C9628E">
        <w:rPr>
          <w:rStyle w:val="Domylnaczcionkaakapitu1"/>
          <w:sz w:val="24"/>
        </w:rPr>
        <w:t xml:space="preserve">: </w:t>
      </w:r>
      <w:r w:rsidR="00C9628E" w:rsidRPr="00C9628E">
        <w:rPr>
          <w:rFonts w:eastAsia="Times New Roman"/>
          <w:sz w:val="24"/>
          <w:szCs w:val="24"/>
        </w:rPr>
        <w:t>szkoły, przedszkola, obiekty sakralne oraz cmentarze.</w:t>
      </w:r>
      <w:r w:rsidR="00C9628E" w:rsidRPr="00C9628E">
        <w:rPr>
          <w:sz w:val="24"/>
          <w:szCs w:val="22"/>
        </w:rPr>
        <w:t xml:space="preserve"> </w:t>
      </w:r>
      <w:r w:rsidRPr="00C9628E">
        <w:rPr>
          <w:rStyle w:val="Domylnaczcionkaakapitu1"/>
          <w:sz w:val="24"/>
        </w:rPr>
        <w:t>Odległość od punktu sprzedaży i podawania napojów alkoho</w:t>
      </w:r>
      <w:r w:rsidR="00C9628E" w:rsidRPr="00C9628E">
        <w:rPr>
          <w:rStyle w:val="Domylnaczcionkaakapitu1"/>
          <w:sz w:val="24"/>
        </w:rPr>
        <w:t>lowych do obiektów chronionych</w:t>
      </w:r>
      <w:r w:rsidRPr="00C9628E">
        <w:rPr>
          <w:rStyle w:val="Domylnaczcionkaakapitu1"/>
          <w:sz w:val="24"/>
        </w:rPr>
        <w:t xml:space="preserve"> </w:t>
      </w:r>
      <w:r w:rsidR="00C9628E" w:rsidRPr="00C9628E">
        <w:rPr>
          <w:rStyle w:val="Domylnaczcionkaakapitu1"/>
          <w:sz w:val="24"/>
        </w:rPr>
        <w:t xml:space="preserve">mierzy się wytyczonymi ciągami przeznaczonymi dla pieszych, </w:t>
      </w:r>
      <w:r w:rsidR="00E1148A">
        <w:rPr>
          <w:rStyle w:val="Domylnaczcionkaakapitu1"/>
          <w:sz w:val="24"/>
        </w:rPr>
        <w:br/>
      </w:r>
      <w:r w:rsidR="00C9628E" w:rsidRPr="00C9628E">
        <w:rPr>
          <w:rStyle w:val="Domylnaczcionkaakapitu1"/>
          <w:sz w:val="24"/>
        </w:rPr>
        <w:t>od drzwi wejściowych punktu sprzedaży oraz sprzedaży i podawania napojów alkoholowych, do drzwi wejściowych obiektów wskazanych w odległości nie mniejszej niż 50 metrów.</w:t>
      </w:r>
    </w:p>
    <w:p w:rsidR="00E6046A" w:rsidRPr="00724593" w:rsidRDefault="00E6046A" w:rsidP="00E6046A">
      <w:pPr>
        <w:jc w:val="center"/>
        <w:rPr>
          <w:sz w:val="24"/>
        </w:rPr>
      </w:pPr>
    </w:p>
    <w:p w:rsidR="00E6046A" w:rsidRPr="00724593" w:rsidRDefault="00E6046A" w:rsidP="00E6046A">
      <w:pPr>
        <w:jc w:val="center"/>
        <w:rPr>
          <w:sz w:val="24"/>
        </w:rPr>
      </w:pPr>
    </w:p>
    <w:p w:rsidR="00E6046A" w:rsidRPr="00724593" w:rsidRDefault="00E6046A" w:rsidP="00E6046A">
      <w:pPr>
        <w:jc w:val="center"/>
        <w:rPr>
          <w:sz w:val="24"/>
        </w:rPr>
      </w:pPr>
    </w:p>
    <w:p w:rsidR="00E6046A" w:rsidRPr="00724593" w:rsidRDefault="00E6046A" w:rsidP="00E6046A">
      <w:pPr>
        <w:jc w:val="center"/>
        <w:rPr>
          <w:sz w:val="24"/>
        </w:rPr>
      </w:pPr>
    </w:p>
    <w:p w:rsidR="00E6046A" w:rsidRPr="00724593" w:rsidRDefault="00E6046A" w:rsidP="00E6046A">
      <w:pPr>
        <w:rPr>
          <w:sz w:val="24"/>
        </w:rPr>
      </w:pPr>
    </w:p>
    <w:p w:rsidR="00E6046A" w:rsidRPr="00724593" w:rsidRDefault="00E6046A" w:rsidP="00E6046A">
      <w:pPr>
        <w:rPr>
          <w:sz w:val="24"/>
        </w:rPr>
      </w:pPr>
    </w:p>
    <w:p w:rsidR="005F7C92" w:rsidRDefault="005F7C92"/>
    <w:p w:rsidR="00E25727" w:rsidRDefault="00E25727"/>
    <w:p w:rsidR="00E25727" w:rsidRDefault="00E25727"/>
    <w:p w:rsidR="00E25727" w:rsidRDefault="00E25727"/>
    <w:sectPr w:rsidR="00E25727" w:rsidSect="00441A47">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97107"/>
    <w:multiLevelType w:val="hybridMultilevel"/>
    <w:tmpl w:val="D7CA0CDC"/>
    <w:lvl w:ilvl="0" w:tplc="BEDC955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61E2912"/>
    <w:multiLevelType w:val="hybridMultilevel"/>
    <w:tmpl w:val="D3D6334A"/>
    <w:lvl w:ilvl="0" w:tplc="D6CA931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55363E8B"/>
    <w:multiLevelType w:val="hybridMultilevel"/>
    <w:tmpl w:val="F9DE80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CE56F1E"/>
    <w:multiLevelType w:val="hybridMultilevel"/>
    <w:tmpl w:val="05527A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36778CE"/>
    <w:multiLevelType w:val="hybridMultilevel"/>
    <w:tmpl w:val="6ADC0A8E"/>
    <w:lvl w:ilvl="0" w:tplc="38128B38">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5" w15:restartNumberingAfterBreak="0">
    <w:nsid w:val="772D3F79"/>
    <w:multiLevelType w:val="hybridMultilevel"/>
    <w:tmpl w:val="1CA412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EE3"/>
    <w:rsid w:val="000B4614"/>
    <w:rsid w:val="0016589E"/>
    <w:rsid w:val="00354EE3"/>
    <w:rsid w:val="00441A47"/>
    <w:rsid w:val="00472F13"/>
    <w:rsid w:val="005F7C92"/>
    <w:rsid w:val="00655CA1"/>
    <w:rsid w:val="006E3500"/>
    <w:rsid w:val="00724593"/>
    <w:rsid w:val="00934B9C"/>
    <w:rsid w:val="00A61844"/>
    <w:rsid w:val="00B01116"/>
    <w:rsid w:val="00C335BB"/>
    <w:rsid w:val="00C9628E"/>
    <w:rsid w:val="00CF4BB3"/>
    <w:rsid w:val="00E1148A"/>
    <w:rsid w:val="00E25727"/>
    <w:rsid w:val="00E6046A"/>
    <w:rsid w:val="00F335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5FC830-DA21-462F-9E49-E396912D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04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6046A"/>
    <w:pPr>
      <w:ind w:left="720"/>
      <w:contextualSpacing/>
    </w:pPr>
  </w:style>
  <w:style w:type="character" w:customStyle="1" w:styleId="Domylnaczcionkaakapitu1">
    <w:name w:val="Domyślna czcionka akapitu1"/>
    <w:rsid w:val="00E6046A"/>
  </w:style>
  <w:style w:type="paragraph" w:customStyle="1" w:styleId="Normal0">
    <w:name w:val="Normal_0"/>
    <w:rsid w:val="00E6046A"/>
    <w:pPr>
      <w:suppressAutoHyphens/>
      <w:spacing w:after="0" w:line="240" w:lineRule="auto"/>
      <w:jc w:val="both"/>
    </w:pPr>
    <w:rPr>
      <w:rFonts w:ascii="Times New Roman" w:eastAsia="Arial" w:hAnsi="Times New Roman" w:cs="Times New Roman"/>
      <w:szCs w:val="20"/>
      <w:lang w:eastAsia="hi-IN" w:bidi="hi-IN"/>
    </w:rPr>
  </w:style>
  <w:style w:type="paragraph" w:styleId="Tekstdymka">
    <w:name w:val="Balloon Text"/>
    <w:basedOn w:val="Normalny"/>
    <w:link w:val="TekstdymkaZnak"/>
    <w:uiPriority w:val="99"/>
    <w:semiHidden/>
    <w:unhideWhenUsed/>
    <w:rsid w:val="00655C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5C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566</Words>
  <Characters>3401</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Tadorowska</dc:creator>
  <cp:keywords/>
  <dc:description/>
  <cp:lastModifiedBy>Dell</cp:lastModifiedBy>
  <cp:revision>19</cp:revision>
  <cp:lastPrinted>2018-04-26T10:55:00Z</cp:lastPrinted>
  <dcterms:created xsi:type="dcterms:W3CDTF">2018-04-18T06:31:00Z</dcterms:created>
  <dcterms:modified xsi:type="dcterms:W3CDTF">2018-06-06T06:06:00Z</dcterms:modified>
</cp:coreProperties>
</file>