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4B5925" w:rsidP="00E86BFF">
      <w:pPr>
        <w:rPr>
          <w:b/>
          <w:sz w:val="36"/>
          <w:szCs w:val="36"/>
        </w:rPr>
      </w:pPr>
      <w:r>
        <w:rPr>
          <w:b/>
          <w:noProof/>
          <w:sz w:val="36"/>
          <w:szCs w:val="36"/>
          <w:lang w:eastAsia="pl-PL"/>
        </w:rPr>
        <w:drawing>
          <wp:inline distT="0" distB="0" distL="0" distR="0" wp14:anchorId="18BB599F" wp14:editId="6669DD0F">
            <wp:extent cx="891540" cy="596217"/>
            <wp:effectExtent l="0" t="0" r="3810" b="0"/>
            <wp:docPr id="2" name="Obraz 2" descr="C:\Users\monispy\Desktop\Nowy folder\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spy\Desktop\Nowy folder\Symbol UE (jpg)\flag_yellow_l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765" cy="596368"/>
                    </a:xfrm>
                    <a:prstGeom prst="rect">
                      <a:avLst/>
                    </a:prstGeom>
                    <a:noFill/>
                    <a:ln>
                      <a:noFill/>
                    </a:ln>
                  </pic:spPr>
                </pic:pic>
              </a:graphicData>
            </a:graphic>
          </wp:inline>
        </w:drawing>
      </w:r>
      <w:r>
        <w:rPr>
          <w:b/>
          <w:sz w:val="36"/>
          <w:szCs w:val="36"/>
        </w:rPr>
        <w:t xml:space="preserve">                            </w:t>
      </w:r>
      <w:r>
        <w:rPr>
          <w:b/>
          <w:noProof/>
          <w:sz w:val="36"/>
          <w:szCs w:val="36"/>
          <w:lang w:eastAsia="pl-PL"/>
        </w:rPr>
        <w:drawing>
          <wp:inline distT="0" distB="0" distL="0" distR="0" wp14:anchorId="4216A086" wp14:editId="791914BC">
            <wp:extent cx="607528" cy="594360"/>
            <wp:effectExtent l="0" t="0" r="2540" b="0"/>
            <wp:docPr id="1" name="Obraz 1" descr="C:\Users\monispy\Desktop\Nowy folde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spy\Desktop\Nowy folder\L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311" cy="598061"/>
                    </a:xfrm>
                    <a:prstGeom prst="rect">
                      <a:avLst/>
                    </a:prstGeom>
                    <a:noFill/>
                    <a:ln>
                      <a:noFill/>
                    </a:ln>
                  </pic:spPr>
                </pic:pic>
              </a:graphicData>
            </a:graphic>
          </wp:inline>
        </w:drawing>
      </w:r>
      <w:r>
        <w:rPr>
          <w:b/>
          <w:sz w:val="36"/>
          <w:szCs w:val="36"/>
        </w:rPr>
        <w:t xml:space="preserve">                   </w:t>
      </w:r>
      <w:r>
        <w:rPr>
          <w:b/>
          <w:noProof/>
          <w:sz w:val="36"/>
          <w:szCs w:val="36"/>
          <w:lang w:eastAsia="pl-PL"/>
        </w:rPr>
        <w:drawing>
          <wp:inline distT="0" distB="0" distL="0" distR="0">
            <wp:extent cx="1234897" cy="807720"/>
            <wp:effectExtent l="0" t="0" r="3810" b="0"/>
            <wp:docPr id="3" name="Obraz 3" descr="C:\Users\monispy\Desktop\Nowy folde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spy\Desktop\Nowy folder\PROW-2014-2020-logo-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105" cy="808510"/>
                    </a:xfrm>
                    <a:prstGeom prst="rect">
                      <a:avLst/>
                    </a:prstGeom>
                    <a:noFill/>
                    <a:ln>
                      <a:noFill/>
                    </a:ln>
                  </pic:spPr>
                </pic:pic>
              </a:graphicData>
            </a:graphic>
          </wp:inline>
        </w:drawing>
      </w:r>
      <w:r>
        <w:rPr>
          <w:b/>
          <w:sz w:val="36"/>
          <w:szCs w:val="36"/>
        </w:rPr>
        <w:t xml:space="preserve">  </w:t>
      </w:r>
    </w:p>
    <w:p w:rsidR="004B5925" w:rsidRDefault="004B5925" w:rsidP="004B5925">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905619">
        <w:rPr>
          <w:b/>
          <w:sz w:val="28"/>
          <w:szCs w:val="28"/>
        </w:rPr>
        <w:t xml:space="preserve">Przebudowę boiska rekreacyjnego przy Publicznej Szkole Podstawowej nr 4 (byłym Publicznym Gimnazjum nr 1)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905619">
        <w:rPr>
          <w:b/>
        </w:rPr>
        <w:t>3</w:t>
      </w:r>
      <w:r w:rsidR="00251E63">
        <w:rPr>
          <w:b/>
        </w:rPr>
        <w:t>.2018</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7A15A7">
        <w:t>Zatwierdzam, dnia 26</w:t>
      </w:r>
      <w:r w:rsidR="00E73F6E">
        <w:t>.06</w:t>
      </w:r>
      <w:r w:rsidR="00251E63">
        <w:t>.2018</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9" w:history="1">
        <w:r w:rsidRPr="00901934">
          <w:rPr>
            <w:rStyle w:val="Hipercze"/>
          </w:rPr>
          <w:t>www.swidwin.pl</w:t>
        </w:r>
      </w:hyperlink>
      <w:r>
        <w:t xml:space="preserve">;  </w:t>
      </w:r>
      <w:hyperlink r:id="rId10"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B80E74" w:rsidRDefault="00B80E74" w:rsidP="006D349A">
      <w:pPr>
        <w:pStyle w:val="Akapitzlist"/>
        <w:numPr>
          <w:ilvl w:val="0"/>
          <w:numId w:val="2"/>
        </w:numPr>
        <w:jc w:val="both"/>
      </w:pPr>
      <w:r>
        <w:t xml:space="preserve">Postępowanie realizowane jest na podstawie zawartej umowy o dofinansowanie w ramach Programu Rozwoju Obszarów Wiejskich na lata 2014-2020.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Pr="00E73F6E" w:rsidRDefault="00477C39" w:rsidP="00477C39">
      <w:pPr>
        <w:pStyle w:val="Akapitzlist"/>
        <w:numPr>
          <w:ilvl w:val="0"/>
          <w:numId w:val="3"/>
        </w:numPr>
        <w:jc w:val="both"/>
      </w:pPr>
      <w:r w:rsidRPr="00E73F6E">
        <w:t>Przedmiot</w:t>
      </w:r>
      <w:r w:rsidR="00025BAC" w:rsidRPr="00E73F6E">
        <w:t xml:space="preserve">em zamówienia jest wykonanie robót budowlanych związanych z </w:t>
      </w:r>
      <w:r w:rsidR="002E2EFA" w:rsidRPr="00E73F6E">
        <w:t>przebudową boiska rekreacyjnego przy Publicznej Szkole Podstawowej nr 4 (byłym Publicznym Gimnazjum nr 1) w Świdwinie. Zakres robót obejmuje</w:t>
      </w:r>
      <w:r w:rsidR="00644213" w:rsidRPr="00E73F6E">
        <w:t xml:space="preserve"> wykonanie robót zgodnie z załączonym przedmiarem robót tj.</w:t>
      </w:r>
      <w:r w:rsidR="002E2EFA" w:rsidRPr="00E73F6E">
        <w:t xml:space="preserve">: </w:t>
      </w:r>
    </w:p>
    <w:p w:rsidR="002E2EFA" w:rsidRPr="00E73F6E" w:rsidRDefault="002E2EFA" w:rsidP="002E2EFA">
      <w:pPr>
        <w:pStyle w:val="Akapitzlist"/>
        <w:ind w:left="1440"/>
        <w:jc w:val="both"/>
      </w:pPr>
      <w:r w:rsidRPr="00E73F6E">
        <w:t>- demontaż i utylizację istniejących elementów wyposażenia,</w:t>
      </w:r>
    </w:p>
    <w:p w:rsidR="002E2EFA" w:rsidRPr="00E73F6E" w:rsidRDefault="002E2EFA" w:rsidP="002E2EFA">
      <w:pPr>
        <w:pStyle w:val="Akapitzlist"/>
        <w:ind w:left="1440"/>
        <w:jc w:val="both"/>
      </w:pPr>
      <w:r w:rsidRPr="00E73F6E">
        <w:t>- montaż korytek betonowych odwadniających wschodni bok boiska,</w:t>
      </w:r>
    </w:p>
    <w:p w:rsidR="002E2EFA" w:rsidRPr="00E73F6E" w:rsidRDefault="002E2EFA" w:rsidP="002E2EFA">
      <w:pPr>
        <w:pStyle w:val="Akapitzlist"/>
        <w:ind w:left="1440"/>
        <w:jc w:val="both"/>
      </w:pPr>
      <w:r w:rsidRPr="00E73F6E">
        <w:t>- wykonanie studzienki i odprowadzenie wody z płyty boiska do istniejącej kanalizacji deszczowej,</w:t>
      </w:r>
    </w:p>
    <w:p w:rsidR="002E2EFA" w:rsidRPr="00E73F6E" w:rsidRDefault="002E2EFA" w:rsidP="002E2EFA">
      <w:pPr>
        <w:pStyle w:val="Akapitzlist"/>
        <w:ind w:left="1440"/>
        <w:jc w:val="both"/>
      </w:pPr>
      <w:r w:rsidRPr="00E73F6E">
        <w:t>- montaż krawężników wzdłuż zachodniego i północnego boku boiska,</w:t>
      </w:r>
    </w:p>
    <w:p w:rsidR="002E2EFA" w:rsidRPr="00E73F6E" w:rsidRDefault="002E2EFA" w:rsidP="002E2EFA">
      <w:pPr>
        <w:pStyle w:val="Akapitzlist"/>
        <w:ind w:left="1440"/>
        <w:jc w:val="both"/>
      </w:pPr>
      <w:r w:rsidRPr="00E73F6E">
        <w:t>- miejscowe wyrównanie powierzchni boiska za pomocą frezowania,</w:t>
      </w:r>
    </w:p>
    <w:p w:rsidR="002E2EFA" w:rsidRPr="00E73F6E" w:rsidRDefault="002E2EFA" w:rsidP="002E2EFA">
      <w:pPr>
        <w:pStyle w:val="Akapitzlist"/>
        <w:ind w:left="1440"/>
        <w:jc w:val="both"/>
      </w:pPr>
      <w:r w:rsidRPr="00E73F6E">
        <w:t>- czyszczenie nawierzchni boiska,</w:t>
      </w:r>
    </w:p>
    <w:p w:rsidR="002E2EFA" w:rsidRPr="00E73F6E" w:rsidRDefault="002E2EFA" w:rsidP="002E2EFA">
      <w:pPr>
        <w:pStyle w:val="Akapitzlist"/>
        <w:ind w:left="1440"/>
        <w:jc w:val="both"/>
      </w:pPr>
      <w:r w:rsidRPr="00E73F6E">
        <w:t>- impregnacja nawierzchni asfaltobetonowej,</w:t>
      </w:r>
    </w:p>
    <w:p w:rsidR="002E2EFA" w:rsidRPr="00E73F6E" w:rsidRDefault="002E2EFA" w:rsidP="002E2EFA">
      <w:pPr>
        <w:pStyle w:val="Akapitzlist"/>
        <w:ind w:left="1440"/>
        <w:jc w:val="both"/>
      </w:pPr>
      <w:r w:rsidRPr="00E73F6E">
        <w:t>- wykonanie warstwy podkładowej (mieszanina grysu kamiennego, granulatu gumowego i lepiszcza poliuretanowego),</w:t>
      </w:r>
    </w:p>
    <w:p w:rsidR="002E2EFA" w:rsidRPr="00E73F6E" w:rsidRDefault="002E2EFA" w:rsidP="002E2EFA">
      <w:pPr>
        <w:pStyle w:val="Akapitzlist"/>
        <w:ind w:left="1440"/>
        <w:jc w:val="both"/>
      </w:pPr>
      <w:r w:rsidRPr="00E73F6E">
        <w:t>- wykonanie warstwy bazowej z granulatu SBR z lepiszczem poliuretanowym,</w:t>
      </w:r>
    </w:p>
    <w:p w:rsidR="002E2EFA" w:rsidRPr="00E73F6E" w:rsidRDefault="002E2EFA" w:rsidP="002E2EFA">
      <w:pPr>
        <w:pStyle w:val="Akapitzlist"/>
        <w:ind w:left="1440"/>
        <w:jc w:val="both"/>
      </w:pPr>
      <w:r w:rsidRPr="00E73F6E">
        <w:t>- wykonanie natryskowej warstwy użytkowej z poliuretanu 2-3 mmm na płycie boiska,</w:t>
      </w:r>
    </w:p>
    <w:p w:rsidR="002E2EFA" w:rsidRPr="00E73F6E" w:rsidRDefault="002E2EFA" w:rsidP="002E2EFA">
      <w:pPr>
        <w:pStyle w:val="Akapitzlist"/>
        <w:ind w:left="1440"/>
        <w:jc w:val="both"/>
      </w:pPr>
      <w:r w:rsidRPr="00E73F6E">
        <w:t>- malowanie linii boiskowych,</w:t>
      </w:r>
    </w:p>
    <w:p w:rsidR="002E2EFA" w:rsidRPr="00E73F6E" w:rsidRDefault="002E2EFA" w:rsidP="002E2EFA">
      <w:pPr>
        <w:pStyle w:val="Akapitzlist"/>
        <w:ind w:left="1440"/>
        <w:jc w:val="both"/>
      </w:pPr>
      <w:r w:rsidRPr="00E73F6E">
        <w:t xml:space="preserve">- montaż wyposażenia sportowego. </w:t>
      </w:r>
    </w:p>
    <w:p w:rsidR="00025BAC" w:rsidRPr="002E2EFA" w:rsidRDefault="00025BAC" w:rsidP="00477C39">
      <w:pPr>
        <w:pStyle w:val="Akapitzlist"/>
        <w:numPr>
          <w:ilvl w:val="0"/>
          <w:numId w:val="3"/>
        </w:numPr>
        <w:jc w:val="both"/>
      </w:pPr>
      <w:r w:rsidRPr="00905619">
        <w:rPr>
          <w:color w:val="FF0000"/>
        </w:rPr>
        <w:t xml:space="preserve"> </w:t>
      </w: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 xml:space="preserve">Do wykonania przedmiotu zamówienia Wykonawca zobowiązuje się do użycia materiałów gwarantujących odpowiednią jakość, o parametrach technicznych i </w:t>
      </w:r>
      <w:r w:rsidRPr="00D75186">
        <w:lastRenderedPageBreak/>
        <w:t>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7A15A7" w:rsidRDefault="00477C39" w:rsidP="00477C39">
      <w:pPr>
        <w:pStyle w:val="Akapitzlist"/>
        <w:numPr>
          <w:ilvl w:val="0"/>
          <w:numId w:val="3"/>
        </w:numPr>
        <w:jc w:val="both"/>
        <w:rPr>
          <w:b/>
        </w:rPr>
      </w:pPr>
      <w:r w:rsidRPr="007A15A7">
        <w:rPr>
          <w:b/>
        </w:rPr>
        <w:t>Szczegółowy opis przedmiotu zam</w:t>
      </w:r>
      <w:r w:rsidR="008A746B" w:rsidRPr="007A15A7">
        <w:rPr>
          <w:b/>
        </w:rPr>
        <w:t>ó</w:t>
      </w:r>
      <w:r w:rsidR="00025BAC" w:rsidRPr="007A15A7">
        <w:rPr>
          <w:b/>
        </w:rPr>
        <w:t>wienia stanowi Załącznik nr  3</w:t>
      </w:r>
      <w:r w:rsidR="00D75186" w:rsidRPr="007A15A7">
        <w:rPr>
          <w:b/>
        </w:rPr>
        <w:t xml:space="preserve"> </w:t>
      </w:r>
      <w:r w:rsidRPr="007A15A7">
        <w:rPr>
          <w:b/>
        </w:rPr>
        <w:t xml:space="preserve">do SIWZ.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3F2345" w:rsidRDefault="00645296" w:rsidP="00D866B2">
      <w:pPr>
        <w:pStyle w:val="Akapitzlist"/>
        <w:numPr>
          <w:ilvl w:val="0"/>
          <w:numId w:val="35"/>
        </w:numPr>
        <w:jc w:val="both"/>
      </w:pPr>
      <w:r>
        <w:t>4521222</w:t>
      </w:r>
      <w:bookmarkStart w:id="0" w:name="_GoBack"/>
      <w:bookmarkEnd w:id="0"/>
      <w:r w:rsidR="003F2345" w:rsidRPr="003F2345">
        <w:t>0-4</w:t>
      </w:r>
      <w:r w:rsidR="004950B8" w:rsidRPr="003F2345">
        <w:t xml:space="preserve"> – roboty budowlane </w:t>
      </w:r>
      <w:r w:rsidR="003F2345" w:rsidRPr="003F2345">
        <w:t>związane z wielofunkcyjnymi obiektami sportowymi</w:t>
      </w:r>
      <w:r w:rsidR="004950B8" w:rsidRPr="003F2345">
        <w:t xml:space="preserve"> </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FB3DF8">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FB3DF8">
      <w:pPr>
        <w:pStyle w:val="Akapitzlist"/>
        <w:numPr>
          <w:ilvl w:val="0"/>
          <w:numId w:val="34"/>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t>
      </w:r>
      <w:r w:rsidRPr="00336780">
        <w:lastRenderedPageBreak/>
        <w:t xml:space="preserve">wykonujących wskazane w punkcie 1 czynności. Zamawiający uprawniony jest w szczególności do : </w:t>
      </w:r>
    </w:p>
    <w:p w:rsidR="0077093E" w:rsidRPr="00336780" w:rsidRDefault="0077093E" w:rsidP="003F2345">
      <w:pPr>
        <w:spacing w:after="0"/>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3F2345">
      <w:pPr>
        <w:spacing w:after="0"/>
        <w:ind w:left="1985" w:hanging="284"/>
        <w:jc w:val="both"/>
      </w:pPr>
      <w:r w:rsidRPr="00336780">
        <w:t>b) żądania wyjaśnień w przypadku wątpliwości w zakresie potwierdzenia spełniania ww. wymogów,</w:t>
      </w:r>
    </w:p>
    <w:p w:rsidR="00F66D46" w:rsidRPr="00336780" w:rsidRDefault="00F66D46" w:rsidP="003F2345">
      <w:pPr>
        <w:spacing w:after="0"/>
        <w:ind w:left="1985" w:hanging="284"/>
        <w:jc w:val="both"/>
      </w:pPr>
      <w:r w:rsidRPr="00336780">
        <w:t xml:space="preserve">c) przeprowadzania kontroli na miejscu wykonywania świadczenia. </w:t>
      </w:r>
    </w:p>
    <w:p w:rsidR="00F66D46" w:rsidRPr="00336780" w:rsidRDefault="00F66D46" w:rsidP="003F2345">
      <w:pPr>
        <w:spacing w:after="0"/>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3F2345">
      <w:pPr>
        <w:spacing w:after="0"/>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3F2345">
      <w:pPr>
        <w:spacing w:after="0"/>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3F2345">
      <w:pPr>
        <w:spacing w:after="0"/>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3F2345">
      <w:pPr>
        <w:spacing w:after="0"/>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3F2345">
      <w:pPr>
        <w:spacing w:after="0"/>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3F2345">
      <w:pPr>
        <w:spacing w:after="0"/>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F2345">
      <w:pPr>
        <w:pStyle w:val="Akapitzlist"/>
        <w:numPr>
          <w:ilvl w:val="0"/>
          <w:numId w:val="1"/>
        </w:numPr>
        <w:spacing w:after="0"/>
        <w:jc w:val="both"/>
        <w:rPr>
          <w:b/>
        </w:rPr>
      </w:pPr>
      <w:r w:rsidRPr="00CD0CF6">
        <w:rPr>
          <w:b/>
        </w:rPr>
        <w:lastRenderedPageBreak/>
        <w:t xml:space="preserve">Termin wykonania zamówienia </w:t>
      </w:r>
    </w:p>
    <w:p w:rsidR="00EC3CA1" w:rsidRPr="00E73F6E" w:rsidRDefault="00351186" w:rsidP="00336780">
      <w:pPr>
        <w:pStyle w:val="Akapitzlist"/>
        <w:ind w:left="1080"/>
        <w:jc w:val="both"/>
      </w:pPr>
      <w:r w:rsidRPr="00E73F6E">
        <w:t xml:space="preserve">Zamawiający wymaga realizacji zamówienia </w:t>
      </w:r>
      <w:r w:rsidR="00E86BFF" w:rsidRPr="00E73F6E">
        <w:t xml:space="preserve">najpóźniej </w:t>
      </w:r>
      <w:r w:rsidRPr="00E73F6E">
        <w:t xml:space="preserve">w terminie do </w:t>
      </w:r>
      <w:r w:rsidR="00DC2863" w:rsidRPr="00E73F6E">
        <w:t>:</w:t>
      </w:r>
      <w:r w:rsidR="00501919" w:rsidRPr="00E73F6E">
        <w:t xml:space="preserve"> </w:t>
      </w:r>
      <w:r w:rsidR="00E73F6E" w:rsidRPr="00E73F6E">
        <w:t>31 sierpnia</w:t>
      </w:r>
      <w:r w:rsidR="002E2EFA" w:rsidRPr="00E73F6E">
        <w:t xml:space="preserve"> 2018r.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3F2345">
      <w:pPr>
        <w:pStyle w:val="Akapitzlist"/>
        <w:numPr>
          <w:ilvl w:val="0"/>
          <w:numId w:val="5"/>
        </w:numPr>
        <w:spacing w:after="0"/>
        <w:jc w:val="both"/>
      </w:pPr>
      <w:r>
        <w:t>nie podlegają wykluczeniu ,</w:t>
      </w:r>
    </w:p>
    <w:p w:rsidR="00D74C98" w:rsidRDefault="00D74C98" w:rsidP="003F2345">
      <w:pPr>
        <w:pStyle w:val="Akapitzlist"/>
        <w:numPr>
          <w:ilvl w:val="0"/>
          <w:numId w:val="5"/>
        </w:numPr>
        <w:spacing w:after="0"/>
        <w:jc w:val="both"/>
      </w:pPr>
      <w:r>
        <w:t>spełniają warunki udziału w postępowaniu dotyczące :</w:t>
      </w:r>
    </w:p>
    <w:p w:rsidR="00D74C98" w:rsidRPr="003B1C72" w:rsidRDefault="00D74C98" w:rsidP="003F2345">
      <w:pPr>
        <w:pStyle w:val="Akapitzlist"/>
        <w:numPr>
          <w:ilvl w:val="0"/>
          <w:numId w:val="6"/>
        </w:numPr>
        <w:spacing w:after="0"/>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3F2345">
      <w:pPr>
        <w:pStyle w:val="Akapitzlist"/>
        <w:numPr>
          <w:ilvl w:val="0"/>
          <w:numId w:val="6"/>
        </w:numPr>
        <w:spacing w:after="0"/>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3F2345">
      <w:pPr>
        <w:pStyle w:val="Akapitzlist"/>
        <w:numPr>
          <w:ilvl w:val="0"/>
          <w:numId w:val="6"/>
        </w:numPr>
        <w:spacing w:after="0"/>
        <w:jc w:val="both"/>
      </w:pPr>
      <w:r w:rsidRPr="003B1C72">
        <w:rPr>
          <w:b/>
        </w:rPr>
        <w:t>zdolności technicznej lub zawodowej</w:t>
      </w:r>
      <w:r w:rsidRPr="003B1C72">
        <w:t>. Wykonawca spełni warunek je</w:t>
      </w:r>
      <w:r w:rsidR="00B31F6C" w:rsidRPr="003B1C72">
        <w:t>żeli wykaże, że :</w:t>
      </w:r>
    </w:p>
    <w:p w:rsidR="00460D0F" w:rsidRPr="002035B4" w:rsidRDefault="00B31F6C" w:rsidP="003F2345">
      <w:pPr>
        <w:pStyle w:val="Akapitzlist"/>
        <w:spacing w:after="0"/>
        <w:ind w:left="2160"/>
        <w:jc w:val="both"/>
      </w:pPr>
      <w:r w:rsidRPr="002035B4">
        <w:t xml:space="preserve">- </w:t>
      </w:r>
      <w:r w:rsidR="009A42BA" w:rsidRPr="002035B4">
        <w:t xml:space="preserve">wykonał w okresie ostatnich 5 lat przed upływem terminu składania ofert, a jeżeli okres prowadzenia działalności jest krótszy – w tym okresie, co </w:t>
      </w:r>
      <w:r w:rsidR="00785069" w:rsidRPr="002035B4">
        <w:rPr>
          <w:b/>
        </w:rPr>
        <w:t xml:space="preserve">najmniej </w:t>
      </w:r>
      <w:r w:rsidR="00535141" w:rsidRPr="002035B4">
        <w:rPr>
          <w:b/>
        </w:rPr>
        <w:t>jedną robotę</w:t>
      </w:r>
      <w:r w:rsidR="009A42BA" w:rsidRPr="002035B4">
        <w:rPr>
          <w:b/>
        </w:rPr>
        <w:t xml:space="preserve"> polegając</w:t>
      </w:r>
      <w:r w:rsidR="00535141" w:rsidRPr="002035B4">
        <w:rPr>
          <w:b/>
        </w:rPr>
        <w:t>ą</w:t>
      </w:r>
      <w:r w:rsidR="009A42BA" w:rsidRPr="002035B4">
        <w:rPr>
          <w:b/>
        </w:rPr>
        <w:t xml:space="preserve"> na </w:t>
      </w:r>
      <w:r w:rsidR="00E86BFF" w:rsidRPr="002035B4">
        <w:rPr>
          <w:b/>
        </w:rPr>
        <w:t xml:space="preserve">budowie </w:t>
      </w:r>
      <w:r w:rsidR="00FB3DF8">
        <w:rPr>
          <w:b/>
        </w:rPr>
        <w:t xml:space="preserve">lub przebudowie boiska sportowego/rekreacyjnego z nawierzchni poliuretanowej o powierzchni minimum 900 m2. </w:t>
      </w:r>
    </w:p>
    <w:p w:rsidR="00FB3DF8" w:rsidRDefault="009A42BA" w:rsidP="003F2345">
      <w:pPr>
        <w:pStyle w:val="Akapitzlist"/>
        <w:spacing w:after="0"/>
        <w:ind w:left="2160"/>
        <w:jc w:val="both"/>
      </w:pPr>
      <w:r w:rsidRPr="003B1C72">
        <w:t xml:space="preserve">- </w:t>
      </w:r>
      <w:r w:rsidRPr="003B1C72">
        <w:rPr>
          <w:b/>
        </w:rPr>
        <w:t>dysponuje osobami</w:t>
      </w:r>
      <w:r w:rsidRPr="003B1C72">
        <w:t xml:space="preserve">, tj. jedną osobą z uprawnieniami </w:t>
      </w:r>
      <w:r w:rsidR="0063187F">
        <w:t xml:space="preserve">budowlanymi do kierowania robota budowlanymi w specjalności </w:t>
      </w:r>
      <w:proofErr w:type="spellStart"/>
      <w:r w:rsidR="00FB3DF8">
        <w:t>konstrukcyjno</w:t>
      </w:r>
      <w:proofErr w:type="spellEnd"/>
      <w:r w:rsidR="00FB3DF8">
        <w:t xml:space="preserve"> – budowlanej. </w:t>
      </w: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w:t>
      </w:r>
      <w:r>
        <w:lastRenderedPageBreak/>
        <w:t xml:space="preserve">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2F600E">
        <w:t xml:space="preserve">do SIWZ 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t>Wykazu robót budowlanych</w:t>
      </w:r>
      <w:r>
        <w:t xml:space="preserve"> (załącznik nr 6)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Default="002F600E" w:rsidP="002F600E">
      <w:pPr>
        <w:pStyle w:val="Akapitzlist"/>
        <w:numPr>
          <w:ilvl w:val="0"/>
          <w:numId w:val="32"/>
        </w:numPr>
        <w:jc w:val="both"/>
      </w:pPr>
      <w:r w:rsidRPr="00CE4C1A">
        <w:rPr>
          <w:b/>
        </w:rPr>
        <w:t>Wykazu osób</w:t>
      </w:r>
      <w:r>
        <w:rPr>
          <w:b/>
        </w:rPr>
        <w:t xml:space="preserve"> (załącznik nr 7)</w:t>
      </w:r>
      <w: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EA49AC" w:rsidRDefault="002F600E" w:rsidP="002F600E">
      <w:pPr>
        <w:ind w:left="1440"/>
        <w:jc w:val="both"/>
        <w:rPr>
          <w:b/>
        </w:rPr>
      </w:pPr>
      <w:r w:rsidRPr="00EA49AC">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lastRenderedPageBreak/>
        <w:t>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2F600E" w:rsidRPr="006935AB" w:rsidRDefault="002F600E" w:rsidP="002F600E">
      <w:pPr>
        <w:pStyle w:val="Akapitzlist"/>
        <w:numPr>
          <w:ilvl w:val="0"/>
          <w:numId w:val="33"/>
        </w:numPr>
        <w:ind w:left="1843" w:hanging="425"/>
        <w:jc w:val="both"/>
        <w:rPr>
          <w:b/>
        </w:rPr>
      </w:pPr>
      <w:r>
        <w:rPr>
          <w:b/>
        </w:rPr>
        <w:t xml:space="preserve">Oświadczenia Wykonawcy </w:t>
      </w:r>
      <w:r>
        <w:t>o przynależności albo braku przynależności do tej samej grupy kapitałowej (załącznik nr 8 do SIWZ) , w przypadku przynależności do tej samej grupy kapitałowej Wykonawca może złożyć wraz z oświadczeniem dokumenty bądź informacje potwierdzające, że powiązania z innym Wykonawcą nie prowadzą do zakłócenia konkurencji w postępowaniu.</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lastRenderedPageBreak/>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11"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lastRenderedPageBreak/>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w:t>
      </w:r>
      <w:r w:rsidR="00935608">
        <w:t xml:space="preserve"> i merytorycznych </w:t>
      </w:r>
      <w:r w:rsidR="008B48F7">
        <w:t>– Monika Spychalska – Kierownik Wydziału Inwestycji, Rozwoju i Promocji , tel. 943648042</w:t>
      </w:r>
      <w:r>
        <w:t xml:space="preserve"> </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Oświadczeni</w:t>
      </w:r>
      <w:r w:rsidR="002F600E">
        <w:t>a wymienione w rozdziale VI. 1</w:t>
      </w:r>
      <w:r>
        <w:t xml:space="preserve"> niniejszej SIWZ.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t>
      </w:r>
      <w:r>
        <w:lastRenderedPageBreak/>
        <w:t xml:space="preserve">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935608">
        <w:rPr>
          <w:b/>
        </w:rPr>
        <w:t xml:space="preserve">Przebudowę boiska rekreacyjnego przy Publicznej Szkole Podstawowej nr 4 (byłym Publicznym Gimnazjum nr 1) </w:t>
      </w:r>
      <w:r w:rsidR="00CD0CF6">
        <w:rPr>
          <w:b/>
        </w:rPr>
        <w:t>w Świdwinie</w:t>
      </w:r>
      <w:r w:rsidRPr="00C07D1A">
        <w:rPr>
          <w:b/>
        </w:rPr>
        <w:t>”</w:t>
      </w:r>
    </w:p>
    <w:p w:rsidR="00C07D1A" w:rsidRPr="007A15A7" w:rsidRDefault="00C07D1A" w:rsidP="00C07D1A">
      <w:pPr>
        <w:pStyle w:val="Akapitzlist"/>
        <w:ind w:left="1440"/>
        <w:jc w:val="center"/>
        <w:rPr>
          <w:b/>
        </w:rPr>
      </w:pPr>
      <w:r w:rsidRPr="007A15A7">
        <w:rPr>
          <w:b/>
        </w:rPr>
        <w:t xml:space="preserve">Otworzyć na </w:t>
      </w:r>
      <w:r w:rsidR="002D0B33" w:rsidRPr="007A15A7">
        <w:rPr>
          <w:b/>
        </w:rPr>
        <w:t>jawnym otwarci</w:t>
      </w:r>
      <w:r w:rsidR="007A15A7" w:rsidRPr="007A15A7">
        <w:rPr>
          <w:b/>
        </w:rPr>
        <w:t>u w dniu 11.07</w:t>
      </w:r>
      <w:r w:rsidR="00AA1417" w:rsidRPr="007A15A7">
        <w:rPr>
          <w:b/>
        </w:rPr>
        <w:t>.2018</w:t>
      </w:r>
      <w:r w:rsidR="007A15A7" w:rsidRPr="007A15A7">
        <w:rPr>
          <w:b/>
        </w:rPr>
        <w:t>r. o godz. 11</w:t>
      </w:r>
      <w:r w:rsidR="0063187F" w:rsidRPr="007A15A7">
        <w:rPr>
          <w:b/>
        </w:rPr>
        <w:t>:0</w:t>
      </w:r>
      <w:r w:rsidR="006038F5" w:rsidRPr="007A15A7">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 xml:space="preserve">Przedmiotowe zastrzeżenie </w:t>
      </w:r>
      <w:r w:rsidR="009727C4">
        <w:lastRenderedPageBreak/>
        <w:t>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7A15A7" w:rsidRPr="007A15A7">
        <w:t>11 lipca</w:t>
      </w:r>
      <w:r w:rsidR="00AA1417" w:rsidRPr="007A15A7">
        <w:t xml:space="preserve"> 2018</w:t>
      </w:r>
      <w:r w:rsidR="007A15A7" w:rsidRPr="007A15A7">
        <w:t>r. do godz. 10</w:t>
      </w:r>
      <w:r w:rsidR="006038F5" w:rsidRPr="007A15A7">
        <w:t xml:space="preserve">:00 </w:t>
      </w:r>
      <w:r w:rsidR="00850B21" w:rsidRPr="00D3643C">
        <w:t>i</w:t>
      </w:r>
      <w:r w:rsidRPr="00D3643C">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7A15A7"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7A15A7" w:rsidRPr="007A15A7">
        <w:t>11 lipca</w:t>
      </w:r>
      <w:r w:rsidR="00AA1417" w:rsidRPr="007A15A7">
        <w:t xml:space="preserve">  2018</w:t>
      </w:r>
      <w:r w:rsidR="006038F5" w:rsidRPr="007A15A7">
        <w:t xml:space="preserve">r. o </w:t>
      </w:r>
      <w:r w:rsidR="007A15A7" w:rsidRPr="007A15A7">
        <w:t>godz. 11</w:t>
      </w:r>
      <w:r w:rsidR="0063187F" w:rsidRPr="007A15A7">
        <w:t>:0</w:t>
      </w:r>
      <w:r w:rsidR="006038F5" w:rsidRPr="007A15A7">
        <w:t>0</w:t>
      </w:r>
      <w:r w:rsidRPr="007A15A7">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12" w:history="1">
        <w:r w:rsidRPr="00971ADB">
          <w:rPr>
            <w:rStyle w:val="Hipercze"/>
          </w:rPr>
          <w:t>www.swidwin.pl</w:t>
        </w:r>
      </w:hyperlink>
      <w:r>
        <w:t xml:space="preserve">; </w:t>
      </w:r>
      <w:hyperlink r:id="rId13"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A15A7" w:rsidRDefault="007A15A7" w:rsidP="00760909">
      <w:pPr>
        <w:pStyle w:val="Akapitzlist"/>
        <w:ind w:left="1800"/>
        <w:jc w:val="both"/>
      </w:pPr>
    </w:p>
    <w:p w:rsidR="007A15A7" w:rsidRDefault="007A15A7"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2F600E" w:rsidRDefault="002B6F5E" w:rsidP="00760909">
      <w:pPr>
        <w:pStyle w:val="Akapitzlist"/>
        <w:numPr>
          <w:ilvl w:val="0"/>
          <w:numId w:val="23"/>
        </w:numPr>
        <w:jc w:val="both"/>
      </w:pPr>
      <w:r w:rsidRPr="002F600E">
        <w:t xml:space="preserve"> </w:t>
      </w:r>
      <w:r w:rsidR="00B61718" w:rsidRPr="002F600E">
        <w:t>Wykonawca określa cenę realizacji zamówienia poprzez wskazanie w formularzu ofertowym sporządzonym wg wzo</w:t>
      </w:r>
      <w:r w:rsidR="007B63FF" w:rsidRPr="002F600E">
        <w:t>ru stanowiącego Załącznik nr 1</w:t>
      </w:r>
      <w:r w:rsidR="00B61718" w:rsidRPr="002F600E">
        <w:t xml:space="preserve"> do SIWZ łącznej ceny ofertowej brutto za realizację przedmiotu zamówienia. </w:t>
      </w:r>
      <w:r w:rsidR="007B63FF" w:rsidRPr="002F600E">
        <w:t xml:space="preserve">Łączną cenę ofertową </w:t>
      </w:r>
      <w:r w:rsidR="007B63FF" w:rsidRPr="002F600E">
        <w:rPr>
          <w:rFonts w:cs="Verdana"/>
        </w:rPr>
        <w:t>należy obliczyć uwzględniając zakres zam</w:t>
      </w:r>
      <w:r w:rsidR="00AA1417" w:rsidRPr="002F600E">
        <w:rPr>
          <w:rFonts w:cs="Verdana"/>
        </w:rPr>
        <w:t>ówienia określony w przedmiarze</w:t>
      </w:r>
      <w:r w:rsidR="007B63FF" w:rsidRPr="002F600E">
        <w:rPr>
          <w:rFonts w:ascii="Verdana" w:hAnsi="Verdana" w:cs="Verdana"/>
          <w:sz w:val="20"/>
          <w:szCs w:val="20"/>
        </w:rPr>
        <w:t xml:space="preserve"> </w:t>
      </w:r>
      <w:r w:rsidR="007B63FF" w:rsidRPr="002F600E">
        <w:t>robót (</w:t>
      </w:r>
      <w:r w:rsidR="002F7E90" w:rsidRPr="002F600E">
        <w:t>załącznik nr 4</w:t>
      </w:r>
      <w:r w:rsidR="007B63FF" w:rsidRPr="002F600E">
        <w:t xml:space="preserve"> do SIWZ). </w:t>
      </w:r>
    </w:p>
    <w:p w:rsidR="00B61718" w:rsidRPr="002F600E" w:rsidRDefault="008B1AAE" w:rsidP="00760909">
      <w:pPr>
        <w:pStyle w:val="Akapitzlist"/>
        <w:numPr>
          <w:ilvl w:val="0"/>
          <w:numId w:val="23"/>
        </w:numPr>
        <w:jc w:val="both"/>
      </w:pPr>
      <w:r w:rsidRPr="002F600E">
        <w:t>Łączna cena ofertowa brutto musi uwzględniać wszystkie koszty związane z realizacją przedmiotu zamówienia zgodnie z opisem przedmiotu zamówienia oraz wzorem umowy określonym  w niniejszej SIWZ.</w:t>
      </w:r>
    </w:p>
    <w:p w:rsidR="00BB6C8E" w:rsidRPr="002F600E" w:rsidRDefault="00500A0A" w:rsidP="00760909">
      <w:pPr>
        <w:pStyle w:val="Akapitzlist"/>
        <w:numPr>
          <w:ilvl w:val="0"/>
          <w:numId w:val="23"/>
        </w:numPr>
        <w:jc w:val="both"/>
      </w:pPr>
      <w:r w:rsidRPr="002F600E">
        <w:t>Ceny muszą być podane i wyliczone w zaokrągleniu do dwóch miejsc po przecinku.</w:t>
      </w:r>
    </w:p>
    <w:p w:rsidR="00500A0A" w:rsidRPr="002F600E" w:rsidRDefault="00500A0A" w:rsidP="00760909">
      <w:pPr>
        <w:pStyle w:val="Akapitzlist"/>
        <w:numPr>
          <w:ilvl w:val="0"/>
          <w:numId w:val="23"/>
        </w:numPr>
        <w:jc w:val="both"/>
      </w:pPr>
      <w:r w:rsidRPr="002F600E">
        <w:t>Cena oferty winna być wyrażona w złotych polskich (PLN).</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935608" w:rsidP="00946836">
      <w:pPr>
        <w:pStyle w:val="Akapitzlist"/>
        <w:numPr>
          <w:ilvl w:val="0"/>
          <w:numId w:val="25"/>
        </w:numPr>
        <w:jc w:val="both"/>
      </w:pPr>
      <w:r>
        <w:t>Gwarancja – waga 4</w:t>
      </w:r>
      <w:r w:rsidR="00FB0D5C" w:rsidRPr="00D3643C">
        <w:t>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935608"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935608" w:rsidP="00935608">
            <w:pPr>
              <w:jc w:val="center"/>
              <w:rPr>
                <w:sz w:val="20"/>
                <w:szCs w:val="20"/>
              </w:rPr>
            </w:pPr>
            <w:r>
              <w:rPr>
                <w:sz w:val="20"/>
                <w:szCs w:val="20"/>
              </w:rPr>
              <w:t>40</w:t>
            </w:r>
          </w:p>
        </w:tc>
        <w:tc>
          <w:tcPr>
            <w:tcW w:w="4218" w:type="dxa"/>
          </w:tcPr>
          <w:p w:rsidR="00C71615" w:rsidRDefault="00C71615" w:rsidP="00946836">
            <w:pPr>
              <w:jc w:val="both"/>
              <w:rPr>
                <w:sz w:val="20"/>
                <w:szCs w:val="20"/>
              </w:rPr>
            </w:pPr>
            <w:r>
              <w:rPr>
                <w:sz w:val="20"/>
                <w:szCs w:val="20"/>
              </w:rPr>
              <w:t xml:space="preserve">Jeżeli Wykonawca zaproponuje </w:t>
            </w:r>
            <w:r w:rsidR="00935608">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Jeżeli Wykonawca zaproponuje</w:t>
            </w:r>
            <w:r w:rsidR="00935608">
              <w:rPr>
                <w:sz w:val="20"/>
                <w:szCs w:val="20"/>
              </w:rPr>
              <w:t xml:space="preserve"> okres gwarancji 5 lat otrzyma 4</w:t>
            </w:r>
            <w:r>
              <w:rPr>
                <w:sz w:val="20"/>
                <w:szCs w:val="20"/>
              </w:rPr>
              <w:t xml:space="preserve">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35608" w:rsidP="00946836">
      <w:pPr>
        <w:pStyle w:val="Akapitzlist"/>
        <w:ind w:left="1440"/>
        <w:jc w:val="center"/>
        <w:rPr>
          <w:b/>
        </w:rPr>
      </w:pPr>
      <w:r>
        <w:rPr>
          <w:b/>
        </w:rPr>
        <w:t xml:space="preserve">L= C </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lastRenderedPageBreak/>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63187F" w:rsidRDefault="00A36913" w:rsidP="002D0B33">
      <w:pPr>
        <w:pStyle w:val="Akapitzlist"/>
        <w:numPr>
          <w:ilvl w:val="0"/>
          <w:numId w:val="36"/>
        </w:numPr>
        <w:jc w:val="both"/>
      </w:pPr>
      <w:r w:rsidRPr="00A36913">
        <w:t>Wzór umowy s</w:t>
      </w:r>
      <w:r w:rsidR="00C82EB8">
        <w:t xml:space="preserve">tanowi </w:t>
      </w:r>
      <w:r w:rsidR="00C82EB8" w:rsidRPr="0063187F">
        <w:t xml:space="preserve">Załącznik nr </w:t>
      </w:r>
      <w:r w:rsidR="00276316" w:rsidRPr="0063187F">
        <w:t>5</w:t>
      </w:r>
      <w:r w:rsidR="00DD651B" w:rsidRPr="0063187F">
        <w:t xml:space="preserve"> </w:t>
      </w:r>
      <w:r w:rsidR="00353092" w:rsidRPr="0063187F">
        <w:t>do SIWZ</w:t>
      </w:r>
      <w:r w:rsidR="002D0B33" w:rsidRPr="0063187F">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605659" w:rsidRPr="00605659" w:rsidRDefault="003E16FB" w:rsidP="00605659">
      <w:pPr>
        <w:pStyle w:val="Akapitzlist"/>
        <w:numPr>
          <w:ilvl w:val="0"/>
          <w:numId w:val="38"/>
        </w:numPr>
        <w:jc w:val="both"/>
        <w:rPr>
          <w:rFonts w:cs="Verdana"/>
        </w:rPr>
      </w:pPr>
      <w:r w:rsidRPr="00572342">
        <w:rPr>
          <w:rFonts w:cs="Verdana"/>
        </w:rPr>
        <w:lastRenderedPageBreak/>
        <w:t>z powodu uzasadnionych zmian w zakresie sposobu wykonania przedmiotu zamówienia proponowanych przez Zamawiającego lub Wykonawcę, jeżeli te zmiany są korzystne dla Zamawiającego,</w:t>
      </w:r>
    </w:p>
    <w:p w:rsidR="003E16FB"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605659" w:rsidRPr="00572342" w:rsidRDefault="00605659" w:rsidP="003E16FB">
      <w:pPr>
        <w:pStyle w:val="Akapitzlist"/>
        <w:numPr>
          <w:ilvl w:val="0"/>
          <w:numId w:val="38"/>
        </w:numPr>
        <w:jc w:val="both"/>
        <w:rPr>
          <w:rFonts w:cs="Verdana"/>
        </w:rPr>
      </w:pPr>
      <w:r>
        <w:rPr>
          <w:rFonts w:cs="Verdana"/>
        </w:rPr>
        <w:t>zmiany terminu wykonania zadania z</w:t>
      </w:r>
      <w:r w:rsidR="007A15A7">
        <w:rPr>
          <w:rFonts w:cs="Verdana"/>
        </w:rPr>
        <w:t xml:space="preserve"> powodów określonych w pkt a – b</w:t>
      </w:r>
      <w:r>
        <w:rPr>
          <w:rFonts w:cs="Verdana"/>
        </w:rPr>
        <w:t>,</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5462D0" w:rsidRDefault="009D0B07" w:rsidP="00C83786">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numPr>
          <w:ilvl w:val="0"/>
          <w:numId w:val="1"/>
        </w:numPr>
        <w:jc w:val="both"/>
        <w:rPr>
          <w:b/>
        </w:rPr>
      </w:pPr>
      <w:r>
        <w:rPr>
          <w:b/>
        </w:rPr>
        <w:lastRenderedPageBreak/>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w:t>
      </w:r>
      <w:r w:rsidR="007A15A7">
        <w:t xml:space="preserve">z wykonanych robót budowlanych </w:t>
      </w:r>
    </w:p>
    <w:p w:rsidR="00276316" w:rsidRPr="00D75186" w:rsidRDefault="00214061" w:rsidP="00C60A65">
      <w:pPr>
        <w:jc w:val="both"/>
      </w:pPr>
      <w:r>
        <w:t>Załącznik nr 7 – W</w:t>
      </w:r>
      <w:r w:rsidR="007A15A7">
        <w:t xml:space="preserve">ykaz osób </w:t>
      </w:r>
    </w:p>
    <w:p w:rsidR="00CD1FD7" w:rsidRDefault="00165FFD" w:rsidP="00C60A65">
      <w:pPr>
        <w:jc w:val="both"/>
      </w:pPr>
      <w:r>
        <w:t>Załącznik Nr 8</w:t>
      </w:r>
      <w:r w:rsidR="00214061">
        <w:t xml:space="preserve"> – O</w:t>
      </w:r>
      <w:r w:rsidR="00CD1FD7" w:rsidRPr="00D75186">
        <w:t>świadczenie o przynależności albo braku przynależności do t</w:t>
      </w:r>
      <w:r w:rsidR="007A15A7">
        <w:t xml:space="preserve">ej samej grupy kapitałowej </w:t>
      </w:r>
    </w:p>
    <w:p w:rsidR="007A15A7" w:rsidRPr="00D75186" w:rsidRDefault="007A15A7" w:rsidP="00C60A65">
      <w:pPr>
        <w:jc w:val="both"/>
      </w:pPr>
      <w:r>
        <w:t xml:space="preserve">Załącznik nr 9 – klauzula RODO </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2"/>
  </w:num>
  <w:num w:numId="4">
    <w:abstractNumId w:val="30"/>
  </w:num>
  <w:num w:numId="5">
    <w:abstractNumId w:val="15"/>
  </w:num>
  <w:num w:numId="6">
    <w:abstractNumId w:val="5"/>
  </w:num>
  <w:num w:numId="7">
    <w:abstractNumId w:val="26"/>
  </w:num>
  <w:num w:numId="8">
    <w:abstractNumId w:val="18"/>
  </w:num>
  <w:num w:numId="9">
    <w:abstractNumId w:val="43"/>
  </w:num>
  <w:num w:numId="10">
    <w:abstractNumId w:val="20"/>
  </w:num>
  <w:num w:numId="11">
    <w:abstractNumId w:val="3"/>
  </w:num>
  <w:num w:numId="12">
    <w:abstractNumId w:val="35"/>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9"/>
  </w:num>
  <w:num w:numId="24">
    <w:abstractNumId w:val="36"/>
  </w:num>
  <w:num w:numId="25">
    <w:abstractNumId w:val="41"/>
  </w:num>
  <w:num w:numId="26">
    <w:abstractNumId w:val="38"/>
  </w:num>
  <w:num w:numId="27">
    <w:abstractNumId w:val="33"/>
  </w:num>
  <w:num w:numId="28">
    <w:abstractNumId w:val="40"/>
  </w:num>
  <w:num w:numId="29">
    <w:abstractNumId w:val="34"/>
  </w:num>
  <w:num w:numId="30">
    <w:abstractNumId w:val="17"/>
  </w:num>
  <w:num w:numId="31">
    <w:abstractNumId w:val="37"/>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2"/>
  </w:num>
  <w:num w:numId="39">
    <w:abstractNumId w:val="7"/>
  </w:num>
  <w:num w:numId="40">
    <w:abstractNumId w:val="19"/>
  </w:num>
  <w:num w:numId="41">
    <w:abstractNumId w:val="29"/>
  </w:num>
  <w:num w:numId="42">
    <w:abstractNumId w:val="21"/>
  </w:num>
  <w:num w:numId="43">
    <w:abstractNumId w:val="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606DB"/>
    <w:rsid w:val="00070213"/>
    <w:rsid w:val="00075A08"/>
    <w:rsid w:val="00086763"/>
    <w:rsid w:val="000B6480"/>
    <w:rsid w:val="000E21E6"/>
    <w:rsid w:val="000E4B3B"/>
    <w:rsid w:val="00147059"/>
    <w:rsid w:val="00165FFD"/>
    <w:rsid w:val="00175252"/>
    <w:rsid w:val="001A5435"/>
    <w:rsid w:val="002035B4"/>
    <w:rsid w:val="0020496D"/>
    <w:rsid w:val="002108FB"/>
    <w:rsid w:val="00214061"/>
    <w:rsid w:val="00222D90"/>
    <w:rsid w:val="00251E63"/>
    <w:rsid w:val="00252F70"/>
    <w:rsid w:val="00276316"/>
    <w:rsid w:val="002B6F5E"/>
    <w:rsid w:val="002D0B33"/>
    <w:rsid w:val="002E2EFA"/>
    <w:rsid w:val="002F600E"/>
    <w:rsid w:val="002F7ACE"/>
    <w:rsid w:val="002F7E90"/>
    <w:rsid w:val="0030576D"/>
    <w:rsid w:val="00325AEA"/>
    <w:rsid w:val="00336780"/>
    <w:rsid w:val="00351186"/>
    <w:rsid w:val="00353092"/>
    <w:rsid w:val="00366D0F"/>
    <w:rsid w:val="00384221"/>
    <w:rsid w:val="003926D9"/>
    <w:rsid w:val="00394DE9"/>
    <w:rsid w:val="003B12F4"/>
    <w:rsid w:val="003B1C72"/>
    <w:rsid w:val="003B3BC4"/>
    <w:rsid w:val="003B62A9"/>
    <w:rsid w:val="003B7953"/>
    <w:rsid w:val="003C53F4"/>
    <w:rsid w:val="003D4956"/>
    <w:rsid w:val="003E16FB"/>
    <w:rsid w:val="003F2345"/>
    <w:rsid w:val="00400459"/>
    <w:rsid w:val="004025DD"/>
    <w:rsid w:val="00402669"/>
    <w:rsid w:val="00403853"/>
    <w:rsid w:val="00410F8C"/>
    <w:rsid w:val="00430D45"/>
    <w:rsid w:val="00444230"/>
    <w:rsid w:val="00460D0F"/>
    <w:rsid w:val="004655E4"/>
    <w:rsid w:val="00477C39"/>
    <w:rsid w:val="004950B8"/>
    <w:rsid w:val="004960A3"/>
    <w:rsid w:val="004B5925"/>
    <w:rsid w:val="00500A0A"/>
    <w:rsid w:val="00501919"/>
    <w:rsid w:val="00514014"/>
    <w:rsid w:val="00520D04"/>
    <w:rsid w:val="00535141"/>
    <w:rsid w:val="005462D0"/>
    <w:rsid w:val="005611C7"/>
    <w:rsid w:val="0057060A"/>
    <w:rsid w:val="00572342"/>
    <w:rsid w:val="00587D7E"/>
    <w:rsid w:val="00590814"/>
    <w:rsid w:val="005A0235"/>
    <w:rsid w:val="005A49A9"/>
    <w:rsid w:val="005B4708"/>
    <w:rsid w:val="006038F5"/>
    <w:rsid w:val="00605659"/>
    <w:rsid w:val="00614856"/>
    <w:rsid w:val="0063187F"/>
    <w:rsid w:val="0063527D"/>
    <w:rsid w:val="00644213"/>
    <w:rsid w:val="00645296"/>
    <w:rsid w:val="00662FC9"/>
    <w:rsid w:val="00683FD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A15A7"/>
    <w:rsid w:val="007B0157"/>
    <w:rsid w:val="007B1F48"/>
    <w:rsid w:val="007B56A6"/>
    <w:rsid w:val="007B63FF"/>
    <w:rsid w:val="007D5A94"/>
    <w:rsid w:val="00812F5A"/>
    <w:rsid w:val="00813DE2"/>
    <w:rsid w:val="0081656B"/>
    <w:rsid w:val="00850B21"/>
    <w:rsid w:val="00857517"/>
    <w:rsid w:val="0087438D"/>
    <w:rsid w:val="00885CD8"/>
    <w:rsid w:val="00892D64"/>
    <w:rsid w:val="00896313"/>
    <w:rsid w:val="008A746B"/>
    <w:rsid w:val="008B1AAE"/>
    <w:rsid w:val="008B48F7"/>
    <w:rsid w:val="008E1F9A"/>
    <w:rsid w:val="00905619"/>
    <w:rsid w:val="009200FD"/>
    <w:rsid w:val="00935608"/>
    <w:rsid w:val="00946836"/>
    <w:rsid w:val="009558DF"/>
    <w:rsid w:val="009727C4"/>
    <w:rsid w:val="00973FA3"/>
    <w:rsid w:val="00981F89"/>
    <w:rsid w:val="009A389F"/>
    <w:rsid w:val="009A42BA"/>
    <w:rsid w:val="009A6C64"/>
    <w:rsid w:val="009B1E43"/>
    <w:rsid w:val="009D0B07"/>
    <w:rsid w:val="00A01EA6"/>
    <w:rsid w:val="00A353B9"/>
    <w:rsid w:val="00A36913"/>
    <w:rsid w:val="00A64CDB"/>
    <w:rsid w:val="00AA1417"/>
    <w:rsid w:val="00AA3605"/>
    <w:rsid w:val="00AB13CF"/>
    <w:rsid w:val="00AC529B"/>
    <w:rsid w:val="00AD5F57"/>
    <w:rsid w:val="00AD6594"/>
    <w:rsid w:val="00AF0FE8"/>
    <w:rsid w:val="00B31F6C"/>
    <w:rsid w:val="00B61718"/>
    <w:rsid w:val="00B80E74"/>
    <w:rsid w:val="00B80E8A"/>
    <w:rsid w:val="00BB2486"/>
    <w:rsid w:val="00BB532A"/>
    <w:rsid w:val="00BB6C8E"/>
    <w:rsid w:val="00BE79DF"/>
    <w:rsid w:val="00BF52FA"/>
    <w:rsid w:val="00C07D1A"/>
    <w:rsid w:val="00C30BDE"/>
    <w:rsid w:val="00C35F59"/>
    <w:rsid w:val="00C60A65"/>
    <w:rsid w:val="00C71615"/>
    <w:rsid w:val="00C829CA"/>
    <w:rsid w:val="00C82EB8"/>
    <w:rsid w:val="00C83786"/>
    <w:rsid w:val="00C85752"/>
    <w:rsid w:val="00CD0CF6"/>
    <w:rsid w:val="00CD1FD7"/>
    <w:rsid w:val="00CE4C1A"/>
    <w:rsid w:val="00CF1081"/>
    <w:rsid w:val="00CF12E5"/>
    <w:rsid w:val="00D03350"/>
    <w:rsid w:val="00D033E9"/>
    <w:rsid w:val="00D3643C"/>
    <w:rsid w:val="00D54151"/>
    <w:rsid w:val="00D652B0"/>
    <w:rsid w:val="00D74C98"/>
    <w:rsid w:val="00D75186"/>
    <w:rsid w:val="00D866B2"/>
    <w:rsid w:val="00DA5D20"/>
    <w:rsid w:val="00DB102B"/>
    <w:rsid w:val="00DC2863"/>
    <w:rsid w:val="00DD651B"/>
    <w:rsid w:val="00DE091E"/>
    <w:rsid w:val="00DF1A5D"/>
    <w:rsid w:val="00DF767A"/>
    <w:rsid w:val="00E53B68"/>
    <w:rsid w:val="00E61156"/>
    <w:rsid w:val="00E63993"/>
    <w:rsid w:val="00E73F6E"/>
    <w:rsid w:val="00E86BFF"/>
    <w:rsid w:val="00EA36B2"/>
    <w:rsid w:val="00EA49AC"/>
    <w:rsid w:val="00EA683B"/>
    <w:rsid w:val="00EC3CA1"/>
    <w:rsid w:val="00EC7E75"/>
    <w:rsid w:val="00F12052"/>
    <w:rsid w:val="00F17D2F"/>
    <w:rsid w:val="00F37777"/>
    <w:rsid w:val="00F42082"/>
    <w:rsid w:val="00F638EC"/>
    <w:rsid w:val="00F66D46"/>
    <w:rsid w:val="00F82AD2"/>
    <w:rsid w:val="00F970B1"/>
    <w:rsid w:val="00FB0D5C"/>
    <w:rsid w:val="00FB3DF8"/>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widwin.biuletyn.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widw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westycje@swidw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3905</TotalTime>
  <Pages>16</Pages>
  <Words>5558</Words>
  <Characters>33353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121</cp:revision>
  <cp:lastPrinted>2018-02-07T11:16:00Z</cp:lastPrinted>
  <dcterms:created xsi:type="dcterms:W3CDTF">2017-01-09T08:28:00Z</dcterms:created>
  <dcterms:modified xsi:type="dcterms:W3CDTF">2018-06-26T06:04:00Z</dcterms:modified>
</cp:coreProperties>
</file>