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39" w:rsidRPr="00A62539" w:rsidRDefault="00646677" w:rsidP="00A62539">
      <w:pPr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 w:rsidRPr="00646677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="00A62539" w:rsidRPr="00A62539">
        <w:rPr>
          <w:rFonts w:eastAsia="Times New Roman" w:cs="Times New Roman"/>
          <w:color w:val="000000"/>
          <w:sz w:val="27"/>
          <w:szCs w:val="27"/>
          <w:lang w:eastAsia="pl-PL"/>
        </w:rPr>
        <w:t>Ogłoszenie nr 573756-N-2019 z dnia 2019-07-15 r. </w:t>
      </w:r>
      <w:r w:rsidR="00A62539"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A62539" w:rsidRPr="00A62539" w:rsidRDefault="00A62539" w:rsidP="00A62539">
      <w:pPr>
        <w:spacing w:after="0" w:line="450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Gmina Rzeczniów: „Przebudowa drogi gminnej w miejscowości Wincentów”.</w:t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Nie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Nie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b/>
          <w:bCs/>
          <w:color w:val="000000"/>
          <w:sz w:val="36"/>
          <w:szCs w:val="36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Nie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Nie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Nie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Gmina Rzeczniów, krajowy numer identyfikacyjny 67022397100000, ul. Rzeczniów  1 , 27-353  Rzeczniów, woj. mazowieckie, państwo Polska, tel. 486167004, 486167050, e-mail wskrzypczyk@rzeczniow.pl, janusz.wlodarski@rzeczniow.pl, faks486167310.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62539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pozostałych zamawiających):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Nie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Tak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www.rzeczniów.pl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Nie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Nie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adres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Tak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za pomocą operatora pocztowego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Nie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Adres: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Nie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b/>
          <w:bCs/>
          <w:color w:val="000000"/>
          <w:sz w:val="36"/>
          <w:szCs w:val="36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„Przebudowa drogi gminnej w miejscowości Wincentów”.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GPiDG.271.3.2019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A62539" w:rsidRPr="00A62539" w:rsidRDefault="00A62539" w:rsidP="00A62539">
      <w:pPr>
        <w:spacing w:after="0" w:line="450" w:lineRule="atLeast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Nie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Roboty budowlane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Nie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62539">
        <w:rPr>
          <w:rFonts w:eastAsia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 xml:space="preserve">1.Przedmiotem zamówienia jest przebudowa drogi gminnej w miejscowości Wincentów na długości 628,00 </w:t>
      </w:r>
      <w:proofErr w:type="spellStart"/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, szerokości 5,00 m, polegająca na wykonaniu: - odtworzenia przebiegu trasy drogi , - przepustów pod koroną drogi, - profilowania i zagęszczania podłoża pod warstwy konstrukcyjne, - oczyszczenia i skropienia warstw konstrukcyjnych, - podbudowie z kruszywa łamanego, - nawierzchni z betonu asfaltowego, - poboczy z kruszywa łamanego, - oczyszczenia ( wykopania) rowów przydrożnych, - zjazdów, - oznakowania pionowego . Prace objęte przedmiotem zamówienia muszą być zgodne z projektem wykonawczym oraz zakresem robót zawartym w przedmiarze robót oraz Szczegółowej Specyfikacji Technicznej Wykonania i Odbioru Robót.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45100000-8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62539" w:rsidRPr="00A62539" w:rsidTr="00A62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539" w:rsidRPr="00A62539" w:rsidRDefault="00A62539" w:rsidP="00A6253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62539">
              <w:rPr>
                <w:rFonts w:eastAsia="Times New Roman" w:cs="Times New Roman"/>
                <w:szCs w:val="24"/>
                <w:lang w:eastAsia="pl-PL"/>
              </w:rPr>
              <w:t>Kod CPV</w:t>
            </w:r>
          </w:p>
        </w:tc>
      </w:tr>
      <w:tr w:rsidR="00A62539" w:rsidRPr="00A62539" w:rsidTr="00A62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539" w:rsidRPr="00A62539" w:rsidRDefault="00A62539" w:rsidP="00A6253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62539">
              <w:rPr>
                <w:rFonts w:eastAsia="Times New Roman" w:cs="Times New Roman"/>
                <w:szCs w:val="24"/>
                <w:lang w:eastAsia="pl-PL"/>
              </w:rPr>
              <w:t>45233140-2</w:t>
            </w:r>
          </w:p>
        </w:tc>
      </w:tr>
    </w:tbl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62539">
        <w:rPr>
          <w:rFonts w:eastAsia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Nie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62539">
        <w:rPr>
          <w:rFonts w:eastAsia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2019-09-30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62539" w:rsidRPr="00A62539" w:rsidTr="00A62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539" w:rsidRPr="00A62539" w:rsidRDefault="00A62539" w:rsidP="00A6253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62539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539" w:rsidRPr="00A62539" w:rsidRDefault="00A62539" w:rsidP="00A6253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62539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539" w:rsidRPr="00A62539" w:rsidRDefault="00A62539" w:rsidP="00A6253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62539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539" w:rsidRPr="00A62539" w:rsidRDefault="00A62539" w:rsidP="00A6253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62539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A62539" w:rsidRPr="00A62539" w:rsidTr="00A62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539" w:rsidRPr="00A62539" w:rsidRDefault="00A62539" w:rsidP="00A6253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539" w:rsidRPr="00A62539" w:rsidRDefault="00A62539" w:rsidP="00A625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539" w:rsidRPr="00A62539" w:rsidRDefault="00A62539" w:rsidP="00A625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539" w:rsidRPr="00A62539" w:rsidRDefault="00A62539" w:rsidP="00A6253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62539">
              <w:rPr>
                <w:rFonts w:eastAsia="Times New Roman" w:cs="Times New Roman"/>
                <w:szCs w:val="24"/>
                <w:lang w:eastAsia="pl-PL"/>
              </w:rPr>
              <w:t>2019-09-30</w:t>
            </w:r>
          </w:p>
        </w:tc>
      </w:tr>
    </w:tbl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b/>
          <w:bCs/>
          <w:color w:val="000000"/>
          <w:sz w:val="36"/>
          <w:szCs w:val="36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Określenie warunków: - Zamawiający nie stawia w tym zakresie wymagań.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Określenie warunków: Zamawiający wymaga aby Wykonawca przedłożył ważne i opłacone ubezpieczenie od odpowiedzialności cywilnej w zakresie prowadzonej działalności związanej z przedmiotem zamówienia na sumę gwarancyjną nie mniejszą niż 200 000,00 PLN (dwieście tysięcy PLN) .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musi wykazać, że w ciągu ostatnich 5 lat przed upływem terminu składania ofert, a jeżeli okres prowadzenia działalności jest krótszy – w tym okresie, wykonał co najmniej dwie roboty budowlane polegające na: budowie, rozbudowie lub przebudowie drogi na wartość co najmniej 200 000,00 PLN każda. Osoby skierowane przez Wykonawcę do realizacji zamówienia: Warunek ten zostanie spełniony jeżeli Wykonawca dysponował będzie co najmniej 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jedną osobą będącą kierownikiem budowy, posiadającym co najmniej od 5 lat uprawnienia budowlane do kierowania robotami budowlanymi w specjalności drogowej.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)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)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Tak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a) Aktualny odpis z właściwego rejestru lub z centralnej ewidencji i informacji o działalności gospodarczej, jeżeli odrębne przepisy wymagają wpisu do rejestru lub ewidencji, wystawiony nie wcześniej niż 6 miesięcy przed upływem terminu składania ofert. b) Zaświadczenie właściwego Urzędu Skarbowego potwierdzającego, że wykonawca nie zalega z opłacaniem podatków,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Zaświadczenie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d) Oświadczenie o przynależności lub braku przynależności do tej samej grupy kapitałowej. 3) Ponadto Wykonawca składa Kosztorys sporządzony w oparciu o przedmiar robót – wg załącznika nr 9 do SIWZ .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 xml:space="preserve">a) Dokument potwierdzający, że wykonawca jest ubezpieczony od odpowiedzialności cywilnej w zakresie prowadzonej działalności związanej z przedmiotem zamówienia na sumę gwarancyjną w wysokości co najmniej 200 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000,00 zł. b) Wykaz robót budowlanych wykonanych nie wcześniej niż w okresie ostatnich 5 lat przed upływem terminu składania ofert, a jeżeli okres prowadzenia działalności jest krótszy - w tym okresie co najmniej dwie roboty budowlane polegające na: budowie, rozbudowie lub przebudowie drogi na wartość co najmniej 200 000,00 PLN każda, z załączeniem dowodów określających, że te roboty budowlane zostały wykonane należycie, przy czym dowodami, o których mowa, są referencje bądź inne dokumenty wystawione przez podmiot, na rzecz którego roboty budowlane były wykonywane. Jeżeli z uzasadnionej przyczyny o obiektywnym charakterze wykonawca nie jest w stanie uzyskać tych dokumentów - inne dokumenty – w/g załącznika nr 6 do SIWZ. c)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stanowi załącznik nr 7 do SIWZ.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1. Formularz ofertowy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b/>
          <w:bCs/>
          <w:color w:val="000000"/>
          <w:sz w:val="36"/>
          <w:szCs w:val="36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Przetarg nieograniczony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Nie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Nie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Nie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Nie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Nie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Liczba wykonawców  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Umowa ramowa będzie zawarta: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62539">
        <w:rPr>
          <w:rFonts w:eastAsia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Nie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Należy podać, które informacje zostaną udostępnione wykonawcom w trakcie aukcji elektronicznej oraz jaki będzie termin ich udostępnienia: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1016"/>
      </w:tblGrid>
      <w:tr w:rsidR="00A62539" w:rsidRPr="00A62539" w:rsidTr="00A62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539" w:rsidRPr="00A62539" w:rsidRDefault="00A62539" w:rsidP="00A6253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62539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539" w:rsidRPr="00A62539" w:rsidRDefault="00A62539" w:rsidP="00A6253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62539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A62539" w:rsidRPr="00A62539" w:rsidTr="00A62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539" w:rsidRPr="00A62539" w:rsidRDefault="00A62539" w:rsidP="00A6253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62539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539" w:rsidRPr="00A62539" w:rsidRDefault="00A62539" w:rsidP="00A6253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62539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A62539" w:rsidRPr="00A62539" w:rsidTr="00A62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539" w:rsidRPr="00A62539" w:rsidRDefault="00A62539" w:rsidP="00A6253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62539">
              <w:rPr>
                <w:rFonts w:eastAsia="Times New Roman" w:cs="Times New Roman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539" w:rsidRPr="00A62539" w:rsidRDefault="00A62539" w:rsidP="00A6253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62539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Tak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Przewidziane jest zastrzeżenie prawa do udzielenia zamówienia na podstawie ofert wstępnych bez przeprowadzenia negocjacji Nie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Czas trwania: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A62539" w:rsidRPr="00A62539" w:rsidRDefault="00A62539" w:rsidP="00A62539">
      <w:pPr>
        <w:spacing w:after="0" w:line="450" w:lineRule="atLeast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Tak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 xml:space="preserve">1. Dopuszcza się zmiany w treści umowy w przypadku: a) zmiany obowiązującej stawki podatku VAT, b) zmian dotyczących nazwy, siedziby Wykonawcy lub jego formy organizacyjno-prawnej. c) konieczności wynikającej z sytuacji, której nie 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można było wcześniej przewidzieć lub gdy zmiana ta będzie korzystna dla zamawiającego. 2. Wszelkie zmiany i uzupełnienia warunków umowy mogą być dokonywane za zgodą obu stron, wyrażoną na piśmie w formie aneksu pod rygorem nieważności , o ile nie będzie to sprzeczne z ustawą Prawo zamówień publicznych.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62539">
        <w:rPr>
          <w:rFonts w:eastAsia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Data: 2019-07-30, godzina: 10:00,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Nie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Nie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</w:t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rozwojowe, które zamawiający zamierzał przeznaczyć na sfinansowanie całości lub części zamówienia, nie zostały mu przyznane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Nie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A62539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  <w:r w:rsidRPr="00A62539">
        <w:rPr>
          <w:rFonts w:eastAsia="Times New Roman" w:cs="Times New Roman"/>
          <w:color w:val="000000"/>
          <w:sz w:val="27"/>
          <w:szCs w:val="27"/>
          <w:lang w:eastAsia="pl-PL"/>
        </w:rPr>
        <w:br/>
      </w:r>
    </w:p>
    <w:p w:rsidR="00A62539" w:rsidRPr="00A62539" w:rsidRDefault="00A62539" w:rsidP="00A62539">
      <w:pPr>
        <w:spacing w:after="0" w:line="450" w:lineRule="atLeast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pl-PL"/>
        </w:rPr>
      </w:pPr>
      <w:r w:rsidRPr="00A62539"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46677" w:rsidRPr="00646677" w:rsidRDefault="00646677" w:rsidP="00A62539">
      <w:pPr>
        <w:spacing w:after="0" w:line="240" w:lineRule="auto"/>
        <w:rPr>
          <w:rFonts w:eastAsia="Times New Roman" w:cs="Times New Roman"/>
          <w:b/>
          <w:bCs/>
          <w:color w:val="000000"/>
          <w:sz w:val="36"/>
          <w:szCs w:val="36"/>
          <w:lang w:eastAsia="pl-PL"/>
        </w:rPr>
      </w:pPr>
    </w:p>
    <w:p w:rsidR="00F6147E" w:rsidRDefault="00F6147E"/>
    <w:sectPr w:rsidR="00F6147E" w:rsidSect="007F029D">
      <w:pgSz w:w="11906" w:h="16838"/>
      <w:pgMar w:top="1077" w:right="1134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77"/>
    <w:rsid w:val="000551AD"/>
    <w:rsid w:val="00646677"/>
    <w:rsid w:val="007F029D"/>
    <w:rsid w:val="00A62539"/>
    <w:rsid w:val="00E82227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A67BA-B6F2-4676-91D3-17474689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2980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Janusz Włodarski</cp:lastModifiedBy>
  <cp:revision>2</cp:revision>
  <dcterms:created xsi:type="dcterms:W3CDTF">2019-07-15T13:27:00Z</dcterms:created>
  <dcterms:modified xsi:type="dcterms:W3CDTF">2019-07-15T13:27:00Z</dcterms:modified>
</cp:coreProperties>
</file>