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r w:rsidR="007F5BC8" w:rsidRPr="007F5BC8">
        <w:rPr>
          <w:b/>
          <w:i/>
          <w:sz w:val="28"/>
        </w:rPr>
        <w:t xml:space="preserve">Załącznik nr </w:t>
      </w:r>
      <w:r w:rsidR="00E774DB">
        <w:rPr>
          <w:b/>
          <w:i/>
          <w:sz w:val="28"/>
        </w:rPr>
        <w:t>9</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E774DB">
        <w:rPr>
          <w:b/>
          <w:i/>
          <w:sz w:val="40"/>
        </w:rPr>
        <w:t>ÓG</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556578" w:rsidRPr="00675FCA" w:rsidRDefault="00890E07" w:rsidP="00556578">
      <w:pPr>
        <w:rPr>
          <w:sz w:val="28"/>
        </w:rPr>
      </w:pPr>
      <w:r w:rsidRPr="00890E07">
        <w:rPr>
          <w:b/>
          <w:i/>
          <w:sz w:val="24"/>
          <w:szCs w:val="24"/>
        </w:rPr>
        <w:t>„</w:t>
      </w:r>
      <w:r w:rsidRPr="00890E07">
        <w:rPr>
          <w:b/>
          <w:bCs/>
          <w:i/>
          <w:sz w:val="24"/>
          <w:szCs w:val="24"/>
        </w:rPr>
        <w:t>Remont dróg wewnętrznych: Musików, Rzeczyca Długa (I odcinek), Rzeczyca Długa (II odcinek), Dąbrowa Rzeczycka – Osiedle, Wola Rzeczycka – Osiedle”</w:t>
      </w: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890E07">
        <w:rPr>
          <w:rFonts w:ascii="Times New Roman" w:hAnsi="Times New Roman"/>
          <w:sz w:val="20"/>
        </w:rPr>
        <w:t>óg</w:t>
      </w:r>
      <w:bookmarkStart w:id="4" w:name="_GoBack"/>
      <w:bookmarkEnd w:id="4"/>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6C00B4"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85033D">
        <w:t> </w:t>
      </w:r>
    </w:p>
    <w:p w:rsidR="00FF2598" w:rsidRPr="0085033D" w:rsidRDefault="00FF2598" w:rsidP="00FF2598">
      <w:pPr>
        <w:pStyle w:val="Nagwek1"/>
      </w:pPr>
      <w:bookmarkStart w:id="42" w:name="_1._Wstęp"/>
      <w:bookmarkEnd w:id="42"/>
      <w:r w:rsidRPr="0085033D">
        <w:lastRenderedPageBreak/>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rsidRPr="0085033D">
        <w:t xml:space="preserve">1.1. Przedmiot </w:t>
      </w:r>
      <w:r>
        <w:t>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6C00B4"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6C00B4"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6C00B4"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6C00B4"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6C00B4"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6C00B4"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6C00B4"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6C00B4"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6C00B4"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6C00B4"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6C00B4"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6C00B4"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6C00B4"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6C00B4"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6C00B4" w:rsidP="00FF2598">
      <w:pPr>
        <w:rPr>
          <w:b/>
          <w:bCs/>
          <w:color w:val="000080"/>
        </w:rPr>
      </w:pPr>
      <w:hyperlink r:id="rId34" w:anchor="_2._materiały" w:history="1">
        <w:r w:rsidR="00FF2598">
          <w:rPr>
            <w:rStyle w:val="Hipercze"/>
            <w:b/>
            <w:bCs/>
            <w:color w:val="000080"/>
          </w:rPr>
          <w:t>2. MATERIAŁY</w:t>
        </w:r>
      </w:hyperlink>
    </w:p>
    <w:p w:rsidR="00FF2598" w:rsidRDefault="006C00B4" w:rsidP="00FF2598">
      <w:pPr>
        <w:rPr>
          <w:b/>
          <w:bCs/>
          <w:color w:val="000080"/>
        </w:rPr>
      </w:pPr>
      <w:hyperlink r:id="rId35" w:anchor="_3._sprzęt" w:history="1">
        <w:r w:rsidR="00FF2598">
          <w:rPr>
            <w:rStyle w:val="Hipercze"/>
            <w:b/>
            <w:bCs/>
            <w:color w:val="000080"/>
          </w:rPr>
          <w:t>3. SPRZĘT</w:t>
        </w:r>
      </w:hyperlink>
    </w:p>
    <w:p w:rsidR="00FF2598" w:rsidRDefault="006C00B4" w:rsidP="00FF2598">
      <w:pPr>
        <w:rPr>
          <w:b/>
          <w:bCs/>
          <w:color w:val="000080"/>
        </w:rPr>
      </w:pPr>
      <w:hyperlink r:id="rId36" w:anchor="_4._transport" w:history="1">
        <w:r w:rsidR="00FF2598">
          <w:rPr>
            <w:rStyle w:val="Hipercze"/>
            <w:b/>
            <w:bCs/>
            <w:color w:val="000080"/>
          </w:rPr>
          <w:t>4. TRANSPORT</w:t>
        </w:r>
      </w:hyperlink>
    </w:p>
    <w:p w:rsidR="00FF2598" w:rsidRDefault="006C00B4" w:rsidP="00FF2598">
      <w:pPr>
        <w:rPr>
          <w:b/>
          <w:bCs/>
          <w:color w:val="000080"/>
        </w:rPr>
      </w:pPr>
      <w:hyperlink r:id="rId37" w:anchor="_5._wykonanie_robót" w:history="1">
        <w:r w:rsidR="00FF2598">
          <w:rPr>
            <w:rStyle w:val="Hipercze"/>
            <w:b/>
            <w:bCs/>
            <w:color w:val="000080"/>
          </w:rPr>
          <w:t>5. WYKONANIE ROBÓT</w:t>
        </w:r>
      </w:hyperlink>
    </w:p>
    <w:p w:rsidR="00FF2598" w:rsidRDefault="006C00B4" w:rsidP="00FF2598">
      <w:pPr>
        <w:rPr>
          <w:b/>
          <w:bCs/>
          <w:color w:val="000080"/>
        </w:rPr>
      </w:pPr>
      <w:hyperlink r:id="rId38" w:anchor="_6._kontrola_jakości" w:history="1">
        <w:r w:rsidR="00FF2598">
          <w:rPr>
            <w:rStyle w:val="Hipercze"/>
            <w:b/>
            <w:bCs/>
            <w:color w:val="000080"/>
          </w:rPr>
          <w:t>6. KONTROLA JAKOŚCI ROBÓT</w:t>
        </w:r>
      </w:hyperlink>
    </w:p>
    <w:p w:rsidR="00FF2598" w:rsidRDefault="006C00B4" w:rsidP="00FF2598">
      <w:pPr>
        <w:rPr>
          <w:b/>
          <w:bCs/>
          <w:color w:val="000080"/>
        </w:rPr>
      </w:pPr>
      <w:hyperlink r:id="rId39" w:anchor="_7._OBMIAR_ROBÓT" w:history="1">
        <w:r w:rsidR="00FF2598">
          <w:rPr>
            <w:rStyle w:val="Hipercze"/>
            <w:b/>
            <w:bCs/>
            <w:color w:val="000080"/>
          </w:rPr>
          <w:t>7. OBMIAR ROBÓT</w:t>
        </w:r>
      </w:hyperlink>
    </w:p>
    <w:p w:rsidR="00FF2598" w:rsidRDefault="006C00B4" w:rsidP="00FF2598">
      <w:pPr>
        <w:rPr>
          <w:b/>
          <w:bCs/>
          <w:color w:val="000080"/>
        </w:rPr>
      </w:pPr>
      <w:hyperlink r:id="rId40" w:anchor="_8._ODBIÓR_ROBÓT" w:history="1">
        <w:r w:rsidR="00FF2598">
          <w:rPr>
            <w:rStyle w:val="Hipercze"/>
            <w:b/>
            <w:bCs/>
            <w:color w:val="000080"/>
          </w:rPr>
          <w:t>8. ODBIÓR ROBÓT</w:t>
        </w:r>
      </w:hyperlink>
    </w:p>
    <w:p w:rsidR="00FF2598" w:rsidRDefault="006C00B4" w:rsidP="00FF2598">
      <w:pPr>
        <w:rPr>
          <w:b/>
          <w:bCs/>
          <w:color w:val="000080"/>
        </w:rPr>
      </w:pPr>
      <w:hyperlink r:id="rId41" w:anchor="_9._PODSTAWA_PŁATNOŚCI" w:history="1">
        <w:r w:rsidR="00FF2598">
          <w:rPr>
            <w:rStyle w:val="Hipercze"/>
            <w:b/>
            <w:bCs/>
            <w:color w:val="000080"/>
          </w:rPr>
          <w:t>9. PODSTAWA PŁATNOŚCI</w:t>
        </w:r>
      </w:hyperlink>
    </w:p>
    <w:p w:rsidR="00FF2598" w:rsidRDefault="006C00B4"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6C00B4" w:rsidP="00FF2598">
      <w:pPr>
        <w:ind w:left="360"/>
        <w:rPr>
          <w:b/>
          <w:caps/>
          <w:color w:val="003300"/>
        </w:rPr>
      </w:pPr>
      <w:hyperlink r:id="rId47" w:anchor="_1._WSTĘP_1" w:history="1">
        <w:r w:rsidR="00FF2598">
          <w:rPr>
            <w:rStyle w:val="Hipercze"/>
            <w:b/>
            <w:caps/>
            <w:color w:val="003300"/>
          </w:rPr>
          <w:t>1. WSTĘP</w:t>
        </w:r>
      </w:hyperlink>
    </w:p>
    <w:p w:rsidR="00FF2598" w:rsidRDefault="006C00B4" w:rsidP="00FF2598">
      <w:pPr>
        <w:ind w:left="360"/>
        <w:rPr>
          <w:b/>
          <w:caps/>
          <w:color w:val="003300"/>
        </w:rPr>
      </w:pPr>
      <w:hyperlink r:id="rId48" w:anchor="_2._materiały_1" w:history="1">
        <w:r w:rsidR="00FF2598">
          <w:rPr>
            <w:rStyle w:val="Hipercze"/>
            <w:b/>
            <w:caps/>
            <w:color w:val="003300"/>
          </w:rPr>
          <w:t>2. materiały</w:t>
        </w:r>
      </w:hyperlink>
    </w:p>
    <w:p w:rsidR="00FF2598" w:rsidRDefault="006C00B4"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6C00B4" w:rsidP="00FF2598">
      <w:pPr>
        <w:ind w:left="360"/>
        <w:rPr>
          <w:b/>
          <w:caps/>
          <w:color w:val="003300"/>
        </w:rPr>
      </w:pPr>
      <w:hyperlink r:id="rId50" w:anchor="_4._transport_1" w:history="1">
        <w:r w:rsidR="00FF2598">
          <w:rPr>
            <w:rStyle w:val="Hipercze"/>
            <w:b/>
            <w:caps/>
            <w:color w:val="003300"/>
          </w:rPr>
          <w:t>4. transport</w:t>
        </w:r>
      </w:hyperlink>
    </w:p>
    <w:p w:rsidR="00FF2598" w:rsidRDefault="006C00B4"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6C00B4"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6C00B4" w:rsidP="00FF2598">
      <w:pPr>
        <w:ind w:left="360"/>
        <w:rPr>
          <w:b/>
          <w:caps/>
          <w:color w:val="003300"/>
        </w:rPr>
      </w:pPr>
      <w:hyperlink r:id="rId53" w:anchor="_7._obmiar_robót_1" w:history="1">
        <w:r w:rsidR="00FF2598">
          <w:rPr>
            <w:rStyle w:val="Hipercze"/>
            <w:b/>
            <w:caps/>
            <w:color w:val="003300"/>
          </w:rPr>
          <w:t>7. OBMIAR ROBÓT</w:t>
        </w:r>
      </w:hyperlink>
    </w:p>
    <w:p w:rsidR="00FF2598" w:rsidRDefault="006C00B4"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6C00B4"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6C00B4"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6C00B4" w:rsidP="00FF2598">
      <w:pPr>
        <w:ind w:left="360"/>
        <w:rPr>
          <w:b/>
          <w:caps/>
          <w:color w:val="993366"/>
        </w:rPr>
      </w:pPr>
      <w:hyperlink r:id="rId57" w:anchor="_1._WSTĘP_2" w:history="1">
        <w:r w:rsidR="00FF2598">
          <w:rPr>
            <w:rStyle w:val="Hipercze"/>
            <w:b/>
            <w:caps/>
            <w:color w:val="993366"/>
          </w:rPr>
          <w:t>1. WSTĘP</w:t>
        </w:r>
      </w:hyperlink>
    </w:p>
    <w:p w:rsidR="00FF2598" w:rsidRDefault="006C00B4" w:rsidP="00FF2598">
      <w:pPr>
        <w:ind w:left="360"/>
        <w:rPr>
          <w:b/>
          <w:caps/>
          <w:color w:val="993366"/>
        </w:rPr>
      </w:pPr>
      <w:hyperlink r:id="rId58" w:anchor="_2._materiały_2" w:history="1">
        <w:r w:rsidR="00FF2598">
          <w:rPr>
            <w:rStyle w:val="Hipercze"/>
            <w:b/>
            <w:caps/>
            <w:color w:val="993366"/>
          </w:rPr>
          <w:t>2. materiały</w:t>
        </w:r>
      </w:hyperlink>
    </w:p>
    <w:p w:rsidR="00FF2598" w:rsidRDefault="006C00B4" w:rsidP="00FF2598">
      <w:pPr>
        <w:ind w:left="360"/>
        <w:rPr>
          <w:b/>
          <w:caps/>
          <w:color w:val="993366"/>
        </w:rPr>
      </w:pPr>
      <w:hyperlink r:id="rId59" w:anchor="_3._sprzęt_1" w:history="1">
        <w:r w:rsidR="00FF2598">
          <w:rPr>
            <w:rStyle w:val="Hipercze"/>
            <w:b/>
            <w:caps/>
            <w:color w:val="993366"/>
          </w:rPr>
          <w:t>3. sprzęt</w:t>
        </w:r>
      </w:hyperlink>
    </w:p>
    <w:p w:rsidR="00FF2598" w:rsidRDefault="006C00B4" w:rsidP="00FF2598">
      <w:pPr>
        <w:ind w:left="360"/>
        <w:rPr>
          <w:b/>
          <w:caps/>
          <w:color w:val="993366"/>
        </w:rPr>
      </w:pPr>
      <w:hyperlink r:id="rId60" w:anchor="_4._transport_2" w:history="1">
        <w:r w:rsidR="00FF2598">
          <w:rPr>
            <w:rStyle w:val="Hipercze"/>
            <w:b/>
            <w:caps/>
            <w:color w:val="993366"/>
          </w:rPr>
          <w:t>4. transport</w:t>
        </w:r>
      </w:hyperlink>
    </w:p>
    <w:p w:rsidR="00FF2598" w:rsidRDefault="006C00B4"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6C00B4"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6C00B4" w:rsidP="00FF2598">
      <w:pPr>
        <w:ind w:left="360"/>
        <w:rPr>
          <w:b/>
          <w:caps/>
          <w:color w:val="993366"/>
        </w:rPr>
      </w:pPr>
      <w:hyperlink r:id="rId63" w:anchor="_7._obmiar_robót_2" w:history="1">
        <w:r w:rsidR="00FF2598">
          <w:rPr>
            <w:rStyle w:val="Hipercze"/>
            <w:b/>
            <w:caps/>
            <w:color w:val="993366"/>
          </w:rPr>
          <w:t>7. OBMIAR ROBÓT</w:t>
        </w:r>
      </w:hyperlink>
    </w:p>
    <w:p w:rsidR="00FF2598" w:rsidRDefault="006C00B4"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6C00B4"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6C00B4"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6C00B4" w:rsidP="00BF0205">
      <w:pPr>
        <w:ind w:left="360"/>
        <w:rPr>
          <w:b/>
          <w:caps/>
          <w:color w:val="000080"/>
        </w:rPr>
      </w:pPr>
      <w:hyperlink r:id="rId67" w:anchor="_1._WSTĘP" w:history="1">
        <w:r w:rsidR="00BF0205">
          <w:rPr>
            <w:rStyle w:val="Hipercze"/>
            <w:b/>
            <w:caps/>
            <w:color w:val="000080"/>
          </w:rPr>
          <w:t>1. WSTĘP</w:t>
        </w:r>
      </w:hyperlink>
    </w:p>
    <w:p w:rsidR="00BF0205" w:rsidRDefault="006C00B4" w:rsidP="00BF0205">
      <w:pPr>
        <w:ind w:left="360"/>
        <w:rPr>
          <w:b/>
          <w:caps/>
          <w:color w:val="000080"/>
        </w:rPr>
      </w:pPr>
      <w:hyperlink r:id="rId68" w:anchor="_2._materiały" w:history="1">
        <w:r w:rsidR="00BF0205">
          <w:rPr>
            <w:rStyle w:val="Hipercze"/>
            <w:b/>
            <w:caps/>
            <w:color w:val="000080"/>
          </w:rPr>
          <w:t>2. materiały</w:t>
        </w:r>
      </w:hyperlink>
    </w:p>
    <w:p w:rsidR="00BF0205" w:rsidRDefault="006C00B4" w:rsidP="00BF0205">
      <w:pPr>
        <w:ind w:left="360"/>
        <w:rPr>
          <w:b/>
          <w:caps/>
          <w:color w:val="000080"/>
        </w:rPr>
      </w:pPr>
      <w:hyperlink r:id="rId69" w:anchor="_3._sprzęt" w:history="1">
        <w:r w:rsidR="00BF0205">
          <w:rPr>
            <w:rStyle w:val="Hipercze"/>
            <w:b/>
            <w:caps/>
            <w:color w:val="000080"/>
          </w:rPr>
          <w:t>3. sprzęt</w:t>
        </w:r>
      </w:hyperlink>
    </w:p>
    <w:p w:rsidR="00BF0205" w:rsidRDefault="006C00B4" w:rsidP="00BF0205">
      <w:pPr>
        <w:ind w:left="360"/>
        <w:rPr>
          <w:b/>
          <w:caps/>
          <w:color w:val="000080"/>
        </w:rPr>
      </w:pPr>
      <w:hyperlink r:id="rId70" w:anchor="_4._transport" w:history="1">
        <w:r w:rsidR="00BF0205">
          <w:rPr>
            <w:rStyle w:val="Hipercze"/>
            <w:b/>
            <w:caps/>
            <w:color w:val="000080"/>
          </w:rPr>
          <w:t>4. transport</w:t>
        </w:r>
      </w:hyperlink>
    </w:p>
    <w:p w:rsidR="00BF0205" w:rsidRDefault="006C00B4"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6C00B4"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6C00B4" w:rsidP="00BF0205">
      <w:pPr>
        <w:ind w:left="360"/>
        <w:rPr>
          <w:b/>
          <w:caps/>
          <w:color w:val="000080"/>
        </w:rPr>
      </w:pPr>
      <w:hyperlink r:id="rId73" w:anchor="_7._obmiar_robót" w:history="1">
        <w:r w:rsidR="00BF0205">
          <w:rPr>
            <w:rStyle w:val="Hipercze"/>
            <w:b/>
            <w:caps/>
            <w:color w:val="000080"/>
          </w:rPr>
          <w:t>7. obmiar robót</w:t>
        </w:r>
      </w:hyperlink>
    </w:p>
    <w:p w:rsidR="00BF0205" w:rsidRDefault="006C00B4" w:rsidP="00BF0205">
      <w:pPr>
        <w:ind w:left="360"/>
        <w:rPr>
          <w:b/>
          <w:caps/>
          <w:color w:val="000080"/>
        </w:rPr>
      </w:pPr>
      <w:hyperlink r:id="rId74" w:anchor="_8._odbiór_robót" w:history="1">
        <w:r w:rsidR="00BF0205">
          <w:rPr>
            <w:rStyle w:val="Hipercze"/>
            <w:b/>
            <w:caps/>
            <w:color w:val="000080"/>
          </w:rPr>
          <w:t>8. odbiór robót</w:t>
        </w:r>
      </w:hyperlink>
    </w:p>
    <w:p w:rsidR="00BF0205" w:rsidRDefault="006C00B4"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6C00B4"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6C00B4"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6C00B4"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6C00B4"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6C00B4"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6C00B4"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6C00B4"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6C00B4"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6C00B4"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6C00B4"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6C00B4"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6C00B4"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6C00B4"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6C00B4"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6C00B4"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6C00B4"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6C00B4"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6C00B4"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6C00B4"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6C00B4"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6C00B4"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6C00B4"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6C00B4"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B4" w:rsidRDefault="006C00B4" w:rsidP="00E87088">
      <w:pPr>
        <w:pStyle w:val="Standardowytekst"/>
      </w:pPr>
      <w:r>
        <w:separator/>
      </w:r>
    </w:p>
  </w:endnote>
  <w:endnote w:type="continuationSeparator" w:id="0">
    <w:p w:rsidR="006C00B4" w:rsidRDefault="006C00B4"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890E07">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B4" w:rsidRDefault="006C00B4" w:rsidP="00E87088">
      <w:pPr>
        <w:pStyle w:val="Standardowytekst"/>
      </w:pPr>
      <w:r>
        <w:separator/>
      </w:r>
    </w:p>
  </w:footnote>
  <w:footnote w:type="continuationSeparator" w:id="0">
    <w:p w:rsidR="006C00B4" w:rsidRDefault="006C00B4"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85D"/>
    <w:rsid w:val="000B5CFD"/>
    <w:rsid w:val="000D0FDC"/>
    <w:rsid w:val="000F6829"/>
    <w:rsid w:val="001156B5"/>
    <w:rsid w:val="001555B3"/>
    <w:rsid w:val="001B3324"/>
    <w:rsid w:val="001E3A8F"/>
    <w:rsid w:val="00201C04"/>
    <w:rsid w:val="00293900"/>
    <w:rsid w:val="004B7004"/>
    <w:rsid w:val="004C3469"/>
    <w:rsid w:val="004D00CF"/>
    <w:rsid w:val="004E12F0"/>
    <w:rsid w:val="00530B36"/>
    <w:rsid w:val="00556578"/>
    <w:rsid w:val="005A7101"/>
    <w:rsid w:val="005F0DC8"/>
    <w:rsid w:val="005F23A6"/>
    <w:rsid w:val="00612370"/>
    <w:rsid w:val="00675FCA"/>
    <w:rsid w:val="006C00B4"/>
    <w:rsid w:val="007902FF"/>
    <w:rsid w:val="007A1814"/>
    <w:rsid w:val="007F5BC8"/>
    <w:rsid w:val="0085033D"/>
    <w:rsid w:val="00890E07"/>
    <w:rsid w:val="00970D10"/>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DB7D1E"/>
    <w:rsid w:val="00E774DB"/>
    <w:rsid w:val="00E87088"/>
    <w:rsid w:val="00EC0039"/>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133529569">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70717531">
      <w:bodyDiv w:val="1"/>
      <w:marLeft w:val="0"/>
      <w:marRight w:val="0"/>
      <w:marTop w:val="0"/>
      <w:marBottom w:val="0"/>
      <w:divBdr>
        <w:top w:val="none" w:sz="0" w:space="0" w:color="auto"/>
        <w:left w:val="none" w:sz="0" w:space="0" w:color="auto"/>
        <w:bottom w:val="none" w:sz="0" w:space="0"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126</Pages>
  <Words>32300</Words>
  <Characters>193800</Characters>
  <Application>Microsoft Office Word</Application>
  <DocSecurity>0</DocSecurity>
  <Lines>1615</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225649</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15</cp:revision>
  <cp:lastPrinted>2015-07-29T08:42:00Z</cp:lastPrinted>
  <dcterms:created xsi:type="dcterms:W3CDTF">2016-03-01T09:56:00Z</dcterms:created>
  <dcterms:modified xsi:type="dcterms:W3CDTF">2017-03-30T07:07:00Z</dcterms:modified>
</cp:coreProperties>
</file>