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675FCA" w:rsidRDefault="00675FCA" w:rsidP="00675FCA">
      <w:pPr>
        <w:ind w:left="4956"/>
        <w:rPr>
          <w:sz w:val="32"/>
        </w:rPr>
      </w:pPr>
      <w:bookmarkStart w:id="0" w:name="_Toc404150096"/>
      <w:bookmarkStart w:id="1" w:name="_Toc416830698"/>
      <w:bookmarkStart w:id="2" w:name="_Toc6881279"/>
      <w:bookmarkStart w:id="3" w:name="_Toc6882152"/>
      <w:r w:rsidRPr="00675FCA">
        <w:rPr>
          <w:sz w:val="32"/>
        </w:rPr>
        <w:t>Załącznik nr 7</w:t>
      </w:r>
    </w:p>
    <w:p w:rsidR="00675FCA" w:rsidRDefault="00675FCA" w:rsidP="00556578"/>
    <w:p w:rsidR="00675FCA" w:rsidRDefault="00675FCA" w:rsidP="00556578"/>
    <w:p w:rsidR="00675FCA" w:rsidRDefault="00675FCA" w:rsidP="00556578"/>
    <w:p w:rsidR="00675FCA" w:rsidRDefault="00675FCA" w:rsidP="00556578"/>
    <w:p w:rsid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DRÓG</w:t>
      </w:r>
      <w:r w:rsidR="00D8674D">
        <w:rPr>
          <w:b/>
          <w:i/>
          <w:sz w:val="40"/>
        </w:rPr>
        <w:t xml:space="preserve"> GMINNYCH</w:t>
      </w:r>
      <w:r w:rsidR="00675FCA">
        <w:rPr>
          <w:b/>
          <w:i/>
          <w:sz w:val="40"/>
        </w:rPr>
        <w:t>:</w:t>
      </w:r>
    </w:p>
    <w:p w:rsidR="00556578" w:rsidRPr="00556578" w:rsidRDefault="00556578" w:rsidP="00556578">
      <w:pPr>
        <w:jc w:val="center"/>
        <w:rPr>
          <w:b/>
          <w:i/>
          <w:sz w:val="40"/>
        </w:rPr>
      </w:pPr>
    </w:p>
    <w:p w:rsidR="00556578" w:rsidRPr="00675FCA" w:rsidRDefault="00556578" w:rsidP="00556578">
      <w:pPr>
        <w:jc w:val="center"/>
        <w:rPr>
          <w:b/>
          <w:i/>
          <w:sz w:val="48"/>
        </w:rPr>
      </w:pPr>
    </w:p>
    <w:p w:rsidR="00556578" w:rsidRPr="00675FCA" w:rsidRDefault="00556578" w:rsidP="00556578">
      <w:pPr>
        <w:spacing w:line="276" w:lineRule="auto"/>
        <w:rPr>
          <w:b/>
          <w:i/>
          <w:sz w:val="44"/>
        </w:rPr>
      </w:pPr>
    </w:p>
    <w:p w:rsidR="00876970" w:rsidRPr="00876970" w:rsidRDefault="00876970" w:rsidP="00876970">
      <w:pPr>
        <w:ind w:left="-1134" w:right="-426"/>
        <w:rPr>
          <w:b/>
          <w:sz w:val="28"/>
        </w:rPr>
      </w:pPr>
      <w:r w:rsidRPr="00876970">
        <w:rPr>
          <w:b/>
          <w:sz w:val="28"/>
        </w:rPr>
        <w:t xml:space="preserve">„Remont drogi dz. nr ewid. 466, 476 obręb Antoniów w miejscowości Antoniów w km 0+000 – 0+082 oraz w km 0+096 – 0+300 wraz z remontem przepustu w km 0+015.” </w:t>
      </w:r>
    </w:p>
    <w:p w:rsidR="00876970" w:rsidRPr="00876970" w:rsidRDefault="00876970" w:rsidP="00876970">
      <w:pPr>
        <w:ind w:left="-1134" w:right="-426"/>
        <w:rPr>
          <w:b/>
          <w:sz w:val="28"/>
        </w:rPr>
      </w:pPr>
      <w:r w:rsidRPr="00876970">
        <w:rPr>
          <w:b/>
          <w:sz w:val="28"/>
        </w:rPr>
        <w:t xml:space="preserve"> „Remont drogi wewnętrznej w m. Antoniów długości 18,0m.”</w:t>
      </w:r>
    </w:p>
    <w:p w:rsidR="00556578" w:rsidRPr="00675FCA" w:rsidRDefault="00556578" w:rsidP="00675FCA">
      <w:pPr>
        <w:ind w:left="-1134" w:right="-426"/>
        <w:rPr>
          <w:sz w:val="28"/>
        </w:rPr>
      </w:pPr>
    </w:p>
    <w:p w:rsidR="00556578" w:rsidRPr="00675FCA" w:rsidRDefault="00556578" w:rsidP="00556578">
      <w:pPr>
        <w:rPr>
          <w:sz w:val="28"/>
        </w:rPr>
      </w:pPr>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C23FBB" w:rsidRDefault="00C23FBB" w:rsidP="00E87088">
      <w:pPr>
        <w:jc w:val="center"/>
        <w:rPr>
          <w:sz w:val="28"/>
        </w:rPr>
      </w:pPr>
    </w:p>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lastRenderedPageBreak/>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Przedmiotem niniejszej specyfikacji technicznej (ST) są wymagania ogólne dotyczące wykonania i odbioru robót drogowych w ramach</w:t>
      </w:r>
      <w:r>
        <w:rPr>
          <w:rFonts w:ascii="Times New Roman" w:hAnsi="Times New Roman"/>
          <w:sz w:val="20"/>
        </w:rPr>
        <w:t>:</w:t>
      </w:r>
      <w:r w:rsidRPr="00755D9B">
        <w:rPr>
          <w:rFonts w:ascii="Times New Roman" w:hAnsi="Times New Roman"/>
          <w:sz w:val="20"/>
        </w:rPr>
        <w:t xml:space="preserve"> </w:t>
      </w:r>
    </w:p>
    <w:p w:rsidR="00876970" w:rsidRPr="00876970" w:rsidRDefault="00876970" w:rsidP="00876970">
      <w:pPr>
        <w:spacing w:line="276" w:lineRule="auto"/>
      </w:pPr>
      <w:r w:rsidRPr="00876970">
        <w:t>„Remont</w:t>
      </w:r>
      <w:r>
        <w:t>u</w:t>
      </w:r>
      <w:r w:rsidRPr="00876970">
        <w:t xml:space="preserve"> drogi dz. nr ewid. 466, 476 obręb Antoniów w miejscowości Antoniów w km 0+000 – 0+082 oraz w km 0+096 – 0+300 wraz z remontem przepustu w km 0+015.” </w:t>
      </w:r>
    </w:p>
    <w:p w:rsidR="00876970" w:rsidRPr="00876970" w:rsidRDefault="00876970" w:rsidP="00876970">
      <w:pPr>
        <w:spacing w:line="276" w:lineRule="auto"/>
      </w:pPr>
      <w:r w:rsidRPr="00876970">
        <w:t xml:space="preserve"> „Remont</w:t>
      </w:r>
      <w:r>
        <w:t>u</w:t>
      </w:r>
      <w:bookmarkStart w:id="4" w:name="_GoBack"/>
      <w:bookmarkEnd w:id="4"/>
      <w:r w:rsidRPr="00876970">
        <w:t xml:space="preserve"> drogi wewnętrznej w m. Antoniów długości 18,0m.”</w:t>
      </w: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lastRenderedPageBreak/>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lastRenderedPageBreak/>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lastRenderedPageBreak/>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lastRenderedPageBreak/>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lastRenderedPageBreak/>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lastRenderedPageBreak/>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lastRenderedPageBreak/>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lastRenderedPageBreak/>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lastRenderedPageBreak/>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lastRenderedPageBreak/>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lastRenderedPageBreak/>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lastRenderedPageBreak/>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lastRenderedPageBreak/>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 </w:t>
      </w:r>
    </w:p>
    <w:p w:rsidR="00FF2598" w:rsidRDefault="00FF2598" w:rsidP="00FF2598">
      <w:pPr>
        <w:rPr>
          <w:b/>
          <w:bCs/>
          <w:color w:val="008000"/>
        </w:rPr>
      </w:pPr>
      <w:r>
        <w:rPr>
          <w:b/>
          <w:bCs/>
        </w:rPr>
        <w:lastRenderedPageBreak/>
        <w:t xml:space="preserve">  </w:t>
      </w:r>
      <w:hyperlink r:id="rId7" w:anchor="_1._Wstęp" w:history="1">
        <w:r>
          <w:rPr>
            <w:rStyle w:val="Hipercze"/>
            <w:b/>
            <w:bCs/>
            <w:color w:val="008000"/>
          </w:rPr>
          <w:t>1. WSTĘP</w:t>
        </w:r>
      </w:hyperlink>
    </w:p>
    <w:p w:rsidR="00FF2598" w:rsidRDefault="00FF2598" w:rsidP="00FF2598">
      <w:pPr>
        <w:rPr>
          <w:b/>
          <w:bCs/>
          <w:color w:val="008000"/>
        </w:rPr>
      </w:pPr>
      <w:r>
        <w:rPr>
          <w:b/>
          <w:bCs/>
          <w:color w:val="008000"/>
        </w:rPr>
        <w:t xml:space="preserve">  </w:t>
      </w:r>
      <w:hyperlink r:id="rId8" w:anchor="_2._materiały_(grunty)" w:history="1">
        <w:r>
          <w:rPr>
            <w:rStyle w:val="Hipercze"/>
            <w:b/>
            <w:bCs/>
            <w:color w:val="008000"/>
          </w:rPr>
          <w:t>2. MATERIAŁY (GRUNTY)</w:t>
        </w:r>
      </w:hyperlink>
    </w:p>
    <w:p w:rsidR="00FF2598" w:rsidRDefault="00FF2598" w:rsidP="00FF2598">
      <w:pPr>
        <w:rPr>
          <w:b/>
          <w:bCs/>
          <w:color w:val="008000"/>
        </w:rPr>
      </w:pPr>
      <w:r>
        <w:rPr>
          <w:b/>
          <w:bCs/>
          <w:color w:val="008000"/>
        </w:rPr>
        <w:t xml:space="preserve">  </w:t>
      </w:r>
      <w:hyperlink r:id="rId9" w:anchor="_3._sprzęt" w:history="1">
        <w:r>
          <w:rPr>
            <w:rStyle w:val="Hipercze"/>
            <w:b/>
            <w:bCs/>
            <w:color w:val="008000"/>
          </w:rPr>
          <w:t>3. SPRZĘT</w:t>
        </w:r>
      </w:hyperlink>
    </w:p>
    <w:p w:rsidR="00FF2598" w:rsidRDefault="00FF2598" w:rsidP="00FF2598">
      <w:pPr>
        <w:rPr>
          <w:b/>
          <w:bCs/>
          <w:color w:val="008000"/>
        </w:rPr>
      </w:pPr>
      <w:r>
        <w:rPr>
          <w:b/>
          <w:bCs/>
          <w:color w:val="008000"/>
        </w:rPr>
        <w:t xml:space="preserve">  </w:t>
      </w:r>
      <w:hyperlink r:id="rId10" w:anchor="_4._transport" w:history="1">
        <w:r>
          <w:rPr>
            <w:rStyle w:val="Hipercze"/>
            <w:b/>
            <w:bCs/>
            <w:color w:val="008000"/>
          </w:rPr>
          <w:t>4. TRANSPORT</w:t>
        </w:r>
      </w:hyperlink>
    </w:p>
    <w:p w:rsidR="00FF2598" w:rsidRDefault="00FF2598" w:rsidP="00FF2598">
      <w:pPr>
        <w:rPr>
          <w:b/>
          <w:bCs/>
          <w:color w:val="008000"/>
        </w:rPr>
      </w:pPr>
      <w:r>
        <w:rPr>
          <w:b/>
          <w:bCs/>
          <w:color w:val="008000"/>
        </w:rPr>
        <w:t xml:space="preserve">  </w:t>
      </w:r>
      <w:hyperlink r:id="rId11" w:anchor="_5._wykonanie_robót" w:history="1">
        <w:r>
          <w:rPr>
            <w:rStyle w:val="Hipercze"/>
            <w:b/>
            <w:bCs/>
            <w:color w:val="008000"/>
          </w:rPr>
          <w:t>5. WYKONANIE ROBÓT</w:t>
        </w:r>
      </w:hyperlink>
    </w:p>
    <w:p w:rsidR="00FF2598" w:rsidRDefault="00FF2598" w:rsidP="00FF2598">
      <w:pPr>
        <w:rPr>
          <w:b/>
          <w:bCs/>
          <w:color w:val="008000"/>
        </w:rPr>
      </w:pPr>
      <w:r>
        <w:rPr>
          <w:b/>
          <w:bCs/>
          <w:color w:val="008000"/>
        </w:rPr>
        <w:t xml:space="preserve">  </w:t>
      </w:r>
      <w:hyperlink r:id="rId12" w:anchor="_6._kontrola_jakości" w:history="1">
        <w:r>
          <w:rPr>
            <w:rStyle w:val="Hipercze"/>
            <w:b/>
            <w:bCs/>
            <w:color w:val="008000"/>
          </w:rPr>
          <w:t>6. KONTROLA JAKOŚCI ROBÓT</w:t>
        </w:r>
      </w:hyperlink>
    </w:p>
    <w:p w:rsidR="00FF2598" w:rsidRDefault="00FF2598" w:rsidP="00FF2598">
      <w:pPr>
        <w:rPr>
          <w:b/>
          <w:bCs/>
          <w:color w:val="008000"/>
        </w:rPr>
      </w:pPr>
      <w:r>
        <w:rPr>
          <w:b/>
          <w:bCs/>
          <w:color w:val="008000"/>
        </w:rPr>
        <w:t xml:space="preserve">  </w:t>
      </w:r>
      <w:hyperlink r:id="rId13" w:anchor="_7._obmiar_robót_3" w:history="1">
        <w:r>
          <w:rPr>
            <w:rStyle w:val="Hipercze"/>
            <w:b/>
            <w:bCs/>
            <w:color w:val="008000"/>
          </w:rPr>
          <w:t>7. OBMIAR ROBÓT</w:t>
        </w:r>
      </w:hyperlink>
    </w:p>
    <w:p w:rsidR="00FF2598" w:rsidRDefault="00FF2598" w:rsidP="00FF2598">
      <w:pPr>
        <w:rPr>
          <w:b/>
          <w:bCs/>
          <w:color w:val="008000"/>
        </w:rPr>
      </w:pPr>
      <w:r>
        <w:rPr>
          <w:b/>
          <w:bCs/>
          <w:color w:val="008000"/>
        </w:rPr>
        <w:t xml:space="preserve">  </w:t>
      </w:r>
      <w:hyperlink r:id="rId14" w:anchor="_8._odbiór_robót" w:history="1">
        <w:r>
          <w:rPr>
            <w:rStyle w:val="Hipercze"/>
            <w:b/>
            <w:bCs/>
            <w:color w:val="008000"/>
          </w:rPr>
          <w:t>8. ODBIÓR ROBÓT</w:t>
        </w:r>
      </w:hyperlink>
    </w:p>
    <w:p w:rsidR="00FF2598" w:rsidRDefault="00FF2598" w:rsidP="00FF2598">
      <w:pPr>
        <w:rPr>
          <w:b/>
          <w:bCs/>
          <w:color w:val="008000"/>
        </w:rPr>
      </w:pPr>
      <w:r>
        <w:rPr>
          <w:b/>
          <w:bCs/>
          <w:color w:val="008000"/>
        </w:rPr>
        <w:t xml:space="preserve">  </w:t>
      </w:r>
      <w:hyperlink r:id="rId15" w:anchor="_9._podstawa_płatności" w:history="1">
        <w:r>
          <w:rPr>
            <w:rStyle w:val="Hipercze"/>
            <w:b/>
            <w:bCs/>
            <w:color w:val="008000"/>
          </w:rPr>
          <w:t>9. PODSTAWA PŁATNOŚCI</w:t>
        </w:r>
      </w:hyperlink>
    </w:p>
    <w:p w:rsidR="00FF2598" w:rsidRDefault="00746FC1" w:rsidP="00FF2598">
      <w:pPr>
        <w:pStyle w:val="Standardowytekst"/>
        <w:rPr>
          <w:b/>
          <w:bCs/>
        </w:rPr>
      </w:pPr>
      <w:hyperlink r:id="rId16" w:anchor="_10._przepisy_związane" w:history="1">
        <w:r w:rsidR="00FF2598">
          <w:rPr>
            <w:rStyle w:val="Hipercze"/>
            <w:b/>
            <w:bCs/>
            <w:color w:val="008000"/>
          </w:rPr>
          <w:t>10. PRZEPISY ZWIĄZANE</w:t>
        </w:r>
      </w:hyperlink>
    </w:p>
    <w:p w:rsidR="00FF2598" w:rsidRDefault="00FF2598" w:rsidP="00FF2598">
      <w:pPr>
        <w:pStyle w:val="Standardowytekst"/>
        <w:pBdr>
          <w:bottom w:val="single" w:sz="4" w:space="1" w:color="auto"/>
        </w:pBdr>
        <w:rPr>
          <w:sz w:val="24"/>
        </w:rPr>
      </w:pPr>
      <w:r>
        <w:rPr>
          <w:sz w:val="24"/>
        </w:rPr>
        <w:t> </w:t>
      </w:r>
    </w:p>
    <w:p w:rsidR="00FF2598"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t> </w:t>
      </w:r>
    </w:p>
    <w:p w:rsidR="00FF2598" w:rsidRDefault="00FF2598" w:rsidP="00FF2598">
      <w:pPr>
        <w:pStyle w:val="Nagwek1"/>
        <w:rPr>
          <w:color w:val="008000"/>
        </w:rPr>
      </w:pPr>
      <w:bookmarkStart w:id="42" w:name="_1._Wstęp"/>
      <w:bookmarkEnd w:id="42"/>
      <w:r>
        <w:rPr>
          <w:color w:val="008000"/>
        </w:rPr>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t>1.1. Przedmiot 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lastRenderedPageBreak/>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Grunt skalisty - grunt rodzimy, lity lub spękany o nieprzesuniętych blokach, którego próbki nie wykazują zmian objętości ani nie rozpadają się pod działaniem wody 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lastRenderedPageBreak/>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lastRenderedPageBreak/>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lastRenderedPageBreak/>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lastRenderedPageBreak/>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lastRenderedPageBreak/>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lastRenderedPageBreak/>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lastRenderedPageBreak/>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lastRenderedPageBreak/>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lastRenderedPageBreak/>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FF2598">
      <w:pPr>
        <w:jc w:val="center"/>
      </w:pPr>
      <w:r>
        <w:br w:type="page"/>
      </w:r>
      <w:r>
        <w:lastRenderedPageBreak/>
        <w:t> </w:t>
      </w:r>
    </w:p>
    <w:p w:rsidR="00FF2598" w:rsidRDefault="00FF2598" w:rsidP="00FF2598">
      <w:pPr>
        <w:pStyle w:val="Standardowytekst"/>
        <w:jc w:val="center"/>
        <w:rPr>
          <w:b/>
          <w:sz w:val="28"/>
        </w:rPr>
      </w:pPr>
      <w:r>
        <w:br w:type="page"/>
      </w:r>
      <w:r>
        <w:rPr>
          <w:b/>
          <w:sz w:val="28"/>
        </w:rPr>
        <w:lastRenderedPageBreak/>
        <w:t>D-04.01.01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746FC1"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746FC1"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746FC1"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746FC1"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746FC1"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746FC1"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746FC1"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746FC1"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746FC1"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746FC1"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tabs>
          <w:tab w:val="left" w:pos="284"/>
          <w:tab w:val="right" w:leader="dot" w:pos="8789"/>
        </w:tabs>
        <w:rPr>
          <w:b/>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jc w:val="center"/>
        <w:rPr>
          <w:sz w:val="24"/>
        </w:rPr>
      </w:pPr>
    </w:p>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Nagwek1"/>
      </w:pPr>
      <w:r>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lastRenderedPageBreak/>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lastRenderedPageBreak/>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lastRenderedPageBreak/>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746FC1"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746FC1"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746FC1"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746FC1"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746FC1" w:rsidP="00FF2598">
      <w:pPr>
        <w:rPr>
          <w:b/>
          <w:bCs/>
          <w:color w:val="000080"/>
        </w:rPr>
      </w:pPr>
      <w:hyperlink r:id="rId34" w:anchor="_2._materiały" w:history="1">
        <w:r w:rsidR="00FF2598">
          <w:rPr>
            <w:rStyle w:val="Hipercze"/>
            <w:b/>
            <w:bCs/>
            <w:color w:val="000080"/>
          </w:rPr>
          <w:t>2. MATERIAŁY</w:t>
        </w:r>
      </w:hyperlink>
    </w:p>
    <w:p w:rsidR="00FF2598" w:rsidRDefault="00746FC1" w:rsidP="00FF2598">
      <w:pPr>
        <w:rPr>
          <w:b/>
          <w:bCs/>
          <w:color w:val="000080"/>
        </w:rPr>
      </w:pPr>
      <w:hyperlink r:id="rId35" w:anchor="_3._sprzęt" w:history="1">
        <w:r w:rsidR="00FF2598">
          <w:rPr>
            <w:rStyle w:val="Hipercze"/>
            <w:b/>
            <w:bCs/>
            <w:color w:val="000080"/>
          </w:rPr>
          <w:t>3. SPRZĘT</w:t>
        </w:r>
      </w:hyperlink>
    </w:p>
    <w:p w:rsidR="00FF2598" w:rsidRDefault="00746FC1" w:rsidP="00FF2598">
      <w:pPr>
        <w:rPr>
          <w:b/>
          <w:bCs/>
          <w:color w:val="000080"/>
        </w:rPr>
      </w:pPr>
      <w:hyperlink r:id="rId36" w:anchor="_4._transport" w:history="1">
        <w:r w:rsidR="00FF2598">
          <w:rPr>
            <w:rStyle w:val="Hipercze"/>
            <w:b/>
            <w:bCs/>
            <w:color w:val="000080"/>
          </w:rPr>
          <w:t>4. TRANSPORT</w:t>
        </w:r>
      </w:hyperlink>
    </w:p>
    <w:p w:rsidR="00FF2598" w:rsidRDefault="00746FC1" w:rsidP="00FF2598">
      <w:pPr>
        <w:rPr>
          <w:b/>
          <w:bCs/>
          <w:color w:val="000080"/>
        </w:rPr>
      </w:pPr>
      <w:hyperlink r:id="rId37" w:anchor="_5._wykonanie_robót" w:history="1">
        <w:r w:rsidR="00FF2598">
          <w:rPr>
            <w:rStyle w:val="Hipercze"/>
            <w:b/>
            <w:bCs/>
            <w:color w:val="000080"/>
          </w:rPr>
          <w:t>5. WYKONANIE ROBÓT</w:t>
        </w:r>
      </w:hyperlink>
    </w:p>
    <w:p w:rsidR="00FF2598" w:rsidRDefault="00746FC1" w:rsidP="00FF2598">
      <w:pPr>
        <w:rPr>
          <w:b/>
          <w:bCs/>
          <w:color w:val="000080"/>
        </w:rPr>
      </w:pPr>
      <w:hyperlink r:id="rId38" w:anchor="_6._kontrola_jakości" w:history="1">
        <w:r w:rsidR="00FF2598">
          <w:rPr>
            <w:rStyle w:val="Hipercze"/>
            <w:b/>
            <w:bCs/>
            <w:color w:val="000080"/>
          </w:rPr>
          <w:t>6. KONTROLA JAKOŚCI ROBÓT</w:t>
        </w:r>
      </w:hyperlink>
    </w:p>
    <w:p w:rsidR="00FF2598" w:rsidRDefault="00746FC1" w:rsidP="00FF2598">
      <w:pPr>
        <w:rPr>
          <w:b/>
          <w:bCs/>
          <w:color w:val="000080"/>
        </w:rPr>
      </w:pPr>
      <w:hyperlink r:id="rId39" w:anchor="_7._OBMIAR_ROBÓT" w:history="1">
        <w:r w:rsidR="00FF2598">
          <w:rPr>
            <w:rStyle w:val="Hipercze"/>
            <w:b/>
            <w:bCs/>
            <w:color w:val="000080"/>
          </w:rPr>
          <w:t>7. OBMIAR ROBÓT</w:t>
        </w:r>
      </w:hyperlink>
    </w:p>
    <w:p w:rsidR="00FF2598" w:rsidRDefault="00746FC1" w:rsidP="00FF2598">
      <w:pPr>
        <w:rPr>
          <w:b/>
          <w:bCs/>
          <w:color w:val="000080"/>
        </w:rPr>
      </w:pPr>
      <w:hyperlink r:id="rId40" w:anchor="_8._ODBIÓR_ROBÓT" w:history="1">
        <w:r w:rsidR="00FF2598">
          <w:rPr>
            <w:rStyle w:val="Hipercze"/>
            <w:b/>
            <w:bCs/>
            <w:color w:val="000080"/>
          </w:rPr>
          <w:t>8. ODBIÓR ROBÓT</w:t>
        </w:r>
      </w:hyperlink>
    </w:p>
    <w:p w:rsidR="00FF2598" w:rsidRDefault="00746FC1" w:rsidP="00FF2598">
      <w:pPr>
        <w:rPr>
          <w:b/>
          <w:bCs/>
          <w:color w:val="000080"/>
        </w:rPr>
      </w:pPr>
      <w:hyperlink r:id="rId41" w:anchor="_9._PODSTAWA_PŁATNOŚCI" w:history="1">
        <w:r w:rsidR="00FF2598">
          <w:rPr>
            <w:rStyle w:val="Hipercze"/>
            <w:b/>
            <w:bCs/>
            <w:color w:val="000080"/>
          </w:rPr>
          <w:t>9. PODSTAWA PŁATNOŚCI</w:t>
        </w:r>
      </w:hyperlink>
    </w:p>
    <w:p w:rsidR="00FF2598" w:rsidRDefault="00746FC1"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746FC1" w:rsidP="00FF2598">
      <w:pPr>
        <w:ind w:left="360"/>
        <w:rPr>
          <w:b/>
          <w:caps/>
          <w:color w:val="003300"/>
        </w:rPr>
      </w:pPr>
      <w:hyperlink r:id="rId47" w:anchor="_1._WSTĘP_1" w:history="1">
        <w:r w:rsidR="00FF2598">
          <w:rPr>
            <w:rStyle w:val="Hipercze"/>
            <w:b/>
            <w:caps/>
            <w:color w:val="003300"/>
          </w:rPr>
          <w:t>1. WSTĘP</w:t>
        </w:r>
      </w:hyperlink>
    </w:p>
    <w:p w:rsidR="00FF2598" w:rsidRDefault="00746FC1" w:rsidP="00FF2598">
      <w:pPr>
        <w:ind w:left="360"/>
        <w:rPr>
          <w:b/>
          <w:caps/>
          <w:color w:val="003300"/>
        </w:rPr>
      </w:pPr>
      <w:hyperlink r:id="rId48" w:anchor="_2._materiały_1" w:history="1">
        <w:r w:rsidR="00FF2598">
          <w:rPr>
            <w:rStyle w:val="Hipercze"/>
            <w:b/>
            <w:caps/>
            <w:color w:val="003300"/>
          </w:rPr>
          <w:t>2. materiały</w:t>
        </w:r>
      </w:hyperlink>
    </w:p>
    <w:p w:rsidR="00FF2598" w:rsidRDefault="00746FC1"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746FC1" w:rsidP="00FF2598">
      <w:pPr>
        <w:ind w:left="360"/>
        <w:rPr>
          <w:b/>
          <w:caps/>
          <w:color w:val="003300"/>
        </w:rPr>
      </w:pPr>
      <w:hyperlink r:id="rId50" w:anchor="_4._transport_1" w:history="1">
        <w:r w:rsidR="00FF2598">
          <w:rPr>
            <w:rStyle w:val="Hipercze"/>
            <w:b/>
            <w:caps/>
            <w:color w:val="003300"/>
          </w:rPr>
          <w:t>4. transport</w:t>
        </w:r>
      </w:hyperlink>
    </w:p>
    <w:p w:rsidR="00FF2598" w:rsidRDefault="00746FC1"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746FC1"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746FC1" w:rsidP="00FF2598">
      <w:pPr>
        <w:ind w:left="360"/>
        <w:rPr>
          <w:b/>
          <w:caps/>
          <w:color w:val="003300"/>
        </w:rPr>
      </w:pPr>
      <w:hyperlink r:id="rId53" w:anchor="_7._obmiar_robót_1" w:history="1">
        <w:r w:rsidR="00FF2598">
          <w:rPr>
            <w:rStyle w:val="Hipercze"/>
            <w:b/>
            <w:caps/>
            <w:color w:val="003300"/>
          </w:rPr>
          <w:t>7. OBMIAR ROBÓT</w:t>
        </w:r>
      </w:hyperlink>
    </w:p>
    <w:p w:rsidR="00FF2598" w:rsidRDefault="00746FC1"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746FC1"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746FC1"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746FC1" w:rsidP="00FF2598">
      <w:pPr>
        <w:ind w:left="360"/>
        <w:rPr>
          <w:b/>
          <w:caps/>
          <w:color w:val="993366"/>
        </w:rPr>
      </w:pPr>
      <w:hyperlink r:id="rId57" w:anchor="_1._WSTĘP_2" w:history="1">
        <w:r w:rsidR="00FF2598">
          <w:rPr>
            <w:rStyle w:val="Hipercze"/>
            <w:b/>
            <w:caps/>
            <w:color w:val="993366"/>
          </w:rPr>
          <w:t>1. WSTĘP</w:t>
        </w:r>
      </w:hyperlink>
    </w:p>
    <w:p w:rsidR="00FF2598" w:rsidRDefault="00746FC1" w:rsidP="00FF2598">
      <w:pPr>
        <w:ind w:left="360"/>
        <w:rPr>
          <w:b/>
          <w:caps/>
          <w:color w:val="993366"/>
        </w:rPr>
      </w:pPr>
      <w:hyperlink r:id="rId58" w:anchor="_2._materiały_2" w:history="1">
        <w:r w:rsidR="00FF2598">
          <w:rPr>
            <w:rStyle w:val="Hipercze"/>
            <w:b/>
            <w:caps/>
            <w:color w:val="993366"/>
          </w:rPr>
          <w:t>2. materiały</w:t>
        </w:r>
      </w:hyperlink>
    </w:p>
    <w:p w:rsidR="00FF2598" w:rsidRDefault="00746FC1" w:rsidP="00FF2598">
      <w:pPr>
        <w:ind w:left="360"/>
        <w:rPr>
          <w:b/>
          <w:caps/>
          <w:color w:val="993366"/>
        </w:rPr>
      </w:pPr>
      <w:hyperlink r:id="rId59" w:anchor="_3._sprzęt_1" w:history="1">
        <w:r w:rsidR="00FF2598">
          <w:rPr>
            <w:rStyle w:val="Hipercze"/>
            <w:b/>
            <w:caps/>
            <w:color w:val="993366"/>
          </w:rPr>
          <w:t>3. sprzęt</w:t>
        </w:r>
      </w:hyperlink>
    </w:p>
    <w:p w:rsidR="00FF2598" w:rsidRDefault="00746FC1" w:rsidP="00FF2598">
      <w:pPr>
        <w:ind w:left="360"/>
        <w:rPr>
          <w:b/>
          <w:caps/>
          <w:color w:val="993366"/>
        </w:rPr>
      </w:pPr>
      <w:hyperlink r:id="rId60" w:anchor="_4._transport_2" w:history="1">
        <w:r w:rsidR="00FF2598">
          <w:rPr>
            <w:rStyle w:val="Hipercze"/>
            <w:b/>
            <w:caps/>
            <w:color w:val="993366"/>
          </w:rPr>
          <w:t>4. transport</w:t>
        </w:r>
      </w:hyperlink>
    </w:p>
    <w:p w:rsidR="00FF2598" w:rsidRDefault="00746FC1"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746FC1"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746FC1" w:rsidP="00FF2598">
      <w:pPr>
        <w:ind w:left="360"/>
        <w:rPr>
          <w:b/>
          <w:caps/>
          <w:color w:val="993366"/>
        </w:rPr>
      </w:pPr>
      <w:hyperlink r:id="rId63" w:anchor="_7._obmiar_robót_2" w:history="1">
        <w:r w:rsidR="00FF2598">
          <w:rPr>
            <w:rStyle w:val="Hipercze"/>
            <w:b/>
            <w:caps/>
            <w:color w:val="993366"/>
          </w:rPr>
          <w:t>7. OBMIAR ROBÓT</w:t>
        </w:r>
      </w:hyperlink>
    </w:p>
    <w:p w:rsidR="00FF2598" w:rsidRDefault="00746FC1"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746FC1"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746FC1"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746FC1" w:rsidP="00BF0205">
      <w:pPr>
        <w:ind w:left="360"/>
        <w:rPr>
          <w:b/>
          <w:caps/>
          <w:color w:val="000080"/>
        </w:rPr>
      </w:pPr>
      <w:hyperlink r:id="rId67" w:anchor="_1._WSTĘP" w:history="1">
        <w:r w:rsidR="00BF0205">
          <w:rPr>
            <w:rStyle w:val="Hipercze"/>
            <w:b/>
            <w:caps/>
            <w:color w:val="000080"/>
          </w:rPr>
          <w:t>1. WSTĘP</w:t>
        </w:r>
      </w:hyperlink>
    </w:p>
    <w:p w:rsidR="00BF0205" w:rsidRDefault="00746FC1" w:rsidP="00BF0205">
      <w:pPr>
        <w:ind w:left="360"/>
        <w:rPr>
          <w:b/>
          <w:caps/>
          <w:color w:val="000080"/>
        </w:rPr>
      </w:pPr>
      <w:hyperlink r:id="rId68" w:anchor="_2._materiały" w:history="1">
        <w:r w:rsidR="00BF0205">
          <w:rPr>
            <w:rStyle w:val="Hipercze"/>
            <w:b/>
            <w:caps/>
            <w:color w:val="000080"/>
          </w:rPr>
          <w:t>2. materiały</w:t>
        </w:r>
      </w:hyperlink>
    </w:p>
    <w:p w:rsidR="00BF0205" w:rsidRDefault="00746FC1" w:rsidP="00BF0205">
      <w:pPr>
        <w:ind w:left="360"/>
        <w:rPr>
          <w:b/>
          <w:caps/>
          <w:color w:val="000080"/>
        </w:rPr>
      </w:pPr>
      <w:hyperlink r:id="rId69" w:anchor="_3._sprzęt" w:history="1">
        <w:r w:rsidR="00BF0205">
          <w:rPr>
            <w:rStyle w:val="Hipercze"/>
            <w:b/>
            <w:caps/>
            <w:color w:val="000080"/>
          </w:rPr>
          <w:t>3. sprzęt</w:t>
        </w:r>
      </w:hyperlink>
    </w:p>
    <w:p w:rsidR="00BF0205" w:rsidRDefault="00746FC1" w:rsidP="00BF0205">
      <w:pPr>
        <w:ind w:left="360"/>
        <w:rPr>
          <w:b/>
          <w:caps/>
          <w:color w:val="000080"/>
        </w:rPr>
      </w:pPr>
      <w:hyperlink r:id="rId70" w:anchor="_4._transport" w:history="1">
        <w:r w:rsidR="00BF0205">
          <w:rPr>
            <w:rStyle w:val="Hipercze"/>
            <w:b/>
            <w:caps/>
            <w:color w:val="000080"/>
          </w:rPr>
          <w:t>4. transport</w:t>
        </w:r>
      </w:hyperlink>
    </w:p>
    <w:p w:rsidR="00BF0205" w:rsidRDefault="00746FC1"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746FC1"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746FC1" w:rsidP="00BF0205">
      <w:pPr>
        <w:ind w:left="360"/>
        <w:rPr>
          <w:b/>
          <w:caps/>
          <w:color w:val="000080"/>
        </w:rPr>
      </w:pPr>
      <w:hyperlink r:id="rId73" w:anchor="_7._obmiar_robót" w:history="1">
        <w:r w:rsidR="00BF0205">
          <w:rPr>
            <w:rStyle w:val="Hipercze"/>
            <w:b/>
            <w:caps/>
            <w:color w:val="000080"/>
          </w:rPr>
          <w:t>7. obmiar robót</w:t>
        </w:r>
      </w:hyperlink>
    </w:p>
    <w:p w:rsidR="00BF0205" w:rsidRDefault="00746FC1" w:rsidP="00BF0205">
      <w:pPr>
        <w:ind w:left="360"/>
        <w:rPr>
          <w:b/>
          <w:caps/>
          <w:color w:val="000080"/>
        </w:rPr>
      </w:pPr>
      <w:hyperlink r:id="rId74" w:anchor="_8._odbiór_robót" w:history="1">
        <w:r w:rsidR="00BF0205">
          <w:rPr>
            <w:rStyle w:val="Hipercze"/>
            <w:b/>
            <w:caps/>
            <w:color w:val="000080"/>
          </w:rPr>
          <w:t>8. odbiór robót</w:t>
        </w:r>
      </w:hyperlink>
    </w:p>
    <w:p w:rsidR="00BF0205" w:rsidRDefault="00746FC1"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746FC1"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746FC1"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746FC1"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746FC1"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746FC1"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746FC1"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746FC1"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746FC1"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746FC1"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746FC1"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746FC1"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746FC1"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style" w:val="BACKGROUND-IMAGE: url(res://ietag.dll/#34/#1001); BACKGROUND-REPEAT: repeat-x; BACKGROUND-POSITION: left bottom"/>
          <w:attr w:name="tabIndex" w:val="0"/>
          <w:attr w:name="ProductID" w:val="50 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style" w:val="BACKGROUND-IMAGE: url(res://ietag.dll/#34/#1001); BACKGROUND-REPEAT: repeat-x; BACKGROUND-POSITION: left bottom"/>
          <w:attr w:name="tabIndex" w:val="0"/>
          <w:attr w:name="ProductID" w:val="6,3 m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6,3 m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8,0 m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6,0 m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0,0 m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25 m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6,0 m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0,0 m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5,0 m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8 c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style" w:val="BACKGROUND-IMAGE: url(res://ietag.dll/#34/#1001); BACKGROUND-REPEAT: repeat-x; BACKGROUND-POSITION: left bottom"/>
          <w:attr w:name="tabIndex" w:val="0"/>
          <w:attr w:name="ProductID" w:val="100 C"/>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8 c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style" w:val="BACKGROUND-IMAGE: url(res://ietag.dll/#34/#1001); BACKGROUND-REPEAT: repeat-x; BACKGROUND-POSITION: left bottom"/>
          <w:attr w:name="tabIndex" w:val="0"/>
          <w:attr w:name="ProductID" w:val="15 c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style" w:val="BACKGROUND-IMAGE: url(res://ietag.dll/#34/#1001); BACKGROUND-REPEAT: repeat-x; BACKGROUND-POSITION: left bottom"/>
                <w:attr w:name="tabIndex" w:val="0"/>
                <w:attr w:name="ProductID" w:val="1 k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style" w:val="BACKGROUND-IMAGE: url(res://ietag.dll/#34/#1001); BACKGROUND-REPEAT: repeat-x; BACKGROUND-POSITION: left bottom"/>
                <w:attr w:name="tabIndex" w:val="0"/>
                <w:attr w:name="ProductID" w:val="10 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style" w:val="BACKGROUND-IMAGE: url(res://ietag.dll/#34/#1001); BACKGROUND-REPEAT: repeat-x; BACKGROUND-POSITION: left bottom"/>
                <w:attr w:name="tabIndex" w:val="0"/>
                <w:attr w:name="ProductID" w:val="1 k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style" w:val="BACKGROUND-IMAGE: url(res://ietag.dll/#34/#1001); BACKGROUND-REPEAT: repeat-x; BACKGROUND-POSITION: left bottom"/>
                <w:attr w:name="tabIndex" w:val="0"/>
                <w:attr w:name="ProductID" w:val="3000 m2"/>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style" w:val="BACKGROUND-IMAGE: url(res://ietag.dll/#34/#1001); BACKGROUND-REPEAT: repeat-x; BACKGROUND-POSITION: left bottom"/>
                <w:attr w:name="tabIndex" w:val="0"/>
                <w:attr w:name="ProductID" w:val="3000 m2"/>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 c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style" w:val="BACKGROUND-IMAGE: url(res://ietag.dll/#34/#1001); BACKGROUND-REPEAT: repeat-x; BACKGROUND-POSITION: left bottom"/>
          <w:attr w:name="tabIndex" w:val="0"/>
          <w:attr w:name="ProductID" w:val="2,5 c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style" w:val="BACKGROUND-IMAGE: url(res://ietag.dll/#34/#1001); BACKGROUND-REPEAT: repeat-x; BACKGROUND-POSITION: left bottom"/>
          <w:attr w:name="tabIndex" w:val="0"/>
          <w:attr w:name="ProductID" w:val="3,5 c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5 m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style" w:val="BACKGROUND-IMAGE: url(res://ietag.dll/#34/#1001); BACKGROUND-REPEAT: repeat-x; BACKGROUND-POSITION: left bottom"/>
          <w:attr w:name="tabIndex" w:val="0"/>
          <w:attr w:name="ProductID" w:val="15 c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5 m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style" w:val="BACKGROUND-IMAGE: url(res://ietag.dll/#34/#1001); BACKGROUND-REPEAT: repeat-x; BACKGROUND-POSITION: left bottom"/>
          <w:attr w:name="tabIndex" w:val="0"/>
          <w:attr w:name="ProductID" w:val="1 m2"/>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lastRenderedPageBreak/>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746FC1"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746FC1"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746FC1"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746FC1"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746FC1"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746FC1"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746FC1"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746FC1"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746FC1"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746FC1"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746FC1"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C1" w:rsidRDefault="00746FC1" w:rsidP="00E87088">
      <w:pPr>
        <w:pStyle w:val="Standardowytekst"/>
      </w:pPr>
      <w:r>
        <w:separator/>
      </w:r>
    </w:p>
  </w:endnote>
  <w:endnote w:type="continuationSeparator" w:id="0">
    <w:p w:rsidR="00746FC1" w:rsidRDefault="00746FC1"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876970">
      <w:rPr>
        <w:noProof/>
      </w:rPr>
      <w:t>128</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C1" w:rsidRDefault="00746FC1" w:rsidP="00E87088">
      <w:pPr>
        <w:pStyle w:val="Standardowytekst"/>
      </w:pPr>
      <w:r>
        <w:separator/>
      </w:r>
    </w:p>
  </w:footnote>
  <w:footnote w:type="continuationSeparator" w:id="0">
    <w:p w:rsidR="00746FC1" w:rsidRDefault="00746FC1"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F6829"/>
    <w:rsid w:val="001156B5"/>
    <w:rsid w:val="001555B3"/>
    <w:rsid w:val="001B3324"/>
    <w:rsid w:val="004B7004"/>
    <w:rsid w:val="004C3469"/>
    <w:rsid w:val="004D00CF"/>
    <w:rsid w:val="004E12F0"/>
    <w:rsid w:val="00530B36"/>
    <w:rsid w:val="00556578"/>
    <w:rsid w:val="005A7101"/>
    <w:rsid w:val="005F0DC8"/>
    <w:rsid w:val="00612370"/>
    <w:rsid w:val="00675FCA"/>
    <w:rsid w:val="00746FC1"/>
    <w:rsid w:val="007A1814"/>
    <w:rsid w:val="00876970"/>
    <w:rsid w:val="00981EDA"/>
    <w:rsid w:val="00982F0B"/>
    <w:rsid w:val="009A6DCF"/>
    <w:rsid w:val="00A14FAA"/>
    <w:rsid w:val="00B51B66"/>
    <w:rsid w:val="00B606BB"/>
    <w:rsid w:val="00B7294B"/>
    <w:rsid w:val="00BF0205"/>
    <w:rsid w:val="00C05802"/>
    <w:rsid w:val="00C23FBB"/>
    <w:rsid w:val="00D57C52"/>
    <w:rsid w:val="00D65EFB"/>
    <w:rsid w:val="00D8674D"/>
    <w:rsid w:val="00D94651"/>
    <w:rsid w:val="00DB0014"/>
    <w:rsid w:val="00E87088"/>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32341</Words>
  <Characters>194049</Characters>
  <Application>Microsoft Office Word</Application>
  <DocSecurity>0</DocSecurity>
  <Lines>1617</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225939</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3</cp:revision>
  <cp:lastPrinted>2015-07-29T08:42:00Z</cp:lastPrinted>
  <dcterms:created xsi:type="dcterms:W3CDTF">2015-07-29T10:46:00Z</dcterms:created>
  <dcterms:modified xsi:type="dcterms:W3CDTF">2015-07-29T10:46:00Z</dcterms:modified>
</cp:coreProperties>
</file>