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43067D">
        <w:rPr>
          <w:rFonts w:ascii="Cambria" w:hAnsi="Cambria"/>
        </w:rPr>
        <w:t>h</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B36308">
        <w:rPr>
          <w:rFonts w:ascii="Cambria" w:hAnsi="Cambria"/>
        </w:rPr>
        <w:t>pn. „</w:t>
      </w:r>
      <w:r w:rsidR="00B36308" w:rsidRPr="00CA2C7D">
        <w:rPr>
          <w:rFonts w:ascii="Cambria" w:hAnsi="Cambria"/>
        </w:rPr>
        <w:t>Realizacj</w:t>
      </w:r>
      <w:r w:rsidR="00B36308">
        <w:rPr>
          <w:rFonts w:ascii="Cambria" w:hAnsi="Cambria"/>
        </w:rPr>
        <w:t>a</w:t>
      </w:r>
      <w:r w:rsidR="00B36308" w:rsidRPr="00CA2C7D">
        <w:rPr>
          <w:rFonts w:ascii="Cambria" w:hAnsi="Cambria"/>
        </w:rPr>
        <w:t xml:space="preserve"> inwestycji drogowych w ramach Funduszu Dróg Samorządowych na terenie Gminy Piekoszów</w:t>
      </w:r>
      <w:r w:rsidR="00B36308">
        <w:rPr>
          <w:rFonts w:ascii="Cambria" w:hAnsi="Cambria"/>
        </w:rPr>
        <w:t>”</w:t>
      </w:r>
      <w:r w:rsidR="00B36308" w:rsidRPr="00CA2C7D">
        <w:rPr>
          <w:rFonts w:ascii="Cambria" w:hAnsi="Cambria"/>
        </w:rPr>
        <w:t xml:space="preserve">, nr ref. </w:t>
      </w:r>
      <w:hyperlink r:id="rId7" w:history="1">
        <w:r w:rsidR="00B36308" w:rsidRPr="00CA2C7D">
          <w:rPr>
            <w:rStyle w:val="Hipercze"/>
            <w:rFonts w:ascii="Cambria" w:hAnsi="Cambria"/>
            <w:color w:val="auto"/>
            <w:u w:val="none"/>
          </w:rPr>
          <w:t>IRO.271.2.22.2019.PK</w:t>
        </w:r>
      </w:hyperlink>
      <w:r w:rsidR="006A08DE" w:rsidRPr="006A08DE">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563AD8" w:rsidRPr="00563AD8" w:rsidRDefault="00DC14FC" w:rsidP="00563AD8">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B36308">
        <w:rPr>
          <w:rFonts w:ascii="Cambria" w:hAnsi="Cambria"/>
        </w:rPr>
        <w:t>„</w:t>
      </w:r>
      <w:r w:rsidR="00B36308" w:rsidRPr="00CA2C7D">
        <w:rPr>
          <w:rFonts w:ascii="Cambria" w:hAnsi="Cambria"/>
        </w:rPr>
        <w:t>Realizacj</w:t>
      </w:r>
      <w:r w:rsidR="00B36308">
        <w:rPr>
          <w:rFonts w:ascii="Cambria" w:hAnsi="Cambria"/>
        </w:rPr>
        <w:t>a</w:t>
      </w:r>
      <w:r w:rsidR="00B36308" w:rsidRPr="00CA2C7D">
        <w:rPr>
          <w:rFonts w:ascii="Cambria" w:hAnsi="Cambria"/>
        </w:rPr>
        <w:t xml:space="preserve"> inwestycji drogowych w ramach Funduszu Dróg Samorządowych na terenie Gminy Piekoszów</w:t>
      </w:r>
      <w:r w:rsidR="00B36308">
        <w:rPr>
          <w:rFonts w:ascii="Cambria" w:hAnsi="Cambria"/>
        </w:rPr>
        <w:t>”</w:t>
      </w:r>
      <w:r w:rsidR="00B36308" w:rsidRPr="00CA2C7D">
        <w:rPr>
          <w:rFonts w:ascii="Cambria" w:hAnsi="Cambria"/>
        </w:rPr>
        <w:t xml:space="preserve">, nr ref. </w:t>
      </w:r>
      <w:hyperlink r:id="rId8" w:history="1">
        <w:r w:rsidR="00B36308" w:rsidRPr="00CA2C7D">
          <w:rPr>
            <w:rStyle w:val="Hipercze"/>
            <w:rFonts w:ascii="Cambria" w:hAnsi="Cambria"/>
            <w:color w:val="auto"/>
            <w:u w:val="none"/>
          </w:rPr>
          <w:t>IRO.271.2.22.2019.PK</w:t>
        </w:r>
      </w:hyperlink>
      <w:r w:rsidR="00B36308">
        <w:rPr>
          <w:rFonts w:ascii="Cambria" w:hAnsi="Cambria"/>
        </w:rPr>
        <w:t>.</w:t>
      </w:r>
      <w:r w:rsidR="006A08DE" w:rsidRPr="006A08DE">
        <w:rPr>
          <w:rFonts w:ascii="Cambria" w:hAnsi="Cambria"/>
        </w:rPr>
        <w:t xml:space="preserve">, </w:t>
      </w:r>
      <w:bookmarkStart w:id="0" w:name="_GoBack"/>
      <w:r w:rsidR="00542942" w:rsidRPr="00563AD8">
        <w:rPr>
          <w:rFonts w:ascii="Cambria" w:hAnsi="Cambria"/>
        </w:rPr>
        <w:t xml:space="preserve">Zamawiający zleca a Wykonawca przyjmuje do wykonania </w:t>
      </w:r>
      <w:r w:rsidRPr="00563AD8">
        <w:rPr>
          <w:rFonts w:ascii="Cambria" w:hAnsi="Cambria"/>
        </w:rPr>
        <w:t xml:space="preserve">część zamówienia nr </w:t>
      </w:r>
      <w:r w:rsidR="00563AD8" w:rsidRPr="00563AD8">
        <w:rPr>
          <w:rFonts w:ascii="Cambria" w:hAnsi="Cambria"/>
        </w:rPr>
        <w:t>8</w:t>
      </w:r>
      <w:r w:rsidRPr="00563AD8">
        <w:rPr>
          <w:rFonts w:ascii="Cambria" w:hAnsi="Cambria"/>
        </w:rPr>
        <w:t xml:space="preserve"> </w:t>
      </w:r>
      <w:r w:rsidR="0043067D" w:rsidRPr="00563AD8">
        <w:rPr>
          <w:rFonts w:ascii="Cambria" w:hAnsi="Cambria"/>
        </w:rPr>
        <w:t xml:space="preserve"> - </w:t>
      </w:r>
      <w:r w:rsidR="00563AD8" w:rsidRPr="00563AD8">
        <w:rPr>
          <w:rFonts w:ascii="Cambria" w:hAnsi="Cambria" w:cs="Times New Roman"/>
          <w:lang w:eastAsia="pl-PL"/>
        </w:rPr>
        <w:t xml:space="preserve">Przebudowa drogi gminnej 002844T Piekoszów - Stara Wola, na odcinku 440 </w:t>
      </w:r>
      <w:proofErr w:type="spellStart"/>
      <w:r w:rsidR="00563AD8" w:rsidRPr="00563AD8">
        <w:rPr>
          <w:rFonts w:ascii="Cambria" w:hAnsi="Cambria" w:cs="Times New Roman"/>
          <w:lang w:eastAsia="pl-PL"/>
        </w:rPr>
        <w:t>mb</w:t>
      </w:r>
      <w:proofErr w:type="spellEnd"/>
      <w:r w:rsidR="00563AD8" w:rsidRPr="00563AD8">
        <w:rPr>
          <w:rFonts w:ascii="Cambria" w:hAnsi="Cambria" w:cs="Times New Roman"/>
          <w:lang w:eastAsia="pl-PL"/>
        </w:rPr>
        <w:t xml:space="preserve"> w miejscowości Piekoszów, Gmina Piekoszów, Woj. Świętokrzyskie</w:t>
      </w:r>
      <w:r w:rsidR="00563AD8" w:rsidRPr="00563AD8">
        <w:rPr>
          <w:rFonts w:ascii="Cambria" w:hAnsi="Cambria" w:cs="Times New Roman"/>
          <w:lang w:eastAsia="pl-PL"/>
        </w:rPr>
        <w:t>.</w:t>
      </w:r>
      <w:bookmarkEnd w:id="0"/>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563AD8">
        <w:rPr>
          <w:rFonts w:ascii="Cambria" w:hAnsi="Cambria"/>
        </w:rPr>
        <w:t>września</w:t>
      </w:r>
      <w:r w:rsidR="00CB08ED">
        <w:rPr>
          <w:rFonts w:ascii="Cambria" w:hAnsi="Cambria"/>
        </w:rPr>
        <w:t xml:space="preserve"> 20</w:t>
      </w:r>
      <w:r w:rsidR="00DC14FC">
        <w:rPr>
          <w:rFonts w:ascii="Cambria" w:hAnsi="Cambria"/>
        </w:rPr>
        <w:t>2</w:t>
      </w:r>
      <w:r w:rsidR="00254358">
        <w:rPr>
          <w:rFonts w:ascii="Cambria" w:hAnsi="Cambria"/>
        </w:rPr>
        <w:t>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EE5A0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EE5A0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EE5A0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EE5A0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EE5A0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EE5A0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EE5A0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EE5A0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EE5A0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sidR="00254358">
        <w:rPr>
          <w:rFonts w:ascii="Cambria" w:hAnsi="Cambria" w:cs="Arial"/>
        </w:rPr>
        <w:t>y</w:t>
      </w:r>
      <w:r w:rsidRPr="00B65B64">
        <w:rPr>
          <w:rFonts w:ascii="Cambria" w:hAnsi="Cambria" w:cs="Arial"/>
        </w:rPr>
        <w:t xml:space="preserve"> VAT częściow</w:t>
      </w:r>
      <w:r w:rsidR="00254358">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254358" w:rsidRDefault="007968E9" w:rsidP="00EE5A0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254358">
        <w:rPr>
          <w:rFonts w:ascii="Cambria" w:hAnsi="Cambria"/>
        </w:rPr>
        <w:t xml:space="preserve">a </w:t>
      </w:r>
      <w:r w:rsidR="005F1798" w:rsidRPr="007968E9">
        <w:rPr>
          <w:rFonts w:ascii="Cambria" w:hAnsi="Cambria"/>
        </w:rPr>
        <w:t>VAT częściow</w:t>
      </w:r>
      <w:r w:rsidR="00254358">
        <w:rPr>
          <w:rFonts w:ascii="Cambria" w:hAnsi="Cambria"/>
        </w:rPr>
        <w:t>a</w:t>
      </w:r>
      <w:r w:rsidR="005F1798" w:rsidRPr="007968E9">
        <w:rPr>
          <w:rFonts w:ascii="Cambria" w:hAnsi="Cambria"/>
        </w:rPr>
        <w:t xml:space="preserve"> </w:t>
      </w:r>
      <w:r w:rsidR="0056372D" w:rsidRPr="0056372D">
        <w:rPr>
          <w:rFonts w:ascii="Cambria" w:hAnsi="Cambria"/>
          <w:b/>
          <w:bCs/>
          <w:u w:val="single"/>
        </w:rPr>
        <w:t>musi zostać</w:t>
      </w:r>
      <w:r w:rsidR="005F1798" w:rsidRPr="007968E9">
        <w:rPr>
          <w:rFonts w:ascii="Cambria" w:hAnsi="Cambria"/>
        </w:rPr>
        <w:t xml:space="preserve"> wystawiona </w:t>
      </w:r>
      <w:r w:rsidR="00B1515B" w:rsidRPr="007968E9">
        <w:rPr>
          <w:rFonts w:ascii="Cambria" w:hAnsi="Cambria"/>
        </w:rPr>
        <w:t>przez Wykonawcę w 2019 r.</w:t>
      </w:r>
      <w:r w:rsidR="00F27A20" w:rsidRPr="007968E9">
        <w:rPr>
          <w:rFonts w:ascii="Cambria" w:hAnsi="Cambria"/>
        </w:rPr>
        <w:t>,</w:t>
      </w:r>
      <w:r w:rsidR="00254358">
        <w:rPr>
          <w:rFonts w:ascii="Cambria" w:hAnsi="Cambria"/>
        </w:rPr>
        <w:t xml:space="preserve"> </w:t>
      </w:r>
      <w:r w:rsidR="00F27A20" w:rsidRPr="00254358">
        <w:rPr>
          <w:rFonts w:ascii="Cambria" w:hAnsi="Cambria"/>
        </w:rPr>
        <w:t xml:space="preserve">na kwotę </w:t>
      </w:r>
      <w:r w:rsidR="005E6356" w:rsidRPr="003217B6">
        <w:rPr>
          <w:rFonts w:ascii="Cambria" w:hAnsi="Cambria"/>
          <w:b/>
          <w:bCs/>
          <w:u w:val="single"/>
        </w:rPr>
        <w:t>nie większą niż 5 000,00 zł</w:t>
      </w:r>
      <w:r w:rsidR="00254358">
        <w:rPr>
          <w:rFonts w:ascii="Cambria" w:hAnsi="Cambria"/>
        </w:rPr>
        <w:t>,</w:t>
      </w:r>
      <w:r w:rsidR="00F27A20" w:rsidRPr="00254358">
        <w:rPr>
          <w:rFonts w:ascii="Cambria" w:hAnsi="Cambria"/>
        </w:rPr>
        <w:t xml:space="preserve"> </w:t>
      </w:r>
      <w:r w:rsidR="004C13E6">
        <w:rPr>
          <w:rFonts w:ascii="Cambria" w:hAnsi="Cambria"/>
        </w:rPr>
        <w:t xml:space="preserve">z terminem płatności najpóźniej do końca 2019 r., </w:t>
      </w:r>
      <w:r w:rsidR="00F27A20" w:rsidRPr="00254358">
        <w:rPr>
          <w:rFonts w:ascii="Cambria" w:hAnsi="Cambria"/>
        </w:rPr>
        <w:t xml:space="preserve">w oparciu o </w:t>
      </w:r>
      <w:r w:rsidR="00B1515B" w:rsidRPr="00254358">
        <w:rPr>
          <w:rFonts w:ascii="Cambria" w:hAnsi="Cambria"/>
        </w:rPr>
        <w:t>sporządz</w:t>
      </w:r>
      <w:r w:rsidR="00F27A20" w:rsidRPr="00254358">
        <w:rPr>
          <w:rFonts w:ascii="Cambria" w:hAnsi="Cambria"/>
        </w:rPr>
        <w:t>ony</w:t>
      </w:r>
      <w:r w:rsidR="00B1515B" w:rsidRPr="00254358">
        <w:rPr>
          <w:rFonts w:ascii="Cambria" w:hAnsi="Cambria"/>
        </w:rPr>
        <w:t xml:space="preserve"> bezusterkow</w:t>
      </w:r>
      <w:r w:rsidR="00F27A20" w:rsidRPr="00254358">
        <w:rPr>
          <w:rFonts w:ascii="Cambria" w:hAnsi="Cambria"/>
        </w:rPr>
        <w:t>y</w:t>
      </w:r>
      <w:r w:rsidR="00B1515B" w:rsidRPr="00254358">
        <w:rPr>
          <w:rFonts w:ascii="Cambria" w:hAnsi="Cambria"/>
        </w:rPr>
        <w:t xml:space="preserve"> protok</w:t>
      </w:r>
      <w:r w:rsidR="00F27A20" w:rsidRPr="00254358">
        <w:rPr>
          <w:rFonts w:ascii="Cambria" w:hAnsi="Cambria"/>
        </w:rPr>
        <w:t xml:space="preserve">ół </w:t>
      </w:r>
      <w:r w:rsidR="00B1515B" w:rsidRPr="00254358">
        <w:rPr>
          <w:rFonts w:ascii="Cambria" w:hAnsi="Cambria"/>
        </w:rPr>
        <w:t>odbioru częściowego robót, potwierdzon</w:t>
      </w:r>
      <w:r w:rsidR="00F27A20" w:rsidRPr="00254358">
        <w:rPr>
          <w:rFonts w:ascii="Cambria" w:hAnsi="Cambria"/>
        </w:rPr>
        <w:t>y</w:t>
      </w:r>
      <w:r w:rsidR="00B1515B" w:rsidRPr="00254358">
        <w:rPr>
          <w:rFonts w:ascii="Cambria" w:hAnsi="Cambria"/>
        </w:rPr>
        <w:t xml:space="preserve"> ze strony Zamawiającego przez Inspektora Nadzoru Inwestorskiego.</w:t>
      </w:r>
    </w:p>
    <w:p w:rsidR="00CB08ED" w:rsidRPr="00B65B64" w:rsidRDefault="00B1515B"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56372D">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56372D">
        <w:rPr>
          <w:rFonts w:ascii="Cambria" w:eastAsia="Times New Roman" w:hAnsi="Cambria" w:cs="Arial"/>
          <w:lang w:eastAsia="ar-SA"/>
        </w:rPr>
        <w:t>ą</w:t>
      </w:r>
      <w:r w:rsidR="00B65B64" w:rsidRPr="00B65B64">
        <w:rPr>
          <w:rFonts w:ascii="Cambria" w:eastAsia="Times New Roman" w:hAnsi="Cambria" w:cs="Arial"/>
          <w:lang w:eastAsia="ar-SA"/>
        </w:rPr>
        <w:t xml:space="preserve"> na podstawie faktur</w:t>
      </w:r>
      <w:r w:rsidR="0056372D">
        <w:rPr>
          <w:rFonts w:ascii="Cambria" w:eastAsia="Times New Roman" w:hAnsi="Cambria" w:cs="Arial"/>
          <w:lang w:eastAsia="ar-SA"/>
        </w:rPr>
        <w:t>y</w:t>
      </w:r>
      <w:r w:rsidR="00B65B64" w:rsidRPr="00B65B64">
        <w:rPr>
          <w:rFonts w:ascii="Cambria" w:eastAsia="Times New Roman" w:hAnsi="Cambria" w:cs="Arial"/>
          <w:lang w:eastAsia="ar-SA"/>
        </w:rPr>
        <w:t xml:space="preserve"> VAT częściow</w:t>
      </w:r>
      <w:r w:rsidR="0056372D">
        <w:rPr>
          <w:rFonts w:ascii="Cambria" w:eastAsia="Times New Roman" w:hAnsi="Cambria" w:cs="Arial"/>
          <w:lang w:eastAsia="ar-SA"/>
        </w:rPr>
        <w:t>ej</w:t>
      </w:r>
      <w:r w:rsidR="00B65B64" w:rsidRPr="00B65B64">
        <w:rPr>
          <w:rFonts w:ascii="Cambria" w:eastAsia="Times New Roman" w:hAnsi="Cambria" w:cs="Arial"/>
          <w:lang w:eastAsia="ar-SA"/>
        </w:rPr>
        <w: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Płatność faktur</w:t>
      </w:r>
      <w:r w:rsidR="00254358">
        <w:rPr>
          <w:rFonts w:ascii="Cambria" w:hAnsi="Cambria"/>
        </w:rPr>
        <w:t>y</w:t>
      </w:r>
      <w:r w:rsidRPr="00B65B64">
        <w:rPr>
          <w:rFonts w:ascii="Cambria" w:hAnsi="Cambria"/>
        </w:rPr>
        <w:t xml:space="preserve"> VAT </w:t>
      </w:r>
      <w:r w:rsidR="00B1515B" w:rsidRPr="00B65B64">
        <w:rPr>
          <w:rFonts w:ascii="Cambria" w:hAnsi="Cambria"/>
        </w:rPr>
        <w:t>częścio</w:t>
      </w:r>
      <w:r w:rsidR="007968E9">
        <w:rPr>
          <w:rFonts w:ascii="Cambria" w:hAnsi="Cambria"/>
        </w:rPr>
        <w:t>w</w:t>
      </w:r>
      <w:r w:rsidR="00254358">
        <w:rPr>
          <w:rFonts w:ascii="Cambria" w:hAnsi="Cambria"/>
        </w:rPr>
        <w:t>ej</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254358">
        <w:rPr>
          <w:rFonts w:ascii="Cambria" w:hAnsi="Cambria"/>
        </w:rPr>
        <w:t>ej</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EE5A0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w:t>
      </w:r>
      <w:r w:rsidRPr="00B65B64">
        <w:rPr>
          <w:rFonts w:ascii="Cambria" w:hAnsi="Cambria"/>
        </w:rPr>
        <w:lastRenderedPageBreak/>
        <w:t>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klauzule o solidarnej odpowiedzialności Wykonawcy, podwykonawcy i dalszego podwykonawcy wobec Zamawiającego za działania lub zaniechania dalszego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B65B64" w:rsidRPr="00254358"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43067D">
        <w:rPr>
          <w:rFonts w:ascii="Cambria" w:hAnsi="Cambria"/>
        </w:rPr>
        <w:t>6</w:t>
      </w:r>
      <w:r w:rsidR="00841CB3">
        <w:rPr>
          <w:rFonts w:ascii="Cambria" w:hAnsi="Cambria"/>
        </w:rPr>
        <w:t>00 000,00 zł.</w:t>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lastRenderedPageBreak/>
        <w:t>Odbiór robót</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EE5A0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EE5A0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EE5A0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EE5A0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lastRenderedPageBreak/>
        <w:t>odbiór końcowy nastąpi w terminie 14 dni licząc od dnia powiadomienia Zamawiającego przez Inspektora Nadzoru Inwestorskiego, że roboty zostały zakończone, a dokumenty, o których mowa poniżej, przyjęte;</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EE5A03">
      <w:pPr>
        <w:pStyle w:val="Akapitzlist"/>
        <w:numPr>
          <w:ilvl w:val="0"/>
          <w:numId w:val="27"/>
        </w:numPr>
        <w:spacing w:after="0" w:line="360" w:lineRule="auto"/>
        <w:jc w:val="both"/>
        <w:rPr>
          <w:rFonts w:ascii="Cambria" w:hAnsi="Cambria"/>
        </w:rPr>
      </w:pPr>
      <w:r>
        <w:rPr>
          <w:rFonts w:ascii="Cambria" w:hAnsi="Cambria"/>
        </w:rPr>
        <w:lastRenderedPageBreak/>
        <w:t>z czynności odbioru końcowego będzie spisany protokół zawierający wszelkie ustalenia dokonane w toku odbioru, jak też terminy wyznaczone na usunięcie stwierdzonych przy odbiorze wad lub usterek.</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494938">
        <w:rPr>
          <w:rFonts w:ascii="Cambria" w:hAnsi="Cambria"/>
        </w:rPr>
        <w:t xml:space="preserve">30 </w:t>
      </w:r>
      <w:r w:rsidRPr="00F5346F">
        <w:rPr>
          <w:rFonts w:ascii="Cambria" w:hAnsi="Cambria"/>
        </w:rPr>
        <w:t>dni od jej przekazania przez Wykonawcę i przekaże Wykonawcy ewentualne uwagi. Wykonawca dokona stosownych poprawek lub uzupełnień w dokumentacji w ciągu 7 dni od otrzymania ewentualnych uwag.</w:t>
      </w:r>
    </w:p>
    <w:p w:rsidR="00494938" w:rsidRPr="00494938" w:rsidRDefault="00494938" w:rsidP="00494938">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EE5A03">
      <w:pPr>
        <w:pStyle w:val="Akapitzlist"/>
        <w:numPr>
          <w:ilvl w:val="1"/>
          <w:numId w:val="50"/>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w:t>
      </w:r>
      <w:r>
        <w:rPr>
          <w:rFonts w:ascii="Cambria" w:hAnsi="Cambria"/>
        </w:rPr>
        <w:lastRenderedPageBreak/>
        <w:t xml:space="preserve">tej dokumentacji projektowej, bez ograniczenia czasowego, do korzystania i rozporządzania nią w całości lub we fragmentach w kraju i za granicą w następującym zakresie: </w:t>
      </w:r>
    </w:p>
    <w:p w:rsidR="007968E9" w:rsidRPr="00521D70" w:rsidRDefault="007968E9" w:rsidP="00EE5A03">
      <w:pPr>
        <w:pStyle w:val="Akapitzlist"/>
        <w:numPr>
          <w:ilvl w:val="0"/>
          <w:numId w:val="51"/>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EE5A03">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EE5A0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EE5A0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EE5A03">
      <w:pPr>
        <w:pStyle w:val="Akapitzlist"/>
        <w:numPr>
          <w:ilvl w:val="0"/>
          <w:numId w:val="52"/>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EE5A03">
      <w:pPr>
        <w:pStyle w:val="Akapitzlist"/>
        <w:numPr>
          <w:ilvl w:val="0"/>
          <w:numId w:val="52"/>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EE5A0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EE5A0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EE5A0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EE5A0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EE5A03">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lastRenderedPageBreak/>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EE5A0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EE5A0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EE5A0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EE5A0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lastRenderedPageBreak/>
        <w:t>Wykonawca zabezpieczy przerwane roboty;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4A7ECB" w:rsidRDefault="004A7ECB" w:rsidP="004A7ECB">
      <w:pPr>
        <w:spacing w:after="0" w:line="360" w:lineRule="auto"/>
        <w:jc w:val="center"/>
        <w:rPr>
          <w:rFonts w:ascii="Cambria" w:hAnsi="Cambria"/>
          <w:b/>
        </w:rPr>
      </w:pPr>
      <w:r>
        <w:rPr>
          <w:rFonts w:ascii="Cambria" w:hAnsi="Cambria"/>
          <w:b/>
        </w:rPr>
        <w:t>§ 19</w:t>
      </w:r>
    </w:p>
    <w:p w:rsidR="004A7ECB" w:rsidRDefault="004A7ECB" w:rsidP="004A7ECB">
      <w:pPr>
        <w:spacing w:after="0" w:line="360" w:lineRule="auto"/>
        <w:jc w:val="center"/>
        <w:rPr>
          <w:rFonts w:ascii="Cambria" w:hAnsi="Cambria"/>
          <w:b/>
        </w:rPr>
      </w:pPr>
      <w:r>
        <w:rPr>
          <w:rFonts w:ascii="Cambria" w:hAnsi="Cambria"/>
          <w:b/>
        </w:rPr>
        <w:t>Zmiana umowy</w:t>
      </w:r>
    </w:p>
    <w:p w:rsidR="004A7ECB" w:rsidRPr="009D17D2" w:rsidRDefault="004A7ECB" w:rsidP="004A7ECB">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4A7ECB" w:rsidRPr="00DF2465" w:rsidRDefault="004A7ECB" w:rsidP="004A7ECB">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4A7ECB" w:rsidRPr="000962B7"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4A7ECB" w:rsidRPr="009615A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4A7EC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4A7EC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4A7ECB" w:rsidRPr="00BC5F1F"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4A7ECB" w:rsidRPr="00DF2465"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niniejszym postępowaniem przetargowym;</w:t>
      </w:r>
    </w:p>
    <w:p w:rsidR="004A7ECB" w:rsidRPr="0001675D"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4A7ECB" w:rsidRPr="006F0DA9"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4A7ECB" w:rsidRPr="009615A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4A7ECB" w:rsidRPr="009615AB" w:rsidRDefault="004A7ECB" w:rsidP="004A7ECB">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4A7ECB" w:rsidRPr="00C57589"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4A7ECB"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4A7ECB"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4A7ECB" w:rsidRPr="00E543A1"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4A7ECB" w:rsidRPr="00BC5F1F"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 xml:space="preserve">umowy, co może </w:t>
      </w:r>
      <w:r>
        <w:rPr>
          <w:rFonts w:ascii="Cambria" w:hAnsi="Cambria" w:cs="Times New Roman"/>
          <w:color w:val="000000"/>
        </w:rPr>
        <w:lastRenderedPageBreak/>
        <w:t>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4A7ECB" w:rsidRPr="005C03E8"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4A7ECB"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4A7ECB"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lastRenderedPageBreak/>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4A7ECB"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4A7ECB" w:rsidRPr="005C03E8"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4A7ECB" w:rsidRPr="00DF2465"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4A7ECB" w:rsidRPr="00DF2465"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4A7ECB" w:rsidRPr="00DF2465"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4A7ECB" w:rsidRPr="005C03E8" w:rsidRDefault="004A7ECB" w:rsidP="004A7ECB">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4A7ECB" w:rsidRPr="00BC5F1F" w:rsidRDefault="004A7ECB" w:rsidP="004A7ECB">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4A7ECB" w:rsidRPr="00C57589" w:rsidRDefault="004A7ECB" w:rsidP="004A7ECB">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4A7ECB" w:rsidRPr="00C57589" w:rsidRDefault="004A7ECB" w:rsidP="004A7ECB">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4A7ECB" w:rsidRDefault="004A7ECB" w:rsidP="004A7ECB">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4A7ECB" w:rsidRDefault="004A7ECB" w:rsidP="004A7ECB">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4A7ECB" w:rsidRDefault="004A7ECB" w:rsidP="004A7ECB">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4A7ECB" w:rsidRDefault="004A7ECB" w:rsidP="004A7ECB">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4A7ECB" w:rsidRPr="00C57589"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4A7ECB"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4A7ECB" w:rsidRDefault="004A7ECB" w:rsidP="004A7ECB">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4A7ECB" w:rsidRDefault="004A7ECB" w:rsidP="004A7ECB">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4A7ECB" w:rsidRPr="00C57589" w:rsidRDefault="004A7ECB" w:rsidP="004A7ECB">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4A7ECB"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4A7ECB" w:rsidRPr="00530C44"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 xml:space="preserve">wynagrodzenie wykonawcy zostanie podwyższone o wartość, o jaką wzrosną całkowite koszty wykonania umowy ponoszone przez wykonawcę, wynikającą ze wzrostu kosztów wykonawcy, tj. z wpłat do PPK dokonywanych </w:t>
      </w:r>
      <w:r w:rsidRPr="00530C44">
        <w:rPr>
          <w:rFonts w:ascii="Cambria" w:eastAsia="TimesNewRomanPSMT" w:hAnsi="Cambria" w:cs="Arial"/>
          <w:color w:val="000000"/>
        </w:rPr>
        <w:lastRenderedPageBreak/>
        <w:t>przez podmioty zatrudniające uczestniczące w wykonaniu zamówienia publicznego, zgodnie z art.135 ust. 2 ustawy z dnia 04 października 2018 r. o pracowniczych planach kapitałowych.</w:t>
      </w:r>
      <w:bookmarkEnd w:id="6"/>
    </w:p>
    <w:p w:rsidR="004A7ECB" w:rsidRDefault="004A7ECB" w:rsidP="004A7ECB">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4A7ECB" w:rsidRDefault="004A7ECB" w:rsidP="004A7ECB">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4A7ECB" w:rsidRPr="00D12833" w:rsidRDefault="004A7ECB" w:rsidP="004A7ECB">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EE5A0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bookmarkEnd w:id="8"/>
      <w:r w:rsidR="0056372D">
        <w:rPr>
          <w:rFonts w:ascii="Cambria" w:hAnsi="Cambria"/>
        </w:rPr>
        <w:t xml:space="preserve"> pn. „</w:t>
      </w:r>
      <w:r w:rsidR="0056372D" w:rsidRPr="00CA2C7D">
        <w:rPr>
          <w:rFonts w:ascii="Cambria" w:hAnsi="Cambria"/>
        </w:rPr>
        <w:t>Realizacj</w:t>
      </w:r>
      <w:r w:rsidR="0056372D">
        <w:rPr>
          <w:rFonts w:ascii="Cambria" w:hAnsi="Cambria"/>
        </w:rPr>
        <w:t>a</w:t>
      </w:r>
      <w:r w:rsidR="0056372D" w:rsidRPr="00CA2C7D">
        <w:rPr>
          <w:rFonts w:ascii="Cambria" w:hAnsi="Cambria"/>
        </w:rPr>
        <w:t xml:space="preserve"> inwestycji drogowych w ramach Funduszu Dróg Samorządowych na terenie Gminy Piekoszów</w:t>
      </w:r>
      <w:r w:rsidR="0056372D">
        <w:rPr>
          <w:rFonts w:ascii="Cambria" w:hAnsi="Cambria"/>
        </w:rPr>
        <w:t>”</w:t>
      </w:r>
      <w:r w:rsidR="0056372D" w:rsidRPr="00CA2C7D">
        <w:rPr>
          <w:rFonts w:ascii="Cambria" w:hAnsi="Cambria"/>
        </w:rPr>
        <w:t xml:space="preserve">, nr ref. </w:t>
      </w:r>
      <w:hyperlink r:id="rId10" w:history="1">
        <w:r w:rsidR="0056372D" w:rsidRPr="00CA2C7D">
          <w:rPr>
            <w:rStyle w:val="Hipercze"/>
            <w:rFonts w:ascii="Cambria" w:hAnsi="Cambria"/>
            <w:color w:val="auto"/>
            <w:u w:val="none"/>
          </w:rPr>
          <w:t>IRO.271.2.22.2019.PK</w:t>
        </w:r>
      </w:hyperlink>
      <w:r w:rsidR="0056372D" w:rsidRPr="004A032E">
        <w:rPr>
          <w:rFonts w:ascii="Cambria" w:hAnsi="Cambria"/>
        </w:rPr>
        <w:t>.</w:t>
      </w:r>
      <w:r w:rsidR="0056372D">
        <w:rPr>
          <w:rFonts w:ascii="Cambria" w:hAnsi="Cambria"/>
        </w:rPr>
        <w:t>;</w:t>
      </w:r>
    </w:p>
    <w:p w:rsidR="00795327" w:rsidRPr="005B1A2A" w:rsidRDefault="00795327" w:rsidP="00EE5A0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EE5A0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EE5A0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254358" w:rsidP="00EE5A0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6BC" w:rsidRDefault="003156BC" w:rsidP="008A4526">
      <w:pPr>
        <w:spacing w:after="0" w:line="240" w:lineRule="auto"/>
      </w:pPr>
      <w:r>
        <w:separator/>
      </w:r>
    </w:p>
  </w:endnote>
  <w:endnote w:type="continuationSeparator" w:id="0">
    <w:p w:rsidR="003156BC" w:rsidRDefault="003156BC"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6BC" w:rsidRDefault="003156BC" w:rsidP="008A4526">
      <w:pPr>
        <w:spacing w:after="0" w:line="240" w:lineRule="auto"/>
      </w:pPr>
      <w:r>
        <w:separator/>
      </w:r>
    </w:p>
  </w:footnote>
  <w:footnote w:type="continuationSeparator" w:id="0">
    <w:p w:rsidR="003156BC" w:rsidRDefault="003156BC"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4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24"/>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761A0"/>
    <w:rsid w:val="000834AC"/>
    <w:rsid w:val="000D6F02"/>
    <w:rsid w:val="000F35F4"/>
    <w:rsid w:val="00113A1A"/>
    <w:rsid w:val="00136811"/>
    <w:rsid w:val="001C21BE"/>
    <w:rsid w:val="002266FA"/>
    <w:rsid w:val="00254358"/>
    <w:rsid w:val="002642CF"/>
    <w:rsid w:val="002910FE"/>
    <w:rsid w:val="002B457D"/>
    <w:rsid w:val="003070FA"/>
    <w:rsid w:val="00315634"/>
    <w:rsid w:val="003156BC"/>
    <w:rsid w:val="00346581"/>
    <w:rsid w:val="00365609"/>
    <w:rsid w:val="003B3703"/>
    <w:rsid w:val="003F3CE8"/>
    <w:rsid w:val="00427E50"/>
    <w:rsid w:val="0043067D"/>
    <w:rsid w:val="00494938"/>
    <w:rsid w:val="004A219F"/>
    <w:rsid w:val="004A7ECB"/>
    <w:rsid w:val="004C13E6"/>
    <w:rsid w:val="005137EC"/>
    <w:rsid w:val="00524412"/>
    <w:rsid w:val="00530C44"/>
    <w:rsid w:val="00542942"/>
    <w:rsid w:val="0056372D"/>
    <w:rsid w:val="00563AD8"/>
    <w:rsid w:val="00590300"/>
    <w:rsid w:val="005D1C2B"/>
    <w:rsid w:val="005E6356"/>
    <w:rsid w:val="005F0A68"/>
    <w:rsid w:val="005F1798"/>
    <w:rsid w:val="00654D20"/>
    <w:rsid w:val="00662F2F"/>
    <w:rsid w:val="00695AC3"/>
    <w:rsid w:val="006A08DE"/>
    <w:rsid w:val="006D312D"/>
    <w:rsid w:val="006F1734"/>
    <w:rsid w:val="006F77A5"/>
    <w:rsid w:val="00795327"/>
    <w:rsid w:val="007968E9"/>
    <w:rsid w:val="00841CB3"/>
    <w:rsid w:val="00842702"/>
    <w:rsid w:val="008745E6"/>
    <w:rsid w:val="008A4526"/>
    <w:rsid w:val="00922F6F"/>
    <w:rsid w:val="00952D4F"/>
    <w:rsid w:val="009623A0"/>
    <w:rsid w:val="009867E9"/>
    <w:rsid w:val="00A10916"/>
    <w:rsid w:val="00A43166"/>
    <w:rsid w:val="00AA3918"/>
    <w:rsid w:val="00AD3AA8"/>
    <w:rsid w:val="00AE43AF"/>
    <w:rsid w:val="00B1515B"/>
    <w:rsid w:val="00B165A7"/>
    <w:rsid w:val="00B36308"/>
    <w:rsid w:val="00B65B64"/>
    <w:rsid w:val="00B67306"/>
    <w:rsid w:val="00BA2631"/>
    <w:rsid w:val="00BB6094"/>
    <w:rsid w:val="00C04945"/>
    <w:rsid w:val="00C57589"/>
    <w:rsid w:val="00C87CCF"/>
    <w:rsid w:val="00CB08ED"/>
    <w:rsid w:val="00D12833"/>
    <w:rsid w:val="00DB3868"/>
    <w:rsid w:val="00DC14FC"/>
    <w:rsid w:val="00E31C9E"/>
    <w:rsid w:val="00EE5A03"/>
    <w:rsid w:val="00F01F40"/>
    <w:rsid w:val="00F2189B"/>
    <w:rsid w:val="00F27A20"/>
    <w:rsid w:val="00FB6D58"/>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AEFE"/>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7988</Words>
  <Characters>47934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12</cp:revision>
  <dcterms:created xsi:type="dcterms:W3CDTF">2019-10-08T06:39:00Z</dcterms:created>
  <dcterms:modified xsi:type="dcterms:W3CDTF">2019-10-23T10:30:00Z</dcterms:modified>
</cp:coreProperties>
</file>