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w:t>
      </w:r>
      <w:r w:rsidR="00E942B1">
        <w:rPr>
          <w:rFonts w:ascii="Cambria" w:hAnsi="Cambria"/>
        </w:rPr>
        <w:t xml:space="preserve"> </w:t>
      </w:r>
      <w:r w:rsidR="000A4381" w:rsidRPr="001A5645">
        <w:rPr>
          <w:rFonts w:ascii="Cambria" w:hAnsi="Cambria"/>
          <w:b/>
        </w:rPr>
        <w:t>„REMONT CZĘŚCI POMIESZCZEŃ BUDYNKU URZĘDU GMINY PIEKOSZÓW PRZY UL. CZĘSTOCHOWSKIEJ 66a W PIEKOSZOWIE NA DZIAŁCE NR EWID. 638/4”</w:t>
      </w:r>
      <w:r w:rsidR="00542942" w:rsidRPr="00E942B1">
        <w:rPr>
          <w:rFonts w:ascii="Cambria" w:hAnsi="Cambria" w:cs="Times New Roman"/>
        </w:rPr>
        <w:t>,</w:t>
      </w:r>
      <w:r w:rsidR="00542942" w:rsidRPr="00542942">
        <w:rPr>
          <w:rFonts w:ascii="Cambria" w:hAnsi="Cambria" w:cs="Times New Roman"/>
        </w:rPr>
        <w:t xml:space="preserve"> znak postępowania </w:t>
      </w:r>
      <w:hyperlink r:id="rId7" w:history="1">
        <w:r w:rsidR="00632350" w:rsidRPr="00632350">
          <w:rPr>
            <w:rStyle w:val="Hipercze"/>
            <w:rFonts w:ascii="Cambria" w:hAnsi="Cambria"/>
            <w:color w:val="auto"/>
            <w:u w:val="none"/>
          </w:rPr>
          <w:t>IRO.271.2.19.2019.PK</w:t>
        </w:r>
      </w:hyperlink>
      <w:r w:rsidR="00632350" w:rsidRPr="00632350">
        <w:rPr>
          <w:rFonts w:ascii="Cambria" w:hAnsi="Cambria"/>
        </w:rPr>
        <w:t xml:space="preserve">, </w:t>
      </w:r>
      <w:r w:rsidR="00542942" w:rsidRPr="00632350">
        <w:rPr>
          <w:rFonts w:ascii="Cambria" w:hAnsi="Cambria"/>
        </w:rPr>
        <w:t xml:space="preserve">Strony </w:t>
      </w:r>
      <w:r w:rsidR="00542942" w:rsidRPr="000D6F02">
        <w:rPr>
          <w:rFonts w:ascii="Cambria" w:hAnsi="Cambria"/>
        </w:rPr>
        <w:t>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A4381" w:rsidRPr="000A4381" w:rsidRDefault="00542942" w:rsidP="00655C06">
      <w:pPr>
        <w:pStyle w:val="Akapitzlist"/>
        <w:numPr>
          <w:ilvl w:val="0"/>
          <w:numId w:val="3"/>
        </w:numPr>
        <w:spacing w:after="0" w:line="360" w:lineRule="auto"/>
        <w:ind w:left="284" w:hanging="284"/>
        <w:jc w:val="both"/>
        <w:rPr>
          <w:rFonts w:ascii="Cambria" w:hAnsi="Cambria"/>
        </w:rPr>
      </w:pPr>
      <w:r w:rsidRPr="000A4381">
        <w:rPr>
          <w:rFonts w:ascii="Cambria" w:hAnsi="Cambria"/>
        </w:rPr>
        <w:t xml:space="preserve">Zamawiający zleca a Wykonawca przyjmuje do wykonania zadanie pn. </w:t>
      </w:r>
      <w:r w:rsidR="000A4381" w:rsidRPr="001A5645">
        <w:rPr>
          <w:rFonts w:ascii="Cambria" w:hAnsi="Cambria"/>
          <w:b/>
        </w:rPr>
        <w:t>„REMONT CZĘŚCI POMIESZCZEŃ BUDYNKU URZĘDU GMINY PIEKOSZÓW PRZY UL. CZĘSTOCHOWSKIEJ 66a W PIEKOSZOWIE NA DZIAŁCE NR EWID. 638/4”</w:t>
      </w:r>
    </w:p>
    <w:p w:rsidR="000A4381" w:rsidRPr="000A4381" w:rsidRDefault="00632350" w:rsidP="000A4381">
      <w:pPr>
        <w:pStyle w:val="Akapitzlist"/>
        <w:numPr>
          <w:ilvl w:val="0"/>
          <w:numId w:val="3"/>
        </w:numPr>
        <w:spacing w:after="0" w:line="360" w:lineRule="auto"/>
        <w:ind w:left="284" w:hanging="284"/>
        <w:jc w:val="both"/>
        <w:rPr>
          <w:rFonts w:ascii="Cambria" w:hAnsi="Cambria"/>
        </w:rPr>
      </w:pPr>
      <w:r>
        <w:rPr>
          <w:rFonts w:ascii="Cambria" w:hAnsi="Cambria"/>
        </w:rPr>
        <w:t>W</w:t>
      </w:r>
      <w:r w:rsidR="00E942B1" w:rsidRPr="000A4381">
        <w:rPr>
          <w:rFonts w:ascii="Cambria" w:hAnsi="Cambria"/>
        </w:rPr>
        <w:t xml:space="preserve"> ramach przedmiotu umowy należy wykonać w szczególności następujący zakres robót budowlanych:</w:t>
      </w:r>
      <w:r w:rsidR="000A4381">
        <w:rPr>
          <w:rFonts w:ascii="Cambria" w:hAnsi="Cambria"/>
        </w:rPr>
        <w:t xml:space="preserve"> </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rozbiórkowe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demontaż stolarki drzwiowej ,parapetów w niezbędnym zakresie, - rozbiórka ścian z cegły, - rozbiórka  balustrady schodowej stalowej, - rozbiórka posadzek z podłożem, -rozbiórka okładziny ścian  z  glazury, skucie tynków;</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murowane: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wykonanie przesklepień otworów</w:t>
      </w:r>
      <w:r w:rsidRPr="00AD6B89">
        <w:rPr>
          <w:rFonts w:ascii="Cambria" w:hAnsi="Cambria"/>
          <w:b/>
        </w:rPr>
        <w:t xml:space="preserve"> </w:t>
      </w:r>
      <w:r w:rsidRPr="00AD6B89">
        <w:rPr>
          <w:rFonts w:ascii="Cambria" w:hAnsi="Cambria"/>
        </w:rPr>
        <w:t>drzwiowych ceownika 140 oraz bednarki 3x30mm, - uzupełnienie otworów drzwiowych z gazobetonu;</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lastRenderedPageBreak/>
        <w:t>roboty okładzinowe ścian:</w:t>
      </w:r>
      <w:r w:rsidRPr="00AD6B89">
        <w:rPr>
          <w:rFonts w:ascii="Cambria" w:hAnsi="Cambria" w:cs="Times New Roman"/>
        </w:rPr>
        <w:t xml:space="preserve"> </w:t>
      </w:r>
      <w:r w:rsidRPr="00AD6B89">
        <w:rPr>
          <w:rFonts w:ascii="Cambria" w:hAnsi="Cambria"/>
          <w:b/>
        </w:rPr>
        <w:t xml:space="preserve"> - </w:t>
      </w:r>
      <w:r w:rsidRPr="00AD6B89">
        <w:rPr>
          <w:rFonts w:ascii="Cambria" w:hAnsi="Cambria"/>
        </w:rPr>
        <w:t>tynki wapienno cementowe, gładź gipsowa, - okładziny ścian glazurą 30x60cm+listwa dekoracyjna 2x60cm, - malowanie ścian i sufitów farbami lateksowymi oraz malowanie lakierem do powłok lazurniczych;</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podłoża i posadzki: - </w:t>
      </w:r>
      <w:r w:rsidRPr="00AD6B89">
        <w:rPr>
          <w:rFonts w:ascii="Cambria" w:hAnsi="Cambria"/>
        </w:rPr>
        <w:t>warstwy wyrównawcze pod posadzki z zaprawy zbrojonej, - warstwy samopoziomujące z zaprawy, - wykonanie nowych posadzek  z wykładzin PVC winylowych zmywalnych zgrzewalnych z listwami systemowymi, - wykonanie posadzek gress 60x60cm oraz okładzin granitowych;</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roboty montażowe stolarki i ślusarki: - </w:t>
      </w:r>
      <w:r w:rsidRPr="00AD6B89">
        <w:rPr>
          <w:rFonts w:ascii="Cambria" w:hAnsi="Cambria"/>
        </w:rPr>
        <w:t>montaż stolarki drzwiowej płycinowej drewnianej z ościeżnicami, - montaż drzwi stalowych EI30, - ścianki kabin z płyty mdf z drzwiami, -podokienniki z konglomeratu marmurowego gr. 3cm oraz granitu, - montaż balustrady klatki schodowej wewnętrznej ze stali nierdzewnej</w:t>
      </w:r>
      <w:r>
        <w:rPr>
          <w:rFonts w:ascii="Cambria" w:hAnsi="Cambria"/>
        </w:rPr>
        <w:t>;</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Pr>
          <w:rFonts w:ascii="Cambria" w:hAnsi="Cambria"/>
          <w:b/>
        </w:rPr>
        <w:t>roboty montażowe osprzętu elektrycznego i armatury sanitarnej.</w:t>
      </w:r>
    </w:p>
    <w:p w:rsidR="00542942" w:rsidRDefault="00632350" w:rsidP="00542942">
      <w:pPr>
        <w:pStyle w:val="Akapitzlist"/>
        <w:numPr>
          <w:ilvl w:val="0"/>
          <w:numId w:val="3"/>
        </w:numPr>
        <w:spacing w:after="0" w:line="360" w:lineRule="auto"/>
        <w:ind w:left="284" w:hanging="284"/>
        <w:jc w:val="both"/>
        <w:rPr>
          <w:rFonts w:ascii="Cambria" w:hAnsi="Cambria"/>
        </w:rPr>
      </w:pPr>
      <w:r>
        <w:rPr>
          <w:rFonts w:ascii="Cambria" w:hAnsi="Cambria"/>
        </w:rPr>
        <w:t>Szczegółowy</w:t>
      </w:r>
      <w:r w:rsidR="00542942">
        <w:rPr>
          <w:rFonts w:ascii="Cambria" w:hAnsi="Cambria"/>
        </w:rPr>
        <w:t xml:space="preserve"> opis i cały zakres rzeczowy przedmiotu umowy wskazany jest</w:t>
      </w:r>
      <w:r w:rsidR="00542942" w:rsidRPr="00542942">
        <w:rPr>
          <w:rFonts w:ascii="Cambria" w:hAnsi="Cambria"/>
        </w:rPr>
        <w:t xml:space="preserve"> w</w:t>
      </w:r>
      <w:r w:rsidR="00542942">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00E942B1">
        <w:rPr>
          <w:rFonts w:ascii="Cambria" w:hAnsi="Cambria"/>
        </w:rPr>
        <w:t xml:space="preserve"> budowlanym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Wykonawca odpowiedzialny jest za teren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 xml:space="preserve">Przekazanie </w:t>
      </w:r>
      <w:r w:rsidR="00D73DC4">
        <w:rPr>
          <w:rFonts w:ascii="Cambria" w:hAnsi="Cambria"/>
        </w:rPr>
        <w:t>placu</w:t>
      </w:r>
      <w:r w:rsidR="002F2302">
        <w:rPr>
          <w:rFonts w:ascii="Cambria" w:hAnsi="Cambria"/>
        </w:rPr>
        <w:t xml:space="preserve"> budowy nastąpi w ciągu 2</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F2302">
        <w:rPr>
          <w:rFonts w:ascii="Cambria" w:hAnsi="Cambria"/>
        </w:rPr>
        <w:t xml:space="preserve">na </w:t>
      </w:r>
      <w:r w:rsidR="00D30889">
        <w:rPr>
          <w:rFonts w:ascii="Cambria" w:hAnsi="Cambria"/>
        </w:rPr>
        <w:t>dzień 31 maja 2020 r.</w:t>
      </w:r>
    </w:p>
    <w:p w:rsidR="00D30889" w:rsidRPr="00D30889" w:rsidRDefault="00D30889" w:rsidP="00D30889">
      <w:pPr>
        <w:pStyle w:val="Akapitzlist"/>
        <w:numPr>
          <w:ilvl w:val="0"/>
          <w:numId w:val="6"/>
        </w:numPr>
        <w:spacing w:after="0" w:line="360" w:lineRule="auto"/>
        <w:ind w:left="284" w:hanging="284"/>
        <w:jc w:val="both"/>
        <w:rPr>
          <w:rFonts w:ascii="Cambria" w:hAnsi="Cambria"/>
        </w:rPr>
      </w:pPr>
      <w:r w:rsidRPr="0011313A">
        <w:rPr>
          <w:rFonts w:ascii="Cambria" w:hAnsi="Cambria"/>
        </w:rPr>
        <w:t>Termin wykonania przedmiotu umowy Zamawiający uzna za zachowany, o ile najpóźniej do dnia</w:t>
      </w:r>
      <w:r>
        <w:rPr>
          <w:rFonts w:ascii="Cambria" w:hAnsi="Cambria"/>
        </w:rPr>
        <w:t>, o którym mowa w ust. 2,</w:t>
      </w:r>
      <w:r w:rsidRPr="0011313A">
        <w:rPr>
          <w:rFonts w:ascii="Cambria" w:hAnsi="Cambria"/>
        </w:rPr>
        <w:t xml:space="preserve"> 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do dnia, o którym mowa w ust 2,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E942B1" w:rsidRPr="00E942B1" w:rsidRDefault="008A4526"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lastRenderedPageBreak/>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pracę osób wykonujących w zakresie realizacji</w:t>
      </w:r>
      <w:r w:rsidR="00D73DC4">
        <w:rPr>
          <w:rFonts w:ascii="Cambria" w:hAnsi="Cambria"/>
        </w:rPr>
        <w:t xml:space="preserve"> przedmiotu umowy.</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1E651F">
        <w:rPr>
          <w:rFonts w:ascii="Cambria" w:hAnsi="Cambria"/>
          <w:bCs/>
        </w:rPr>
        <w:t>Dz. U. z 2003 r. Nr 120, poz. 1126);</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lastRenderedPageBreak/>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227CA">
      <w:pPr>
        <w:pStyle w:val="Akapitzlist"/>
        <w:numPr>
          <w:ilvl w:val="0"/>
          <w:numId w:val="13"/>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227CA">
      <w:pPr>
        <w:pStyle w:val="Tekstpodstawowy"/>
        <w:numPr>
          <w:ilvl w:val="0"/>
          <w:numId w:val="13"/>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umowy należy wykonywać przy użyciu materiałów, dla których standardy określono w dokumentacji, o której mowa w § 1 ust. 3</w:t>
      </w:r>
      <w:r w:rsidR="00795327">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w:t>
      </w:r>
      <w:r>
        <w:rPr>
          <w:rFonts w:ascii="Cambria" w:hAnsi="Cambria"/>
        </w:rPr>
        <w:lastRenderedPageBreak/>
        <w:t>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6227CA">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6227CA" w:rsidRDefault="00CB08ED" w:rsidP="006227CA">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w:t>
      </w:r>
      <w:r w:rsidR="006227CA">
        <w:rPr>
          <w:rFonts w:ascii="Cambria" w:hAnsi="Cambria"/>
        </w:rPr>
        <w:t>czenie wynagrodzenia należnego W</w:t>
      </w:r>
      <w:r w:rsidRPr="00CB08ED">
        <w:rPr>
          <w:rFonts w:ascii="Cambria" w:hAnsi="Cambria"/>
        </w:rPr>
        <w:t xml:space="preserve">ykonawcy za wykonanie przedmiotu </w:t>
      </w:r>
      <w:r w:rsidR="000070D8">
        <w:rPr>
          <w:rFonts w:ascii="Cambria" w:hAnsi="Cambria"/>
        </w:rPr>
        <w:t>umowy</w:t>
      </w:r>
      <w:r w:rsidRPr="00CB08ED">
        <w:rPr>
          <w:rFonts w:ascii="Cambria" w:hAnsi="Cambria"/>
        </w:rPr>
        <w:t xml:space="preserve"> nastąpi </w:t>
      </w:r>
      <w:r w:rsidR="006227CA">
        <w:rPr>
          <w:rFonts w:ascii="Cambria" w:hAnsi="Cambria"/>
        </w:rPr>
        <w:t>na podstawie faktury VAT.</w:t>
      </w: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lastRenderedPageBreak/>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Pr="00E607FC" w:rsidRDefault="00795327" w:rsidP="00795327">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w:t>
      </w:r>
      <w:r w:rsidR="00B00ECF">
        <w:rPr>
          <w:rFonts w:ascii="Cambria" w:hAnsi="Cambria"/>
        </w:rPr>
        <w:t xml:space="preserve"> na sumę ubezpieczenia co najmniej 250 000,00 zł</w:t>
      </w:r>
      <w:r>
        <w:rPr>
          <w:rFonts w:ascii="Cambria" w:hAnsi="Cambria"/>
        </w:rPr>
        <w:t>, oraz od odpowiedzialności cywilnej przez cały czas trwania niniejszej umowy</w:t>
      </w:r>
      <w:r w:rsidR="00B00ECF">
        <w:rPr>
          <w:rFonts w:ascii="Cambria" w:hAnsi="Cambria"/>
        </w:rPr>
        <w:t xml:space="preserve"> na sumę ubezpieczenia co najmniej 250 000,00 zł.</w:t>
      </w:r>
      <w:bookmarkStart w:id="1" w:name="_GoBack"/>
      <w:bookmarkEnd w:id="1"/>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lastRenderedPageBreak/>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lastRenderedPageBreak/>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6227CA">
        <w:rPr>
          <w:rFonts w:ascii="Cambria" w:hAnsi="Cambria"/>
        </w:rPr>
        <w:t xml:space="preserve"> W razie zachodzącej sprzeczności pomiędzy treścią §</w:t>
      </w:r>
      <w:r w:rsidR="0007194B">
        <w:rPr>
          <w:rFonts w:ascii="Cambria" w:hAnsi="Cambria"/>
        </w:rPr>
        <w:t xml:space="preserve"> 11 a treścią dokumentacji, o </w:t>
      </w:r>
      <w:r w:rsidR="006227CA">
        <w:rPr>
          <w:rFonts w:ascii="Cambria" w:hAnsi="Cambria"/>
        </w:rPr>
        <w:t xml:space="preserve">której mowa w § 1 ust. 3, w zakresie odbioru robót – rozstrzygająca jest treść </w:t>
      </w:r>
      <w:r w:rsidR="00EE6F7C">
        <w:rPr>
          <w:rFonts w:ascii="Cambria" w:hAnsi="Cambria"/>
        </w:rPr>
        <w:t>dokumentacji.</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07194B">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07194B" w:rsidRDefault="00CB08ED" w:rsidP="0007194B">
      <w:pPr>
        <w:pStyle w:val="Akapitzlist"/>
        <w:numPr>
          <w:ilvl w:val="0"/>
          <w:numId w:val="33"/>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6227CA" w:rsidRPr="006227CA" w:rsidRDefault="006227CA" w:rsidP="006227CA">
      <w:pPr>
        <w:pStyle w:val="Akapitzlist"/>
        <w:numPr>
          <w:ilvl w:val="0"/>
          <w:numId w:val="55"/>
        </w:numPr>
        <w:spacing w:after="0" w:line="360" w:lineRule="auto"/>
        <w:ind w:left="567" w:hanging="283"/>
        <w:jc w:val="both"/>
        <w:rPr>
          <w:rFonts w:ascii="Cambria" w:hAnsi="Cambria"/>
          <w:b/>
        </w:rPr>
      </w:pPr>
      <w:r>
        <w:rPr>
          <w:rFonts w:ascii="Cambria" w:hAnsi="Cambria"/>
        </w:rPr>
        <w:lastRenderedPageBreak/>
        <w:t>kierownik</w:t>
      </w:r>
      <w:r w:rsidRPr="00A43DE9">
        <w:rPr>
          <w:rFonts w:ascii="Cambria" w:hAnsi="Cambria"/>
        </w:rPr>
        <w:t xml:space="preserve"> </w:t>
      </w:r>
      <w:r w:rsidR="00D73DC4">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zmiany umowy o podwykonawstwo w zakresie terminu zapłaty wynagrodzenia podwykonawcy jeżeli termin ten jest dłuższy niż 30 dni od dnia doręczenia wykonawcy, podwykonawcy lub dalszemu podwykonawcy faktury, rachunku potwierdzających </w:t>
      </w:r>
      <w:r>
        <w:rPr>
          <w:rFonts w:ascii="Cambria" w:hAnsi="Cambria"/>
        </w:rPr>
        <w:lastRenderedPageBreak/>
        <w:t>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2"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3351B4">
        <w:rPr>
          <w:rFonts w:ascii="Cambria" w:hAnsi="Cambria"/>
        </w:rPr>
        <w:t>roboty rozbiórkowe, roboty ogólnobudowlane, roboty w zakresie instalacji elektrycznej i sanitarnej</w:t>
      </w:r>
      <w:r>
        <w:rPr>
          <w:rFonts w:ascii="Cambria" w:hAnsi="Cambria"/>
          <w:color w:val="000000"/>
        </w:rPr>
        <w:t>,</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155FC4">
        <w:rPr>
          <w:rFonts w:ascii="Cambria" w:hAnsi="Cambria"/>
        </w:rPr>
        <w:t>roboty rozbiórkowe, roboty ogólnobudowlane, roboty w zakresie instalacji elektrycznej i sanitarnej</w:t>
      </w:r>
      <w:r>
        <w:rPr>
          <w:rFonts w:ascii="Cambria" w:hAnsi="Cambria"/>
          <w:color w:val="000000"/>
        </w:rPr>
        <w:t>,</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lastRenderedPageBreak/>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11</w:t>
      </w:r>
      <w:r>
        <w:rPr>
          <w:rFonts w:ascii="Cambria" w:hAnsi="Cambria"/>
        </w:rPr>
        <w:t xml:space="preserve">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lastRenderedPageBreak/>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lastRenderedPageBreak/>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nterpretacji jej zapisów przez S</w:t>
      </w:r>
      <w:r w:rsidRPr="00DF2465">
        <w:rPr>
          <w:rFonts w:ascii="Cambria" w:hAnsi="Cambria"/>
        </w:rPr>
        <w:t>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D73DC4">
        <w:rPr>
          <w:rFonts w:ascii="Cambria" w:hAnsi="Cambria"/>
        </w:rPr>
        <w:t xml:space="preserve"> </w:t>
      </w:r>
      <w:r w:rsidR="00D73DC4" w:rsidRPr="001A5645">
        <w:rPr>
          <w:rFonts w:ascii="Cambria" w:hAnsi="Cambria"/>
          <w:b/>
        </w:rPr>
        <w:t>„REMONT CZĘŚCI POMIESZCZEŃ BUDYNKU URZĘDU GMINY PIEKOSZÓW PRZY UL. CZĘSTOCHOWSKIEJ 66a W PIEKOSZOWIE NA DZIAŁCE NR EWID. 638/4”</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lastRenderedPageBreak/>
        <w:t>Integralną część niniejszej umowy stanowią dokumenty, o których mowa w § 1 ust. 3</w:t>
      </w:r>
      <w:r w:rsidR="00E607FC">
        <w:rPr>
          <w:rFonts w:ascii="Cambria" w:hAnsi="Cambria"/>
        </w:rPr>
        <w:t>, oraz oferta Wykonawcy</w:t>
      </w:r>
      <w:r>
        <w:rPr>
          <w:rFonts w:ascii="Cambria" w:hAnsi="Cambria"/>
        </w:rPr>
        <w:t>.</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60" w:rsidRDefault="00AD2260" w:rsidP="008A4526">
      <w:pPr>
        <w:spacing w:after="0" w:line="240" w:lineRule="auto"/>
      </w:pPr>
      <w:r>
        <w:separator/>
      </w:r>
    </w:p>
  </w:endnote>
  <w:endnote w:type="continuationSeparator" w:id="0">
    <w:p w:rsidR="00AD2260" w:rsidRDefault="00AD2260"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07F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07FC">
              <w:rPr>
                <w:b/>
                <w:bCs/>
                <w:noProof/>
              </w:rPr>
              <w:t>20</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60" w:rsidRDefault="00AD2260" w:rsidP="008A4526">
      <w:pPr>
        <w:spacing w:after="0" w:line="240" w:lineRule="auto"/>
      </w:pPr>
      <w:r>
        <w:separator/>
      </w:r>
    </w:p>
  </w:footnote>
  <w:footnote w:type="continuationSeparator" w:id="0">
    <w:p w:rsidR="00AD2260" w:rsidRDefault="00AD2260"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537F84"/>
    <w:multiLevelType w:val="hybridMultilevel"/>
    <w:tmpl w:val="5962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
  </w:num>
  <w:num w:numId="46">
    <w:abstractNumId w:val="50"/>
  </w:num>
  <w:num w:numId="47">
    <w:abstractNumId w:val="52"/>
  </w:num>
  <w:num w:numId="48">
    <w:abstractNumId w:val="15"/>
  </w:num>
  <w:num w:numId="49">
    <w:abstractNumId w:val="53"/>
  </w:num>
  <w:num w:numId="50">
    <w:abstractNumId w:val="37"/>
  </w:num>
  <w:num w:numId="51">
    <w:abstractNumId w:val="27"/>
  </w:num>
  <w:num w:numId="52">
    <w:abstractNumId w:val="25"/>
  </w:num>
  <w:num w:numId="53">
    <w:abstractNumId w:val="31"/>
  </w:num>
  <w:num w:numId="54">
    <w:abstractNumId w:val="8"/>
  </w:num>
  <w:num w:numId="55">
    <w:abstractNumId w:val="22"/>
  </w:num>
  <w:num w:numId="56">
    <w:abstractNumId w:val="4"/>
  </w:num>
  <w:num w:numId="57">
    <w:abstractNumId w:val="29"/>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7194B"/>
    <w:rsid w:val="000A4381"/>
    <w:rsid w:val="000D6F02"/>
    <w:rsid w:val="00113A1A"/>
    <w:rsid w:val="00136811"/>
    <w:rsid w:val="00155FC4"/>
    <w:rsid w:val="001E651F"/>
    <w:rsid w:val="002642CF"/>
    <w:rsid w:val="002F2302"/>
    <w:rsid w:val="002F36D9"/>
    <w:rsid w:val="003045B7"/>
    <w:rsid w:val="003351B4"/>
    <w:rsid w:val="00346581"/>
    <w:rsid w:val="00470174"/>
    <w:rsid w:val="005137EC"/>
    <w:rsid w:val="00524412"/>
    <w:rsid w:val="00542942"/>
    <w:rsid w:val="00552DE8"/>
    <w:rsid w:val="006227CA"/>
    <w:rsid w:val="00632350"/>
    <w:rsid w:val="00695AC3"/>
    <w:rsid w:val="00795327"/>
    <w:rsid w:val="00801DB2"/>
    <w:rsid w:val="00884A43"/>
    <w:rsid w:val="008A4526"/>
    <w:rsid w:val="00A15CBF"/>
    <w:rsid w:val="00AD2260"/>
    <w:rsid w:val="00B00ECF"/>
    <w:rsid w:val="00B33598"/>
    <w:rsid w:val="00CB08ED"/>
    <w:rsid w:val="00D30889"/>
    <w:rsid w:val="00D73DC4"/>
    <w:rsid w:val="00E31C9E"/>
    <w:rsid w:val="00E40501"/>
    <w:rsid w:val="00E607FC"/>
    <w:rsid w:val="00E669FD"/>
    <w:rsid w:val="00E942B1"/>
    <w:rsid w:val="00EE6F7C"/>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BD53"/>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19.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6102</Words>
  <Characters>36614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13</cp:revision>
  <dcterms:created xsi:type="dcterms:W3CDTF">2019-05-16T11:15:00Z</dcterms:created>
  <dcterms:modified xsi:type="dcterms:W3CDTF">2019-09-17T08:25:00Z</dcterms:modified>
</cp:coreProperties>
</file>