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14" w:rsidRDefault="00EC2214" w:rsidP="00EC2214">
      <w:pPr>
        <w:pStyle w:val="Tytu"/>
        <w:jc w:val="center"/>
      </w:pPr>
    </w:p>
    <w:p w:rsidR="00EC2214" w:rsidRDefault="00EC2214" w:rsidP="00EC2214">
      <w:pPr>
        <w:pStyle w:val="Tytu"/>
        <w:jc w:val="center"/>
      </w:pPr>
    </w:p>
    <w:p w:rsidR="00EC2214" w:rsidRDefault="00EC2214" w:rsidP="00EC2214">
      <w:pPr>
        <w:pStyle w:val="Tytu"/>
        <w:jc w:val="center"/>
      </w:pPr>
    </w:p>
    <w:p w:rsidR="00EC2214" w:rsidRDefault="00EC2214" w:rsidP="00EC2214">
      <w:pPr>
        <w:pStyle w:val="Tytu"/>
        <w:jc w:val="center"/>
      </w:pPr>
    </w:p>
    <w:p w:rsidR="00EC2214" w:rsidRDefault="00EC2214" w:rsidP="00EC2214">
      <w:pPr>
        <w:pStyle w:val="Tytu"/>
        <w:jc w:val="center"/>
      </w:pPr>
    </w:p>
    <w:p w:rsidR="00EC2214" w:rsidRDefault="00EC2214" w:rsidP="00EC2214">
      <w:pPr>
        <w:pStyle w:val="Tytu"/>
        <w:jc w:val="center"/>
      </w:pPr>
    </w:p>
    <w:p w:rsidR="00EC2214" w:rsidRDefault="00EC2214" w:rsidP="00EC2214">
      <w:pPr>
        <w:pStyle w:val="Tytu"/>
        <w:jc w:val="center"/>
      </w:pPr>
    </w:p>
    <w:p w:rsidR="00EC2214" w:rsidRDefault="00EC2214" w:rsidP="00EC2214">
      <w:pPr>
        <w:pStyle w:val="Tytu"/>
        <w:jc w:val="center"/>
      </w:pPr>
      <w:r>
        <w:t>BILANS TERENÓW ZABUDOWANYCH</w:t>
      </w:r>
    </w:p>
    <w:p w:rsidR="00EC2214" w:rsidRDefault="00EC2214" w:rsidP="00EC2214">
      <w:pPr>
        <w:pStyle w:val="Tytu"/>
        <w:jc w:val="center"/>
      </w:pPr>
      <w:r w:rsidRPr="004E3C7D">
        <w:t>GMINY</w:t>
      </w:r>
      <w:r>
        <w:t xml:space="preserve"> PIEKOSZÓW</w:t>
      </w:r>
    </w:p>
    <w:p w:rsidR="00EC2214" w:rsidRDefault="00EC2214" w:rsidP="00EC2214">
      <w:pPr>
        <w:pStyle w:val="Podtytu"/>
        <w:jc w:val="center"/>
      </w:pPr>
      <w:r>
        <w:t>Bilans terenów zabudowanych, o którym mowa w art. 10 ust. 1 pkt 7 ustawy o planowaniu i zagospodarowaniu przestrzennym wykonany na potrzeby:</w:t>
      </w:r>
      <w:r>
        <w:br/>
        <w:t>„ Studium uwarunkowań i kierunków zagospodarowania przestrzennego Gminy Piekoszów”</w:t>
      </w:r>
    </w:p>
    <w:p w:rsidR="00EC2214" w:rsidRPr="000C6DF9" w:rsidRDefault="00EC2214" w:rsidP="00EC2214">
      <w:pPr>
        <w:pStyle w:val="Nagwek1"/>
        <w:spacing w:line="360" w:lineRule="auto"/>
        <w:rPr>
          <w:rFonts w:cs="Arial"/>
          <w:sz w:val="20"/>
          <w:szCs w:val="20"/>
        </w:rPr>
      </w:pPr>
      <w:r w:rsidRPr="000C6DF9">
        <w:rPr>
          <w:rFonts w:cs="Arial"/>
          <w:sz w:val="20"/>
          <w:szCs w:val="20"/>
        </w:rPr>
        <w:lastRenderedPageBreak/>
        <w:t>BILANS TERENÓW</w:t>
      </w:r>
    </w:p>
    <w:p w:rsidR="00EC2214" w:rsidRPr="000C6DF9" w:rsidRDefault="00EC2214" w:rsidP="00EC2214">
      <w:pPr>
        <w:pStyle w:val="Nagwek2"/>
        <w:rPr>
          <w:rFonts w:cs="Arial"/>
          <w:sz w:val="20"/>
          <w:szCs w:val="20"/>
        </w:rPr>
      </w:pPr>
      <w:r w:rsidRPr="000C6DF9">
        <w:rPr>
          <w:rFonts w:cs="Arial"/>
          <w:sz w:val="20"/>
          <w:szCs w:val="20"/>
        </w:rPr>
        <w:t>MAKSYMALNE ZAPOTRZEBOWANIE NA NOWĄ ZABUDOWę w skali gminy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Zgodnie z art. 10 ust 5 pkt 1 na początku sporządzania bilansu formuje się maksymalne zapotrzebowanie na nową zabudowę wyrażone w powierzchni użytkowej zabudowy. Z uwagi na brak legalnej definicji przez powierzchnię użytkową zabudowy na potrzeby niniejszego bilansu rozumie się iloczyn powierzchni zabudowy terenu i liczby kondygnacji na danym terenie.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Wyżej przedstawiony sposób liczenia powierzchni użytkowej może w sposób sztuczny zawyżyć niektóre powierzchnie użytkowe np.: w kopalni odkrywkowej do powierzchni użytkowej zaliczone zostały również te tereny, na których prowadzona będzie eksploatacji lub w terenach o funkcji rekreacyjnej do powierzchni użytkowej zostały wliczone tereny, które przeznaczone są pod niekubaturowe urządzenia sportowe.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Na potrzeby sporządzenia niniejszego bilansu przy szacowaniu zapotrzebowania na nową zabudowę wzięto pod uwagę analizy demograficzne, środowiskowego, społeczne oraz wydane w latach 1996-2016 decyzje o warunkach zabudowy i zagospodarowania terenu. Przy szacowaniu powierzchni użytkowej zabudowy założono następujące przyrosty </w:t>
      </w:r>
      <w:r w:rsidRPr="000C6DF9">
        <w:rPr>
          <w:rFonts w:ascii="Arial" w:hAnsi="Arial" w:cs="Arial"/>
          <w:i/>
          <w:sz w:val="20"/>
          <w:szCs w:val="20"/>
          <w:lang w:eastAsia="ar-SA"/>
        </w:rPr>
        <w:t>per capita</w:t>
      </w:r>
      <w:r w:rsidRPr="000C6DF9">
        <w:rPr>
          <w:rFonts w:ascii="Arial" w:hAnsi="Arial" w:cs="Arial"/>
          <w:sz w:val="20"/>
          <w:szCs w:val="20"/>
          <w:lang w:eastAsia="ar-SA"/>
        </w:rPr>
        <w:t xml:space="preserve"> w stosunku do istniejących wskaźników</w:t>
      </w:r>
      <w:r w:rsidRPr="000C6DF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C6DF9">
        <w:rPr>
          <w:rFonts w:ascii="Arial" w:hAnsi="Arial" w:cs="Arial"/>
          <w:sz w:val="20"/>
          <w:szCs w:val="20"/>
          <w:lang w:eastAsia="ar-SA"/>
        </w:rPr>
        <w:t>:</w:t>
      </w:r>
    </w:p>
    <w:p w:rsidR="00EC2214" w:rsidRPr="000C6DF9" w:rsidRDefault="00EC2214" w:rsidP="00EC221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Dla zabudowy mieszkaniowej i mieszkaniowo-usługowe wzrost o 250 m</w:t>
      </w:r>
      <w:r w:rsidRPr="000C6DF9">
        <w:rPr>
          <w:rFonts w:ascii="Arial" w:hAnsi="Arial" w:cs="Arial"/>
          <w:sz w:val="20"/>
          <w:szCs w:val="20"/>
          <w:vertAlign w:val="superscript"/>
          <w:lang w:eastAsia="ar-SA"/>
        </w:rPr>
        <w:t>2</w:t>
      </w:r>
      <w:r w:rsidRPr="000C6DF9">
        <w:rPr>
          <w:rFonts w:ascii="Arial" w:hAnsi="Arial" w:cs="Arial"/>
          <w:sz w:val="20"/>
          <w:szCs w:val="20"/>
          <w:lang w:eastAsia="ar-SA"/>
        </w:rPr>
        <w:t>/os.;</w:t>
      </w:r>
    </w:p>
    <w:p w:rsidR="00EC2214" w:rsidRPr="000C6DF9" w:rsidRDefault="00EC2214" w:rsidP="00EC221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Dla działalności gospodarczej i usług wzrost o 45 m</w:t>
      </w:r>
      <w:r w:rsidRPr="000C6DF9">
        <w:rPr>
          <w:rFonts w:ascii="Arial" w:hAnsi="Arial" w:cs="Arial"/>
          <w:sz w:val="20"/>
          <w:szCs w:val="20"/>
          <w:vertAlign w:val="superscript"/>
          <w:lang w:eastAsia="ar-SA"/>
        </w:rPr>
        <w:t>2</w:t>
      </w:r>
      <w:r w:rsidRPr="000C6DF9">
        <w:rPr>
          <w:rFonts w:ascii="Arial" w:hAnsi="Arial" w:cs="Arial"/>
          <w:sz w:val="20"/>
          <w:szCs w:val="20"/>
          <w:lang w:eastAsia="ar-SA"/>
        </w:rPr>
        <w:t>/os.;</w:t>
      </w:r>
    </w:p>
    <w:p w:rsidR="00EC2214" w:rsidRPr="000C6DF9" w:rsidRDefault="00EC2214" w:rsidP="00EC221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Dla usług logistycznych i produkcji wzrost o 40 m</w:t>
      </w:r>
      <w:r w:rsidRPr="000C6DF9">
        <w:rPr>
          <w:rFonts w:ascii="Arial" w:hAnsi="Arial" w:cs="Arial"/>
          <w:sz w:val="20"/>
          <w:szCs w:val="20"/>
          <w:vertAlign w:val="superscript"/>
          <w:lang w:eastAsia="ar-SA"/>
        </w:rPr>
        <w:t>2</w:t>
      </w:r>
      <w:r w:rsidRPr="000C6DF9">
        <w:rPr>
          <w:rFonts w:ascii="Arial" w:hAnsi="Arial" w:cs="Arial"/>
          <w:sz w:val="20"/>
          <w:szCs w:val="20"/>
          <w:lang w:eastAsia="ar-SA"/>
        </w:rPr>
        <w:t>/os.;</w:t>
      </w:r>
    </w:p>
    <w:p w:rsidR="00EC2214" w:rsidRPr="000C6DF9" w:rsidRDefault="00EC2214" w:rsidP="00EC221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Dla zabudowy przemysłowej, produkcyjnej magazynowo składowe (w tym związane z eksploatacją złóż) wzrost o 55 m</w:t>
      </w:r>
      <w:r w:rsidRPr="000C6DF9">
        <w:rPr>
          <w:rFonts w:ascii="Arial" w:hAnsi="Arial" w:cs="Arial"/>
          <w:sz w:val="20"/>
          <w:szCs w:val="20"/>
          <w:vertAlign w:val="superscript"/>
          <w:lang w:eastAsia="ar-SA"/>
        </w:rPr>
        <w:t>2</w:t>
      </w:r>
      <w:r w:rsidRPr="000C6DF9">
        <w:rPr>
          <w:rFonts w:ascii="Arial" w:hAnsi="Arial" w:cs="Arial"/>
          <w:sz w:val="20"/>
          <w:szCs w:val="20"/>
          <w:lang w:eastAsia="ar-SA"/>
        </w:rPr>
        <w:t>/os.;</w:t>
      </w:r>
    </w:p>
    <w:p w:rsidR="00EC2214" w:rsidRPr="000C6DF9" w:rsidRDefault="00EC2214" w:rsidP="00EC221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Dla zabudowy sportowo rekreacyjnej wzrost o 10 m</w:t>
      </w:r>
      <w:r w:rsidRPr="000C6DF9">
        <w:rPr>
          <w:rFonts w:ascii="Arial" w:hAnsi="Arial" w:cs="Arial"/>
          <w:sz w:val="20"/>
          <w:szCs w:val="20"/>
          <w:vertAlign w:val="superscript"/>
          <w:lang w:eastAsia="ar-SA"/>
        </w:rPr>
        <w:t>2</w:t>
      </w:r>
      <w:r w:rsidRPr="000C6DF9">
        <w:rPr>
          <w:rFonts w:ascii="Arial" w:hAnsi="Arial" w:cs="Arial"/>
          <w:sz w:val="20"/>
          <w:szCs w:val="20"/>
          <w:lang w:eastAsia="ar-SA"/>
        </w:rPr>
        <w:t>/os..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Przyjęte maksymalne zapotrzebowanie na nową zabudowę wyrażone w powierzchni użytkowej w skali gminy w podziale na główne funkcje przedstawiono w poniższej tabeli.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EC2214" w:rsidRPr="000C6DF9" w:rsidTr="00D337B2">
        <w:tc>
          <w:tcPr>
            <w:tcW w:w="5778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Funkcja (główny kierunek zagospodarowania)</w:t>
            </w:r>
          </w:p>
        </w:tc>
        <w:tc>
          <w:tcPr>
            <w:tcW w:w="3434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Powierzchnia użytkowa (ha)</w:t>
            </w:r>
          </w:p>
        </w:tc>
      </w:tr>
      <w:tr w:rsidR="00EC2214" w:rsidRPr="000C6DF9" w:rsidTr="00D337B2">
        <w:tc>
          <w:tcPr>
            <w:tcW w:w="5778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Tereny mieszkaniowe i mieszkaniowo-usługowe</w:t>
            </w:r>
          </w:p>
        </w:tc>
        <w:tc>
          <w:tcPr>
            <w:tcW w:w="3434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600</w:t>
            </w:r>
          </w:p>
        </w:tc>
      </w:tr>
      <w:tr w:rsidR="00EC2214" w:rsidRPr="000C6DF9" w:rsidTr="00D337B2">
        <w:tc>
          <w:tcPr>
            <w:tcW w:w="5778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Tereny działalności gospodarczej i usług:</w:t>
            </w:r>
          </w:p>
        </w:tc>
        <w:tc>
          <w:tcPr>
            <w:tcW w:w="3434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130</w:t>
            </w:r>
          </w:p>
        </w:tc>
      </w:tr>
      <w:tr w:rsidR="00EC2214" w:rsidRPr="000C6DF9" w:rsidTr="00D337B2">
        <w:tc>
          <w:tcPr>
            <w:tcW w:w="5778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Tereny usług logistycznych i produkcji:</w:t>
            </w:r>
          </w:p>
        </w:tc>
        <w:tc>
          <w:tcPr>
            <w:tcW w:w="3434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70</w:t>
            </w:r>
          </w:p>
        </w:tc>
      </w:tr>
      <w:tr w:rsidR="00EC2214" w:rsidRPr="00DC33E8" w:rsidTr="00D337B2">
        <w:tc>
          <w:tcPr>
            <w:tcW w:w="5778" w:type="dxa"/>
            <w:shd w:val="clear" w:color="auto" w:fill="auto"/>
          </w:tcPr>
          <w:p w:rsidR="00EC2214" w:rsidRPr="00DC33E8" w:rsidRDefault="00EC2214" w:rsidP="00D337B2">
            <w:pPr>
              <w:spacing w:after="0"/>
              <w:rPr>
                <w:lang w:eastAsia="ar-SA"/>
              </w:rPr>
            </w:pPr>
            <w:r w:rsidRPr="00DC33E8">
              <w:rPr>
                <w:lang w:eastAsia="ar-SA"/>
              </w:rPr>
              <w:t>Tereny przemysłowe, produkcyjne, magazynowo składowe (w tym związane z eksploatacją złóż):</w:t>
            </w:r>
          </w:p>
        </w:tc>
        <w:tc>
          <w:tcPr>
            <w:tcW w:w="3434" w:type="dxa"/>
            <w:shd w:val="clear" w:color="auto" w:fill="auto"/>
          </w:tcPr>
          <w:p w:rsidR="00EC2214" w:rsidRPr="00DC33E8" w:rsidRDefault="00EC2214" w:rsidP="00D337B2">
            <w:pPr>
              <w:spacing w:after="0"/>
              <w:jc w:val="center"/>
              <w:rPr>
                <w:lang w:eastAsia="ar-SA"/>
              </w:rPr>
            </w:pPr>
            <w:r w:rsidRPr="00DC33E8">
              <w:rPr>
                <w:lang w:eastAsia="ar-SA"/>
              </w:rPr>
              <w:t>100</w:t>
            </w:r>
          </w:p>
        </w:tc>
      </w:tr>
      <w:tr w:rsidR="00EC2214" w:rsidRPr="00DC33E8" w:rsidTr="00D337B2">
        <w:tc>
          <w:tcPr>
            <w:tcW w:w="5778" w:type="dxa"/>
            <w:shd w:val="clear" w:color="auto" w:fill="auto"/>
          </w:tcPr>
          <w:p w:rsidR="00EC2214" w:rsidRPr="00DC33E8" w:rsidRDefault="00EC2214" w:rsidP="00D337B2">
            <w:pPr>
              <w:spacing w:after="0"/>
              <w:rPr>
                <w:lang w:eastAsia="ar-SA"/>
              </w:rPr>
            </w:pPr>
            <w:r w:rsidRPr="00DC33E8">
              <w:rPr>
                <w:lang w:eastAsia="ar-SA"/>
              </w:rPr>
              <w:lastRenderedPageBreak/>
              <w:t>Tereny rozwoju funkcji sportowo-rekreacyjnej</w:t>
            </w:r>
          </w:p>
        </w:tc>
        <w:tc>
          <w:tcPr>
            <w:tcW w:w="3434" w:type="dxa"/>
            <w:shd w:val="clear" w:color="auto" w:fill="auto"/>
          </w:tcPr>
          <w:p w:rsidR="00EC2214" w:rsidRPr="00DC33E8" w:rsidRDefault="00EC2214" w:rsidP="00D337B2">
            <w:pPr>
              <w:spacing w:after="0"/>
              <w:jc w:val="center"/>
              <w:rPr>
                <w:lang w:eastAsia="ar-SA"/>
              </w:rPr>
            </w:pPr>
            <w:r w:rsidRPr="00DC33E8">
              <w:rPr>
                <w:lang w:eastAsia="ar-SA"/>
              </w:rPr>
              <w:t>20</w:t>
            </w:r>
          </w:p>
        </w:tc>
      </w:tr>
      <w:tr w:rsidR="00EC2214" w:rsidRPr="00DC33E8" w:rsidTr="00D337B2">
        <w:tc>
          <w:tcPr>
            <w:tcW w:w="5778" w:type="dxa"/>
            <w:shd w:val="clear" w:color="auto" w:fill="auto"/>
          </w:tcPr>
          <w:p w:rsidR="00EC2214" w:rsidRPr="00DC33E8" w:rsidRDefault="00EC2214" w:rsidP="00D337B2">
            <w:pPr>
              <w:spacing w:after="0"/>
              <w:rPr>
                <w:b/>
                <w:lang w:eastAsia="ar-SA"/>
              </w:rPr>
            </w:pPr>
            <w:r w:rsidRPr="00DC33E8">
              <w:rPr>
                <w:b/>
                <w:lang w:eastAsia="ar-SA"/>
              </w:rPr>
              <w:t>RAZEM</w:t>
            </w:r>
          </w:p>
        </w:tc>
        <w:tc>
          <w:tcPr>
            <w:tcW w:w="3434" w:type="dxa"/>
            <w:shd w:val="clear" w:color="auto" w:fill="auto"/>
          </w:tcPr>
          <w:p w:rsidR="00EC2214" w:rsidRPr="00DC33E8" w:rsidRDefault="00EC2214" w:rsidP="00D337B2">
            <w:pPr>
              <w:spacing w:after="0"/>
              <w:jc w:val="center"/>
              <w:rPr>
                <w:b/>
                <w:lang w:eastAsia="ar-SA"/>
              </w:rPr>
            </w:pPr>
            <w:r w:rsidRPr="00DC33E8">
              <w:rPr>
                <w:b/>
                <w:lang w:eastAsia="ar-SA"/>
              </w:rPr>
              <w:fldChar w:fldCharType="begin"/>
            </w:r>
            <w:r w:rsidRPr="00DC33E8">
              <w:rPr>
                <w:b/>
                <w:lang w:eastAsia="ar-SA"/>
              </w:rPr>
              <w:instrText xml:space="preserve"> =SUM(ABOVE) </w:instrText>
            </w:r>
            <w:r w:rsidRPr="00DC33E8">
              <w:rPr>
                <w:b/>
                <w:lang w:eastAsia="ar-SA"/>
              </w:rPr>
              <w:fldChar w:fldCharType="separate"/>
            </w:r>
            <w:r w:rsidRPr="00DC33E8">
              <w:rPr>
                <w:b/>
                <w:noProof/>
                <w:lang w:eastAsia="ar-SA"/>
              </w:rPr>
              <w:t>920</w:t>
            </w:r>
            <w:r w:rsidRPr="00DC33E8">
              <w:rPr>
                <w:b/>
                <w:lang w:eastAsia="ar-SA"/>
              </w:rPr>
              <w:fldChar w:fldCharType="end"/>
            </w:r>
          </w:p>
        </w:tc>
      </w:tr>
    </w:tbl>
    <w:p w:rsidR="00EC2214" w:rsidRDefault="00EC2214" w:rsidP="00EC2214">
      <w:pPr>
        <w:rPr>
          <w:lang w:eastAsia="ar-SA"/>
        </w:rPr>
      </w:pPr>
    </w:p>
    <w:p w:rsidR="00EC2214" w:rsidRPr="000C6DF9" w:rsidRDefault="00EC2214" w:rsidP="00EC2214">
      <w:pPr>
        <w:pStyle w:val="Nagwek2"/>
        <w:rPr>
          <w:rFonts w:cs="Arial"/>
          <w:sz w:val="20"/>
          <w:szCs w:val="20"/>
        </w:rPr>
      </w:pPr>
      <w:r w:rsidRPr="000C6DF9">
        <w:rPr>
          <w:rFonts w:cs="Arial"/>
          <w:sz w:val="20"/>
          <w:szCs w:val="20"/>
        </w:rPr>
        <w:t>Chłonność terenów o wpełni wykształconej zwartej strukturze funkcjonlano-przestrzennej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Z uwagi na lokalne uwarunkowania w celu wyznaczenia terenów o w pełni wykształconej zwartej strukturze funkcjonalno-przestrzennej za kryteria wyznaczenia tych obszarów przyjęto:</w:t>
      </w:r>
    </w:p>
    <w:p w:rsidR="00EC2214" w:rsidRPr="000C6DF9" w:rsidRDefault="00EC2214" w:rsidP="00EC221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Maksymalna odległość od rozdzielczej sieci wodociągowej nie może być większa niż 75m;</w:t>
      </w:r>
    </w:p>
    <w:p w:rsidR="00EC2214" w:rsidRPr="000C6DF9" w:rsidRDefault="00EC2214" w:rsidP="00EC221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Obszar musi posiadać dostęp do drogi publicznej;</w:t>
      </w:r>
    </w:p>
    <w:p w:rsidR="00EC2214" w:rsidRPr="000C6DF9" w:rsidRDefault="00EC2214" w:rsidP="00EC221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Na obszarze muszą znajdować się istniejące skupiska zabudowy mieszkaniowej, usługowej, przemysłowej lub mieszkaniowo-usługowej;</w:t>
      </w:r>
    </w:p>
    <w:p w:rsidR="00EC2214" w:rsidRPr="000C6DF9" w:rsidRDefault="00EC2214" w:rsidP="00EC221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Do obszarów nie są zaliczone te tereny, które leżą pomiędzy poszczególnymi miejscowościami mimo wyposażenia w sieć wodociągową i dostęp do drogi publicznej;</w:t>
      </w:r>
    </w:p>
    <w:p w:rsidR="00EC2214" w:rsidRPr="000C6DF9" w:rsidRDefault="00EC2214" w:rsidP="00EC221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Do obszarów nie są zaliczane obszary lasów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W celu wyznaczenia obszarów funkcjonalnych zastosowano narzędzi GIS stosując następujący algorytm</w:t>
      </w:r>
    </w:p>
    <w:p w:rsidR="00EC2214" w:rsidRPr="000C6DF9" w:rsidRDefault="00EC2214" w:rsidP="00EC2214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Wyznaczenie bufora </w:t>
      </w:r>
      <w:smartTag w:uri="urn:schemas-microsoft-com:office:smarttags" w:element="metricconverter">
        <w:smartTagPr>
          <w:attr w:name="ProductID" w:val="75 m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75 m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 od wodociągów</w:t>
      </w:r>
    </w:p>
    <w:p w:rsidR="00EC2214" w:rsidRPr="000C6DF9" w:rsidRDefault="00EC2214" w:rsidP="00EC2214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Z wyznaczonego obszaru o szerokości </w:t>
      </w:r>
      <w:smartTag w:uri="urn:schemas-microsoft-com:office:smarttags" w:element="metricconverter">
        <w:smartTagPr>
          <w:attr w:name="ProductID" w:val="150 metr￳w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150 metrów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 (po </w:t>
      </w:r>
      <w:smartTag w:uri="urn:schemas-microsoft-com:office:smarttags" w:element="metricconverter">
        <w:smartTagPr>
          <w:attr w:name="ProductID" w:val="75 m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75 m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 w każdą stronę) usunięto obszary bez dostępu do dróg publicznych</w:t>
      </w:r>
    </w:p>
    <w:p w:rsidR="00EC2214" w:rsidRPr="000C6DF9" w:rsidRDefault="00EC2214" w:rsidP="00EC2214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Z obszarów uzyskanych w pkt 2 usunięto obszary, które nie znajdowały się w pobliżu skupisk istniejącej zabudowy zinwentaryzowanych lub znajdowały się na obszarach leśnych na planszy uwarunkowań.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Dzięki zastosowaniu ww. algorytmu wyznaczono zwarte obszary funkcjonalno-przestrzenne, które odpowiadały zasięgom istniejącej zabudowy o łącznej powierzchni </w:t>
      </w:r>
      <w:smartTag w:uri="urn:schemas-microsoft-com:office:smarttags" w:element="metricconverter">
        <w:smartTagPr>
          <w:attr w:name="ProductID" w:val="410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410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Z uwagi na istniejący charakter zabudowy występującej na terenach o wykształconej strukturze funkcjonalno-przestrzennej wykluczono lokalizowanie nowej zabudowy przemysłowej, produkcyjnej, magazynowo składowej z uwagi na możliwe konflikty społeczne, które wiążą się z takim sąsiedztwem. 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Szacuje się następujące udziały poszczególnych funkcji terenów, że:</w:t>
      </w:r>
    </w:p>
    <w:p w:rsidR="00EC2214" w:rsidRPr="000C6DF9" w:rsidRDefault="00EC2214" w:rsidP="00EC2214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75% tereny mieszkaniowe i mieszkaniowo-usługowe;</w:t>
      </w:r>
    </w:p>
    <w:p w:rsidR="00EC2214" w:rsidRPr="000C6DF9" w:rsidRDefault="00EC2214" w:rsidP="00EC2214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20% tereny działalności gospodarczej i usług;</w:t>
      </w:r>
    </w:p>
    <w:p w:rsidR="00EC2214" w:rsidRPr="000C6DF9" w:rsidRDefault="00EC2214" w:rsidP="00EC2214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5% tereny rozwoju funkcji sportowo-rekreacyjnej. Zgodnie z przyjętym podziałem.</w:t>
      </w:r>
    </w:p>
    <w:p w:rsidR="00EC2214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Poniższa tabela przedstawia chłonność terenów o w pełni wykształconej zwartej strukturze funkcjonalno-przestrzennej w powierzchni użytkowej zabudowy.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EC2214" w:rsidRPr="000C6DF9" w:rsidTr="00D337B2">
        <w:tc>
          <w:tcPr>
            <w:tcW w:w="5778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Funkcja (główny kierunek zagospodarowania)</w:t>
            </w:r>
          </w:p>
        </w:tc>
        <w:tc>
          <w:tcPr>
            <w:tcW w:w="3434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Powierzchnia użytkowa (ha)</w:t>
            </w:r>
          </w:p>
        </w:tc>
      </w:tr>
      <w:tr w:rsidR="00EC2214" w:rsidRPr="000C6DF9" w:rsidTr="00D337B2">
        <w:tc>
          <w:tcPr>
            <w:tcW w:w="5778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Tereny mieszkaniowe i mieszkaniowo-usługowe</w:t>
            </w:r>
          </w:p>
        </w:tc>
        <w:tc>
          <w:tcPr>
            <w:tcW w:w="3434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396</w:t>
            </w:r>
          </w:p>
        </w:tc>
      </w:tr>
      <w:tr w:rsidR="00EC2214" w:rsidRPr="000C6DF9" w:rsidTr="00D337B2">
        <w:tc>
          <w:tcPr>
            <w:tcW w:w="5778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Tereny działalności gospodarczej i usług:</w:t>
            </w:r>
          </w:p>
        </w:tc>
        <w:tc>
          <w:tcPr>
            <w:tcW w:w="3434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98</w:t>
            </w:r>
          </w:p>
        </w:tc>
      </w:tr>
      <w:tr w:rsidR="00EC2214" w:rsidRPr="000C6DF9" w:rsidTr="00D337B2">
        <w:tc>
          <w:tcPr>
            <w:tcW w:w="5778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Tereny rozwoju funkcji sportowo-rekreacyjnej</w:t>
            </w:r>
          </w:p>
        </w:tc>
        <w:tc>
          <w:tcPr>
            <w:tcW w:w="3434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6,15</w:t>
            </w:r>
          </w:p>
        </w:tc>
      </w:tr>
    </w:tbl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EC2214" w:rsidRPr="000C6DF9" w:rsidRDefault="00EC2214" w:rsidP="00EC2214">
      <w:pPr>
        <w:pStyle w:val="Nagwek2"/>
        <w:rPr>
          <w:rFonts w:cs="Arial"/>
          <w:sz w:val="20"/>
          <w:szCs w:val="20"/>
        </w:rPr>
      </w:pPr>
      <w:r w:rsidRPr="000C6DF9">
        <w:rPr>
          <w:rFonts w:cs="Arial"/>
          <w:sz w:val="20"/>
          <w:szCs w:val="20"/>
        </w:rPr>
        <w:t xml:space="preserve">chłonność obszarów połoźonych w granicach obowiązujących planów zagospodarowania przestrzennego 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Zgodnie z danymi Głównego Urzędu Statystycznego łączna powierzchnia wszystkich obowiązujących planów zagospodarowania wynosi </w:t>
      </w:r>
      <w:smartTag w:uri="urn:schemas-microsoft-com:office:smarttags" w:element="metricconverter">
        <w:smartTagPr>
          <w:attr w:name="ProductID" w:val="71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71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 i stanowi zaledwie 0,7% powierzchni gminy. Na obszarze gminy obowiązuje łącznie 33 planów.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Około </w:t>
      </w:r>
      <w:smartTag w:uri="urn:schemas-microsoft-com:office:smarttags" w:element="metricconverter">
        <w:smartTagPr>
          <w:attr w:name="ProductID" w:val="38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38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 jest przeznaczonych jest na cele inne niż rolne i leśne i leży poza granicami zwartych jednostek funkcjonalno-przestrzennych, z czego:</w:t>
      </w:r>
    </w:p>
    <w:p w:rsidR="00EC2214" w:rsidRPr="000C6DF9" w:rsidRDefault="00EC2214" w:rsidP="00EC2214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  <w:lang w:eastAsia="ar-SA"/>
        </w:rPr>
      </w:pPr>
      <w:smartTag w:uri="urn:schemas-microsoft-com:office:smarttags" w:element="metricconverter">
        <w:smartTagPr>
          <w:attr w:name="ProductID" w:val="1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1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 przeznaczony jest pod eksploatację złóż</w:t>
      </w:r>
    </w:p>
    <w:p w:rsidR="00EC2214" w:rsidRPr="000C6DF9" w:rsidRDefault="00EC2214" w:rsidP="00EC2214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  <w:lang w:eastAsia="ar-SA"/>
        </w:rPr>
      </w:pPr>
      <w:smartTag w:uri="urn:schemas-microsoft-com:office:smarttags" w:element="metricconverter">
        <w:smartTagPr>
          <w:attr w:name="ProductID" w:val="1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1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 jest przeznaczony pod usługi</w:t>
      </w:r>
    </w:p>
    <w:p w:rsidR="00EC2214" w:rsidRPr="000C6DF9" w:rsidRDefault="00EC2214" w:rsidP="00EC2214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  <w:lang w:eastAsia="ar-SA"/>
        </w:rPr>
      </w:pPr>
      <w:smartTag w:uri="urn:schemas-microsoft-com:office:smarttags" w:element="metricconverter">
        <w:smartTagPr>
          <w:attr w:name="ProductID" w:val="36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36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 jest przeznaczonych na cele mieszkaniowe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Według obowiązujących planów chłonność obszarów tych terenów wyrażona w powierzchni użytkowej wynosi:</w:t>
      </w:r>
    </w:p>
    <w:p w:rsidR="00EC2214" w:rsidRPr="000C6DF9" w:rsidRDefault="00EC2214" w:rsidP="00EC2214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Dla zabudowy związanej z eksploatacją złóż – ok </w:t>
      </w:r>
      <w:smartTag w:uri="urn:schemas-microsoft-com:office:smarttags" w:element="metricconverter">
        <w:smartTagPr>
          <w:attr w:name="ProductID" w:val="0,8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0,8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>;</w:t>
      </w:r>
    </w:p>
    <w:p w:rsidR="00EC2214" w:rsidRPr="000C6DF9" w:rsidRDefault="00EC2214" w:rsidP="00EC2214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Dla zabudowy usługowej – ok </w:t>
      </w:r>
      <w:smartTag w:uri="urn:schemas-microsoft-com:office:smarttags" w:element="metricconverter">
        <w:smartTagPr>
          <w:attr w:name="ProductID" w:val="1,6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1,6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>;</w:t>
      </w:r>
    </w:p>
    <w:p w:rsidR="00EC2214" w:rsidRPr="000C6DF9" w:rsidRDefault="00EC2214" w:rsidP="00EC2214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Dla zabudowy mieszkaniowej – ok </w:t>
      </w:r>
      <w:smartTag w:uri="urn:schemas-microsoft-com:office:smarttags" w:element="metricconverter">
        <w:smartTagPr>
          <w:attr w:name="ProductID" w:val="43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43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>.</w:t>
      </w:r>
    </w:p>
    <w:p w:rsidR="00EC2214" w:rsidRPr="000C6DF9" w:rsidRDefault="00EC2214" w:rsidP="00EC2214">
      <w:pPr>
        <w:pStyle w:val="Nagwek2"/>
        <w:rPr>
          <w:rFonts w:cs="Arial"/>
          <w:sz w:val="20"/>
          <w:szCs w:val="20"/>
        </w:rPr>
      </w:pPr>
      <w:r w:rsidRPr="000C6DF9">
        <w:rPr>
          <w:rFonts w:cs="Arial"/>
          <w:sz w:val="20"/>
          <w:szCs w:val="20"/>
        </w:rPr>
        <w:t>Porównanie maksymalnego zapotrzebowania na nową zabudowę, chłonności terenów polożonych w zwartych jednostkach strukturalno-przestrzennych oraz terenów znajdujących się poza granicami tych jednostek, a w granicach obowiązujących planów.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263"/>
        <w:gridCol w:w="2116"/>
        <w:gridCol w:w="2040"/>
        <w:gridCol w:w="1166"/>
      </w:tblGrid>
      <w:tr w:rsidR="00EC2214" w:rsidRPr="000C6DF9" w:rsidTr="00D337B2">
        <w:tc>
          <w:tcPr>
            <w:tcW w:w="170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Zapotrzebowanie</w:t>
            </w:r>
          </w:p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(ha)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Chłonność zwartych jednostek strukturalno-przestrzennych</w:t>
            </w:r>
          </w:p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(ha)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Chłonność obszarów objętych planami leżących poza granicami zwartych jednostek strukturalnych</w:t>
            </w:r>
          </w:p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(ha)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Różnica</w:t>
            </w:r>
          </w:p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(2-3-4)</w:t>
            </w:r>
          </w:p>
        </w:tc>
      </w:tr>
      <w:tr w:rsidR="00EC2214" w:rsidRPr="000C6DF9" w:rsidTr="00D337B2">
        <w:tc>
          <w:tcPr>
            <w:tcW w:w="170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EC2214" w:rsidRPr="000C6DF9" w:rsidTr="00D337B2">
        <w:tc>
          <w:tcPr>
            <w:tcW w:w="170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 xml:space="preserve">Tereny mieszkaniowe i </w:t>
            </w: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mieszkaniowo-usługowe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600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161</w:t>
            </w:r>
          </w:p>
        </w:tc>
      </w:tr>
      <w:tr w:rsidR="00EC2214" w:rsidRPr="000C6DF9" w:rsidTr="00D337B2">
        <w:tc>
          <w:tcPr>
            <w:tcW w:w="170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Tereny działalności gospodarczej i usług: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30,4</w:t>
            </w:r>
          </w:p>
        </w:tc>
      </w:tr>
      <w:tr w:rsidR="00EC2214" w:rsidRPr="000C6DF9" w:rsidTr="00D337B2">
        <w:tc>
          <w:tcPr>
            <w:tcW w:w="170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Tereny usług logistycznych i produkcji: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70</w:t>
            </w:r>
          </w:p>
        </w:tc>
      </w:tr>
      <w:tr w:rsidR="00EC2214" w:rsidRPr="000C6DF9" w:rsidTr="00D337B2">
        <w:tc>
          <w:tcPr>
            <w:tcW w:w="170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Tereny przemysłowe, produkcyjne, magazynowo składowe (w tym związane z eksploatacją złóż):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99,2</w:t>
            </w:r>
          </w:p>
        </w:tc>
      </w:tr>
      <w:tr w:rsidR="00EC2214" w:rsidRPr="000C6DF9" w:rsidTr="00D337B2">
        <w:tc>
          <w:tcPr>
            <w:tcW w:w="170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Tereny rozwoju funkcji sportowo-rekreacyjnej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6,15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C2214" w:rsidRPr="000C6DF9" w:rsidRDefault="00EC2214" w:rsidP="00D337B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C6DF9">
              <w:rPr>
                <w:rFonts w:ascii="Arial" w:hAnsi="Arial" w:cs="Arial"/>
                <w:sz w:val="20"/>
                <w:szCs w:val="20"/>
                <w:lang w:eastAsia="ar-SA"/>
              </w:rPr>
              <w:t>13,85</w:t>
            </w:r>
          </w:p>
        </w:tc>
      </w:tr>
    </w:tbl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EC2214" w:rsidRPr="000C6DF9" w:rsidRDefault="00EC2214" w:rsidP="00EC2214">
      <w:pPr>
        <w:pStyle w:val="Nagwek2"/>
        <w:rPr>
          <w:rFonts w:cs="Arial"/>
          <w:sz w:val="20"/>
          <w:szCs w:val="20"/>
        </w:rPr>
      </w:pPr>
      <w:r w:rsidRPr="000C6DF9">
        <w:rPr>
          <w:rFonts w:cs="Arial"/>
          <w:sz w:val="20"/>
          <w:szCs w:val="20"/>
        </w:rPr>
        <w:t>Wnioski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Zgodnie z dyspozycją art. 10 ust. 5 pkt 4 lit b, jeżeli zapotrzebowanie na nową zabudowę w podziale na funkcję przekracza sumę powierzchni użytkowej w obszarach jednostek strukturalnych i na obszarach objętych planami to bilans terenów pod zabudowę </w:t>
      </w:r>
      <w:r w:rsidRPr="000C6DF9">
        <w:rPr>
          <w:rFonts w:ascii="Arial" w:hAnsi="Arial" w:cs="Arial"/>
          <w:sz w:val="20"/>
          <w:szCs w:val="20"/>
        </w:rPr>
        <w:t>uzupełnia się o różnicę tych wielkości wyrażoną w powierzchni użytkowej zabudowy, w podziale na funkcje zabudowy, i przewiduje się lokalizację nowej zabudowy poza obszarami zwartych jednostek strukturalno-przestrzennych oraz poza obszarami obowiązujących planów zagospodarowania przestrzennego.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6DF9">
        <w:rPr>
          <w:rFonts w:ascii="Arial" w:hAnsi="Arial" w:cs="Arial"/>
          <w:sz w:val="20"/>
          <w:szCs w:val="20"/>
        </w:rPr>
        <w:t>Zgodnie z dyspozycją wyżej zacytowanego artykułu można wyznaczyć dodatkowe</w:t>
      </w:r>
      <w:r w:rsidRPr="000C6DF9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C6DF9">
        <w:rPr>
          <w:rFonts w:ascii="Arial" w:hAnsi="Arial" w:cs="Arial"/>
          <w:sz w:val="20"/>
          <w:szCs w:val="20"/>
        </w:rPr>
        <w:t>:</w:t>
      </w:r>
    </w:p>
    <w:p w:rsidR="00EC2214" w:rsidRPr="000C6DF9" w:rsidRDefault="00EC2214" w:rsidP="00EC2214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eastAsia="ar-SA"/>
        </w:rPr>
      </w:pPr>
      <w:smartTag w:uri="urn:schemas-microsoft-com:office:smarttags" w:element="metricconverter">
        <w:smartTagPr>
          <w:attr w:name="ProductID" w:val="161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161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 pod tereny mieszkaniowe i mieszkaniowo-usługowe</w:t>
      </w:r>
    </w:p>
    <w:p w:rsidR="00EC2214" w:rsidRPr="000C6DF9" w:rsidRDefault="00EC2214" w:rsidP="00EC2214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eastAsia="ar-SA"/>
        </w:rPr>
      </w:pPr>
      <w:smartTag w:uri="urn:schemas-microsoft-com:office:smarttags" w:element="metricconverter">
        <w:smartTagPr>
          <w:attr w:name="ProductID" w:val="30,4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30,4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 pod tereny działalności gospodarczej i usług</w:t>
      </w:r>
    </w:p>
    <w:p w:rsidR="00EC2214" w:rsidRPr="000C6DF9" w:rsidRDefault="00EC2214" w:rsidP="00EC2214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eastAsia="ar-SA"/>
        </w:rPr>
      </w:pPr>
      <w:smartTag w:uri="urn:schemas-microsoft-com:office:smarttags" w:element="metricconverter">
        <w:smartTagPr>
          <w:attr w:name="ProductID" w:val="70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70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 pod tereny usług logistycznych i produkcji</w:t>
      </w:r>
    </w:p>
    <w:p w:rsidR="00EC2214" w:rsidRPr="000C6DF9" w:rsidRDefault="00EC2214" w:rsidP="00EC2214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eastAsia="ar-SA"/>
        </w:rPr>
      </w:pPr>
      <w:smartTag w:uri="urn:schemas-microsoft-com:office:smarttags" w:element="metricconverter">
        <w:smartTagPr>
          <w:attr w:name="ProductID" w:val="99,2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99,2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 pod tereny przemysłowe, produkcyjne, magazynowo składowe (w tym związane z eksploatacją złóż</w:t>
      </w:r>
    </w:p>
    <w:p w:rsidR="00EC2214" w:rsidRPr="000C6DF9" w:rsidRDefault="00EC2214" w:rsidP="00EC2214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eastAsia="ar-SA"/>
        </w:rPr>
      </w:pPr>
      <w:smartTag w:uri="urn:schemas-microsoft-com:office:smarttags" w:element="metricconverter">
        <w:smartTagPr>
          <w:attr w:name="ProductID" w:val="13,85 ha"/>
        </w:smartTagPr>
        <w:r w:rsidRPr="000C6DF9">
          <w:rPr>
            <w:rFonts w:ascii="Arial" w:hAnsi="Arial" w:cs="Arial"/>
            <w:sz w:val="20"/>
            <w:szCs w:val="20"/>
            <w:lang w:eastAsia="ar-SA"/>
          </w:rPr>
          <w:t>13,85 ha</w:t>
        </w:r>
      </w:smartTag>
      <w:r w:rsidRPr="000C6DF9">
        <w:rPr>
          <w:rFonts w:ascii="Arial" w:hAnsi="Arial" w:cs="Arial"/>
          <w:sz w:val="20"/>
          <w:szCs w:val="20"/>
          <w:lang w:eastAsia="ar-SA"/>
        </w:rPr>
        <w:t xml:space="preserve"> pod tereny rozwoju funkcji sportowo-rekreacyjnej.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lastRenderedPageBreak/>
        <w:t>Zgodnie z art. 10 ust. 7 pkt 2 ustawy o planowaniu i zagospodarowaniu przestrzennym nie można wykluczyć niepewności procesów rozwojowych wyrażającą się możliwością zwiększenia zapotrzebowania w stosunku do wyników analiz o nie więcej niż o 30%.</w:t>
      </w:r>
    </w:p>
    <w:p w:rsidR="00EC2214" w:rsidRPr="000C6DF9" w:rsidRDefault="00EC2214" w:rsidP="00EC2214">
      <w:pPr>
        <w:pStyle w:val="Nagwek2"/>
        <w:rPr>
          <w:rFonts w:cs="Arial"/>
          <w:sz w:val="20"/>
          <w:szCs w:val="20"/>
        </w:rPr>
      </w:pPr>
      <w:r w:rsidRPr="000C6DF9">
        <w:rPr>
          <w:rFonts w:cs="Arial"/>
          <w:sz w:val="20"/>
          <w:szCs w:val="20"/>
        </w:rPr>
        <w:t>Określenie potrzeb inwestycyjnych gminy piekoszów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Zgodnie z dyspozycją art. 10 ust. 5 pkt 5 szacuje się potrzeby inwestycyjne gminy wynikające z konieczności realizacji zadań własnych. Zgodnie z ustawą o samorządzie gminnym jednymi z najważniejszych zadań własnych gmin są sprawy związany z:</w:t>
      </w:r>
    </w:p>
    <w:p w:rsidR="00EC2214" w:rsidRPr="000C6DF9" w:rsidRDefault="00EC2214" w:rsidP="00EC221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Gminnymi drogami (art. 7 ust. 1 pkt 2)</w:t>
      </w:r>
    </w:p>
    <w:p w:rsidR="00EC2214" w:rsidRPr="000C6DF9" w:rsidRDefault="00EC2214" w:rsidP="00EC221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Wodociągami i zaopatrzeniem w wodę, kanalizacją, usuwaniem i oczyszczania ścieków komunalnych, utrzymaniem czystości i porządku oraz urządzeń sanitarnych, wysypisk i unieszkodliwiania odpadów komunalnych, zaopatrzeniem w energię elektryczną i cieplną oraz gaz (art. 7 ust. 1 pkt 3)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Niewątpliwie gmina ponosi zawsze koszty finansowania inwestycji majątkowych związanych z drogami gminnymi, wodociągami, siecią ciepłowniczą oraz kanalizacją. 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Natomiast koszty rozbudowa infrastruktury elektrycznej i gazowniczej są ponoszone przez jednostki, których właścicielami nie są samorządy gminny (Tauron, PSE, ENEA, PGE, PSG itp.), tj. gmina nie będzie ponosić wydatków związanych z inwestycjami związanymi z liniami elektroenergetycznymi oraz gazociągami. 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W związku z powyższym do analizy potrzeb inwestycyjnych wzięto pod uwagę tylko inwestycję związane z infrastrukturą wodociągową, kanalizacyjną oraz drogową, która będzie finansowana z budżetu gminy Piekoszów.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Zgodnie z przyjętymi kierunkami zagospodarowania przestrzennego planuje się bud</w:t>
      </w:r>
      <w:bookmarkStart w:id="0" w:name="_GoBack"/>
      <w:bookmarkEnd w:id="0"/>
      <w:r w:rsidRPr="000C6DF9">
        <w:rPr>
          <w:rFonts w:ascii="Arial" w:hAnsi="Arial" w:cs="Arial"/>
          <w:sz w:val="20"/>
          <w:szCs w:val="20"/>
          <w:lang w:eastAsia="ar-SA"/>
        </w:rPr>
        <w:t>owę:</w:t>
      </w:r>
    </w:p>
    <w:p w:rsidR="00095D79" w:rsidRPr="00930F4E" w:rsidRDefault="00095D79" w:rsidP="00095D79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  <w:lang w:eastAsia="ar-SA"/>
        </w:rPr>
      </w:pPr>
      <w:r w:rsidRPr="00930F4E">
        <w:rPr>
          <w:rFonts w:ascii="Arial" w:hAnsi="Arial" w:cs="Arial"/>
          <w:sz w:val="20"/>
          <w:szCs w:val="20"/>
          <w:lang w:eastAsia="ar-SA"/>
        </w:rPr>
        <w:t xml:space="preserve">Sieci wodociągowej o długości ok. </w:t>
      </w:r>
      <w:r>
        <w:rPr>
          <w:rFonts w:ascii="Arial" w:hAnsi="Arial" w:cs="Arial"/>
          <w:sz w:val="20"/>
          <w:szCs w:val="20"/>
          <w:lang w:eastAsia="ar-SA"/>
        </w:rPr>
        <w:t>3278</w:t>
      </w:r>
      <w:r w:rsidRPr="00930F4E">
        <w:rPr>
          <w:rFonts w:ascii="Arial" w:hAnsi="Arial" w:cs="Arial"/>
          <w:sz w:val="20"/>
          <w:szCs w:val="20"/>
          <w:lang w:eastAsia="ar-SA"/>
        </w:rPr>
        <w:t xml:space="preserve"> metrów bieżących;</w:t>
      </w:r>
    </w:p>
    <w:p w:rsidR="00095D79" w:rsidRPr="00930F4E" w:rsidRDefault="00095D79" w:rsidP="00095D79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  <w:lang w:eastAsia="ar-SA"/>
        </w:rPr>
      </w:pPr>
      <w:r w:rsidRPr="00930F4E">
        <w:rPr>
          <w:rFonts w:ascii="Arial" w:hAnsi="Arial" w:cs="Arial"/>
          <w:sz w:val="20"/>
          <w:szCs w:val="20"/>
          <w:lang w:eastAsia="ar-SA"/>
        </w:rPr>
        <w:t xml:space="preserve">Sieci kanalizacyjnej o długości ok. </w:t>
      </w:r>
      <w:smartTag w:uri="urn:schemas-microsoft-com:office:smarttags" w:element="metricconverter">
        <w:smartTagPr>
          <w:attr w:name="ProductID" w:val="54518 metr￳w"/>
        </w:smartTagPr>
        <w:r w:rsidRPr="00930F4E">
          <w:rPr>
            <w:rFonts w:ascii="Arial" w:hAnsi="Arial" w:cs="Arial"/>
            <w:sz w:val="20"/>
            <w:szCs w:val="20"/>
            <w:lang w:eastAsia="ar-SA"/>
          </w:rPr>
          <w:t>54518 metrów</w:t>
        </w:r>
      </w:smartTag>
      <w:r w:rsidRPr="00930F4E">
        <w:rPr>
          <w:rFonts w:ascii="Arial" w:hAnsi="Arial" w:cs="Arial"/>
          <w:sz w:val="20"/>
          <w:szCs w:val="20"/>
          <w:lang w:eastAsia="ar-SA"/>
        </w:rPr>
        <w:t xml:space="preserve"> bieżących;</w:t>
      </w:r>
    </w:p>
    <w:p w:rsidR="00095D79" w:rsidRPr="00930F4E" w:rsidRDefault="00095D79" w:rsidP="00095D79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  <w:lang w:eastAsia="ar-SA"/>
        </w:rPr>
      </w:pPr>
      <w:r w:rsidRPr="00930F4E">
        <w:rPr>
          <w:rFonts w:ascii="Arial" w:hAnsi="Arial" w:cs="Arial"/>
          <w:sz w:val="20"/>
          <w:szCs w:val="20"/>
          <w:lang w:eastAsia="ar-SA"/>
        </w:rPr>
        <w:t>Nowych dróg gminnych o długości ok. 3</w:t>
      </w:r>
      <w:r>
        <w:rPr>
          <w:rFonts w:ascii="Arial" w:hAnsi="Arial" w:cs="Arial"/>
          <w:sz w:val="20"/>
          <w:szCs w:val="20"/>
          <w:lang w:eastAsia="ar-SA"/>
        </w:rPr>
        <w:t>430</w:t>
      </w:r>
      <w:r w:rsidRPr="00930F4E">
        <w:rPr>
          <w:rFonts w:ascii="Arial" w:hAnsi="Arial" w:cs="Arial"/>
          <w:sz w:val="20"/>
          <w:szCs w:val="20"/>
          <w:lang w:eastAsia="ar-SA"/>
        </w:rPr>
        <w:t xml:space="preserve"> metrów bieżących.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W celu określenia szacunkowych kosztów budowy ww. infrastruktury przyjęto ceny kosztów jednostkowych wybudowania tej infrastruktury na podstawie:</w:t>
      </w:r>
    </w:p>
    <w:p w:rsidR="00EC2214" w:rsidRPr="000C6DF9" w:rsidRDefault="00EC2214" w:rsidP="00EC2214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„Katalogu cen jednostkowych robót i obiektów inwestycyjnych” opracowany przez firmę BISTYP,</w:t>
      </w:r>
    </w:p>
    <w:p w:rsidR="00EC2214" w:rsidRPr="000C6DF9" w:rsidRDefault="00EC2214" w:rsidP="00EC2214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„Biuletyn cen obiektów budowlanych BCO” opracowany przez firmę SEKOCENBUD,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Dodatkowo przyjęto założenie, że ceny jednostkowe zostaną zwiększone o koszty dodatkowe poniesione przez inwestorów o 7 %, wynikające z tytułu m. in. opłat za pozwolenia, uzgodnienia, projekty budowlano – wykonawcze oraz nadzór i odbiór techniczny/końcowy danej inwestycji. 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lastRenderedPageBreak/>
        <w:t>Średni koszt wybudowania jednego metra bieżącego lub metra kwadratowego ww. inwestycji z zastrzeżeniem dodatkowych kosztów wynosi dla:</w:t>
      </w:r>
    </w:p>
    <w:p w:rsidR="00EC2214" w:rsidRPr="000C6DF9" w:rsidRDefault="00EC2214" w:rsidP="00EC2214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Sieci wodociągowej – 350 zł/mb,</w:t>
      </w:r>
    </w:p>
    <w:p w:rsidR="00EC2214" w:rsidRPr="000C6DF9" w:rsidRDefault="00EC2214" w:rsidP="00EC2214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Sieci kanalizacyjnej – 439 zł/mb,</w:t>
      </w:r>
    </w:p>
    <w:p w:rsidR="00EC2214" w:rsidRPr="000C6DF9" w:rsidRDefault="00EC2214" w:rsidP="00EC2214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Dróg gminnych – 107 zł/m</w:t>
      </w:r>
      <w:r w:rsidRPr="000C6DF9">
        <w:rPr>
          <w:rFonts w:ascii="Arial" w:hAnsi="Arial" w:cs="Arial"/>
          <w:sz w:val="20"/>
          <w:szCs w:val="20"/>
          <w:vertAlign w:val="superscript"/>
          <w:lang w:eastAsia="ar-SA"/>
        </w:rPr>
        <w:t>2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Zgodnie z wyżej przyjętymi średnimi kosztami jednostkowymi gmina Piekoszów będzie musiała budżetu gminy przeznaczyć:</w:t>
      </w:r>
    </w:p>
    <w:p w:rsidR="00EC2214" w:rsidRPr="000C6DF9" w:rsidRDefault="00EC2214" w:rsidP="00095D7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Na budowę sieci wodociągowej: 2574 </w:t>
      </w:r>
      <w:proofErr w:type="spellStart"/>
      <w:r w:rsidRPr="000C6DF9">
        <w:rPr>
          <w:rFonts w:ascii="Arial" w:hAnsi="Arial" w:cs="Arial"/>
          <w:sz w:val="20"/>
          <w:szCs w:val="20"/>
          <w:lang w:eastAsia="ar-SA"/>
        </w:rPr>
        <w:t>mb</w:t>
      </w:r>
      <w:proofErr w:type="spellEnd"/>
      <w:r w:rsidRPr="000C6DF9">
        <w:rPr>
          <w:rFonts w:ascii="Arial" w:hAnsi="Arial" w:cs="Arial"/>
          <w:sz w:val="20"/>
          <w:szCs w:val="20"/>
          <w:lang w:eastAsia="ar-SA"/>
        </w:rPr>
        <w:t>*350 zł/</w:t>
      </w:r>
      <w:proofErr w:type="spellStart"/>
      <w:r w:rsidRPr="000C6DF9">
        <w:rPr>
          <w:rFonts w:ascii="Arial" w:hAnsi="Arial" w:cs="Arial"/>
          <w:sz w:val="20"/>
          <w:szCs w:val="20"/>
          <w:lang w:eastAsia="ar-SA"/>
        </w:rPr>
        <w:t>mb</w:t>
      </w:r>
      <w:proofErr w:type="spellEnd"/>
      <w:r w:rsidRPr="000C6DF9">
        <w:rPr>
          <w:rFonts w:ascii="Arial" w:hAnsi="Arial" w:cs="Arial"/>
          <w:sz w:val="20"/>
          <w:szCs w:val="20"/>
          <w:lang w:eastAsia="ar-SA"/>
        </w:rPr>
        <w:t xml:space="preserve"> = </w:t>
      </w:r>
      <w:r w:rsidR="00095D79" w:rsidRPr="00095D79">
        <w:rPr>
          <w:rFonts w:ascii="Arial" w:hAnsi="Arial" w:cs="Arial"/>
          <w:b/>
          <w:sz w:val="20"/>
          <w:szCs w:val="20"/>
          <w:lang w:eastAsia="ar-SA"/>
        </w:rPr>
        <w:t xml:space="preserve">1 147 300 </w:t>
      </w:r>
      <w:r w:rsidRPr="000C6DF9">
        <w:rPr>
          <w:rFonts w:ascii="Arial" w:hAnsi="Arial" w:cs="Arial"/>
          <w:sz w:val="20"/>
          <w:szCs w:val="20"/>
          <w:lang w:eastAsia="ar-SA"/>
        </w:rPr>
        <w:t>zł</w:t>
      </w:r>
    </w:p>
    <w:p w:rsidR="00EC2214" w:rsidRPr="000C6DF9" w:rsidRDefault="00EC2214" w:rsidP="00EC221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 xml:space="preserve">Na budowę sieci kanalizacyjnej: 54518 mb*439 zł/mb = </w:t>
      </w:r>
      <w:r w:rsidRPr="000C6DF9">
        <w:rPr>
          <w:rFonts w:ascii="Arial" w:hAnsi="Arial" w:cs="Arial"/>
          <w:b/>
          <w:sz w:val="20"/>
          <w:szCs w:val="20"/>
          <w:lang w:eastAsia="ar-SA"/>
        </w:rPr>
        <w:t>23 933 402</w:t>
      </w:r>
      <w:r w:rsidRPr="000C6DF9">
        <w:rPr>
          <w:rFonts w:ascii="Arial" w:hAnsi="Arial" w:cs="Arial"/>
          <w:sz w:val="20"/>
          <w:szCs w:val="20"/>
          <w:lang w:eastAsia="ar-SA"/>
        </w:rPr>
        <w:t xml:space="preserve"> zł</w:t>
      </w:r>
    </w:p>
    <w:p w:rsidR="00EC2214" w:rsidRPr="000C6DF9" w:rsidRDefault="00EC2214" w:rsidP="00095D7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  <w:lang w:eastAsia="ar-SA"/>
        </w:rPr>
        <w:t>Na budowę nowych dróg gminnych: (3334 mb*12 m)*107 zł/m</w:t>
      </w:r>
      <w:r w:rsidRPr="000C6DF9">
        <w:rPr>
          <w:rFonts w:ascii="Arial" w:hAnsi="Arial" w:cs="Arial"/>
          <w:sz w:val="20"/>
          <w:szCs w:val="20"/>
          <w:vertAlign w:val="superscript"/>
          <w:lang w:eastAsia="ar-SA"/>
        </w:rPr>
        <w:t>2</w:t>
      </w:r>
      <w:r w:rsidRPr="000C6DF9">
        <w:rPr>
          <w:rFonts w:ascii="Arial" w:hAnsi="Arial" w:cs="Arial"/>
          <w:sz w:val="20"/>
          <w:szCs w:val="20"/>
          <w:lang w:eastAsia="ar-SA"/>
        </w:rPr>
        <w:t xml:space="preserve"> = </w:t>
      </w:r>
      <w:r w:rsidRPr="000C6DF9">
        <w:rPr>
          <w:rFonts w:ascii="Arial" w:hAnsi="Arial" w:cs="Arial"/>
          <w:b/>
          <w:sz w:val="20"/>
          <w:szCs w:val="20"/>
          <w:lang w:eastAsia="ar-SA"/>
        </w:rPr>
        <w:t>4 </w:t>
      </w:r>
      <w:r w:rsidR="00095D79" w:rsidRPr="00095D79">
        <w:rPr>
          <w:rFonts w:ascii="Arial" w:hAnsi="Arial" w:cs="Arial"/>
          <w:b/>
          <w:sz w:val="20"/>
          <w:szCs w:val="20"/>
          <w:lang w:eastAsia="ar-SA"/>
        </w:rPr>
        <w:t xml:space="preserve">404 120 </w:t>
      </w:r>
      <w:r w:rsidRPr="000C6DF9">
        <w:rPr>
          <w:rFonts w:ascii="Arial" w:hAnsi="Arial" w:cs="Arial"/>
          <w:sz w:val="20"/>
          <w:szCs w:val="20"/>
          <w:lang w:eastAsia="ar-SA"/>
        </w:rPr>
        <w:t>zł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6DF9">
        <w:rPr>
          <w:rFonts w:ascii="Arial" w:hAnsi="Arial" w:cs="Arial"/>
          <w:sz w:val="20"/>
          <w:szCs w:val="20"/>
        </w:rPr>
        <w:t>Ponadto planuje się wybudowanie następującej infrastruktury społecznej:</w:t>
      </w:r>
    </w:p>
    <w:p w:rsidR="00EC2214" w:rsidRPr="000C6DF9" w:rsidRDefault="00EC2214" w:rsidP="00EC2214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C6DF9">
        <w:rPr>
          <w:rFonts w:ascii="Arial" w:hAnsi="Arial" w:cs="Arial"/>
          <w:sz w:val="20"/>
          <w:szCs w:val="20"/>
        </w:rPr>
        <w:t>Boiska w Jaworzni,</w:t>
      </w:r>
    </w:p>
    <w:p w:rsidR="00EC2214" w:rsidRPr="000C6DF9" w:rsidRDefault="00EC2214" w:rsidP="00EC2214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C6DF9">
        <w:rPr>
          <w:rFonts w:ascii="Arial" w:hAnsi="Arial" w:cs="Arial"/>
          <w:sz w:val="20"/>
          <w:szCs w:val="20"/>
        </w:rPr>
        <w:t xml:space="preserve">Budowa świetlicy w </w:t>
      </w:r>
      <w:proofErr w:type="spellStart"/>
      <w:r w:rsidRPr="000C6DF9">
        <w:rPr>
          <w:rFonts w:ascii="Arial" w:hAnsi="Arial" w:cs="Arial"/>
          <w:sz w:val="20"/>
          <w:szCs w:val="20"/>
        </w:rPr>
        <w:t>Bławatkowie</w:t>
      </w:r>
      <w:proofErr w:type="spellEnd"/>
      <w:r w:rsidRPr="000C6DF9">
        <w:rPr>
          <w:rFonts w:ascii="Arial" w:hAnsi="Arial" w:cs="Arial"/>
          <w:sz w:val="20"/>
          <w:szCs w:val="20"/>
        </w:rPr>
        <w:t>,</w:t>
      </w:r>
    </w:p>
    <w:p w:rsidR="00EC2214" w:rsidRPr="000C6DF9" w:rsidRDefault="00EC2214" w:rsidP="00EC2214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C6DF9">
        <w:rPr>
          <w:rFonts w:ascii="Arial" w:hAnsi="Arial" w:cs="Arial"/>
          <w:sz w:val="20"/>
          <w:szCs w:val="20"/>
        </w:rPr>
        <w:t>Ścieżki pieszo- rowerowej o długości 366m,</w:t>
      </w:r>
    </w:p>
    <w:p w:rsidR="00EC2214" w:rsidRPr="000C6DF9" w:rsidRDefault="00EC2214" w:rsidP="00EC2214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C6DF9">
        <w:rPr>
          <w:rFonts w:ascii="Arial" w:hAnsi="Arial" w:cs="Arial"/>
          <w:sz w:val="20"/>
          <w:szCs w:val="20"/>
        </w:rPr>
        <w:t>Budowa świetlicy w Wincentowie.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6DF9">
        <w:rPr>
          <w:rFonts w:ascii="Arial" w:hAnsi="Arial" w:cs="Arial"/>
          <w:sz w:val="20"/>
          <w:szCs w:val="20"/>
        </w:rPr>
        <w:t>Planowane wydatki zgodnie z katalogiem cen jednostkowych robót i obiektów inwestycyjnych będzie wynosić:</w:t>
      </w:r>
    </w:p>
    <w:p w:rsidR="00EC2214" w:rsidRPr="000C6DF9" w:rsidRDefault="00EC2214" w:rsidP="00EC2214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6DF9">
        <w:rPr>
          <w:rFonts w:ascii="Arial" w:hAnsi="Arial" w:cs="Arial"/>
          <w:sz w:val="20"/>
          <w:szCs w:val="20"/>
        </w:rPr>
        <w:t>Koszt boiska sportowego: 5000 m</w:t>
      </w:r>
      <w:r w:rsidRPr="000C6DF9">
        <w:rPr>
          <w:rFonts w:ascii="Arial" w:hAnsi="Arial" w:cs="Arial"/>
          <w:sz w:val="20"/>
          <w:szCs w:val="20"/>
          <w:vertAlign w:val="superscript"/>
        </w:rPr>
        <w:t>2</w:t>
      </w:r>
      <w:r w:rsidRPr="000C6DF9">
        <w:rPr>
          <w:rFonts w:ascii="Arial" w:hAnsi="Arial" w:cs="Arial"/>
          <w:sz w:val="20"/>
          <w:szCs w:val="20"/>
        </w:rPr>
        <w:t>*32 zł/m</w:t>
      </w:r>
      <w:r w:rsidRPr="000C6DF9">
        <w:rPr>
          <w:rFonts w:ascii="Arial" w:hAnsi="Arial" w:cs="Arial"/>
          <w:sz w:val="20"/>
          <w:szCs w:val="20"/>
          <w:vertAlign w:val="superscript"/>
        </w:rPr>
        <w:t>2</w:t>
      </w:r>
      <w:r w:rsidRPr="000C6DF9">
        <w:rPr>
          <w:rFonts w:ascii="Arial" w:hAnsi="Arial" w:cs="Arial"/>
          <w:sz w:val="20"/>
          <w:szCs w:val="20"/>
        </w:rPr>
        <w:t xml:space="preserve"> </w:t>
      </w:r>
      <w:r w:rsidRPr="000C6DF9">
        <w:rPr>
          <w:rFonts w:ascii="Arial" w:hAnsi="Arial" w:cs="Arial"/>
          <w:b/>
          <w:sz w:val="20"/>
          <w:szCs w:val="20"/>
        </w:rPr>
        <w:t>= 160 000</w:t>
      </w:r>
      <w:r w:rsidRPr="000C6DF9">
        <w:rPr>
          <w:rFonts w:ascii="Arial" w:hAnsi="Arial" w:cs="Arial"/>
          <w:sz w:val="20"/>
          <w:szCs w:val="20"/>
        </w:rPr>
        <w:t xml:space="preserve"> zł</w:t>
      </w:r>
    </w:p>
    <w:p w:rsidR="00EC2214" w:rsidRPr="000C6DF9" w:rsidRDefault="00EC2214" w:rsidP="00EC2214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6DF9">
        <w:rPr>
          <w:rFonts w:ascii="Arial" w:hAnsi="Arial" w:cs="Arial"/>
          <w:sz w:val="20"/>
          <w:szCs w:val="20"/>
        </w:rPr>
        <w:t>Koszt świetlicy: 2*400 m</w:t>
      </w:r>
      <w:r w:rsidRPr="000C6DF9">
        <w:rPr>
          <w:rFonts w:ascii="Arial" w:hAnsi="Arial" w:cs="Arial"/>
          <w:sz w:val="20"/>
          <w:szCs w:val="20"/>
          <w:vertAlign w:val="superscript"/>
        </w:rPr>
        <w:t>2</w:t>
      </w:r>
      <w:r w:rsidRPr="000C6DF9">
        <w:rPr>
          <w:rFonts w:ascii="Arial" w:hAnsi="Arial" w:cs="Arial"/>
          <w:sz w:val="20"/>
          <w:szCs w:val="20"/>
        </w:rPr>
        <w:t>* 2263 zł/m</w:t>
      </w:r>
      <w:r w:rsidRPr="000C6DF9">
        <w:rPr>
          <w:rFonts w:ascii="Arial" w:hAnsi="Arial" w:cs="Arial"/>
          <w:sz w:val="20"/>
          <w:szCs w:val="20"/>
          <w:vertAlign w:val="superscript"/>
        </w:rPr>
        <w:t>2</w:t>
      </w:r>
      <w:r w:rsidRPr="000C6DF9">
        <w:rPr>
          <w:rFonts w:ascii="Arial" w:hAnsi="Arial" w:cs="Arial"/>
          <w:sz w:val="20"/>
          <w:szCs w:val="20"/>
        </w:rPr>
        <w:t xml:space="preserve">= </w:t>
      </w:r>
      <w:r w:rsidRPr="000C6DF9">
        <w:rPr>
          <w:rFonts w:ascii="Arial" w:hAnsi="Arial" w:cs="Arial"/>
          <w:b/>
          <w:sz w:val="20"/>
          <w:szCs w:val="20"/>
        </w:rPr>
        <w:t>1 810 400</w:t>
      </w:r>
      <w:r w:rsidRPr="000C6DF9">
        <w:rPr>
          <w:rFonts w:ascii="Arial" w:hAnsi="Arial" w:cs="Arial"/>
          <w:sz w:val="20"/>
          <w:szCs w:val="20"/>
        </w:rPr>
        <w:t xml:space="preserve"> zł</w:t>
      </w:r>
    </w:p>
    <w:p w:rsidR="00EC2214" w:rsidRPr="000C6DF9" w:rsidRDefault="00EC2214" w:rsidP="00EC2214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  <w:lang w:eastAsia="ar-SA"/>
        </w:rPr>
      </w:pPr>
      <w:r w:rsidRPr="000C6DF9">
        <w:rPr>
          <w:rFonts w:ascii="Arial" w:hAnsi="Arial" w:cs="Arial"/>
          <w:sz w:val="20"/>
          <w:szCs w:val="20"/>
        </w:rPr>
        <w:t xml:space="preserve">Koszt ścieżki rowerowej: 366mb*115zł/mb= </w:t>
      </w:r>
      <w:r w:rsidRPr="000C6DF9">
        <w:rPr>
          <w:rFonts w:ascii="Arial" w:hAnsi="Arial" w:cs="Arial"/>
          <w:b/>
          <w:sz w:val="20"/>
          <w:szCs w:val="20"/>
        </w:rPr>
        <w:t>42 090</w:t>
      </w:r>
      <w:r w:rsidRPr="000C6DF9">
        <w:rPr>
          <w:rFonts w:ascii="Arial" w:hAnsi="Arial" w:cs="Arial"/>
          <w:sz w:val="20"/>
          <w:szCs w:val="20"/>
        </w:rPr>
        <w:t xml:space="preserve"> zł</w:t>
      </w:r>
    </w:p>
    <w:p w:rsidR="00EC2214" w:rsidRPr="000C6DF9" w:rsidRDefault="00EC2214" w:rsidP="00EC2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6DF9">
        <w:rPr>
          <w:rFonts w:ascii="Arial" w:hAnsi="Arial" w:cs="Arial"/>
          <w:b/>
          <w:sz w:val="20"/>
          <w:szCs w:val="20"/>
        </w:rPr>
        <w:t xml:space="preserve">Oznacza to, że na budowę niezbędnych inwestycji gminnych należy przeznaczyć z budżetu gminy kwotę </w:t>
      </w:r>
      <w:r w:rsidR="00095D79" w:rsidRPr="00095D79">
        <w:rPr>
          <w:rFonts w:ascii="Arial" w:hAnsi="Arial" w:cs="Arial"/>
          <w:b/>
          <w:sz w:val="20"/>
          <w:szCs w:val="20"/>
          <w:u w:val="single"/>
        </w:rPr>
        <w:t xml:space="preserve">31 497 312 </w:t>
      </w:r>
      <w:r w:rsidRPr="000C6DF9">
        <w:rPr>
          <w:rFonts w:ascii="Arial" w:hAnsi="Arial" w:cs="Arial"/>
          <w:b/>
          <w:sz w:val="20"/>
          <w:szCs w:val="20"/>
          <w:u w:val="single"/>
        </w:rPr>
        <w:t>zł.</w:t>
      </w:r>
      <w:r w:rsidRPr="000C6DF9">
        <w:rPr>
          <w:rFonts w:ascii="Arial" w:hAnsi="Arial" w:cs="Arial"/>
          <w:b/>
          <w:sz w:val="20"/>
          <w:szCs w:val="20"/>
        </w:rPr>
        <w:t xml:space="preserve"> Zgodnie z danymi zawartymi w Wieloletniej Prognozie Finansowej na lata 2015-2025 możliwości finansowe gminy przekraczają potrzeby inwestycyjny związane z koniecznością realizacji zadań własnych. W związku, z czym należy uznać, że przyjęty bilans terenów jest poprawny i nie przekracza możliwości finansowych gminy Piekoszów.</w:t>
      </w:r>
    </w:p>
    <w:p w:rsidR="00EC507E" w:rsidRDefault="00EC507E"/>
    <w:sectPr w:rsidR="00EC507E" w:rsidSect="00EC50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33" w:rsidRDefault="00A30F33" w:rsidP="00EC2214">
      <w:pPr>
        <w:spacing w:after="0" w:line="240" w:lineRule="auto"/>
      </w:pPr>
      <w:r>
        <w:separator/>
      </w:r>
    </w:p>
  </w:endnote>
  <w:endnote w:type="continuationSeparator" w:id="0">
    <w:p w:rsidR="00A30F33" w:rsidRDefault="00A30F33" w:rsidP="00EC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65501"/>
      <w:docPartObj>
        <w:docPartGallery w:val="Page Numbers (Bottom of Page)"/>
        <w:docPartUnique/>
      </w:docPartObj>
    </w:sdtPr>
    <w:sdtEndPr/>
    <w:sdtContent>
      <w:p w:rsidR="00EC2214" w:rsidRDefault="00A30F3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D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2214" w:rsidRDefault="00EC2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33" w:rsidRDefault="00A30F33" w:rsidP="00EC2214">
      <w:pPr>
        <w:spacing w:after="0" w:line="240" w:lineRule="auto"/>
      </w:pPr>
      <w:r>
        <w:separator/>
      </w:r>
    </w:p>
  </w:footnote>
  <w:footnote w:type="continuationSeparator" w:id="0">
    <w:p w:rsidR="00A30F33" w:rsidRDefault="00A30F33" w:rsidP="00EC2214">
      <w:pPr>
        <w:spacing w:after="0" w:line="240" w:lineRule="auto"/>
      </w:pPr>
      <w:r>
        <w:continuationSeparator/>
      </w:r>
    </w:p>
  </w:footnote>
  <w:footnote w:id="1">
    <w:p w:rsidR="00EC2214" w:rsidRDefault="00EC2214" w:rsidP="00EC2214">
      <w:pPr>
        <w:pStyle w:val="Tekstprzypisudolnego"/>
      </w:pPr>
      <w:r>
        <w:rPr>
          <w:rStyle w:val="Odwoanieprzypisudolnego"/>
        </w:rPr>
        <w:footnoteRef/>
      </w:r>
      <w:r>
        <w:t xml:space="preserve"> Istniejące wskaźniki powierzchni użytkowej (wg. planszy uwarunkowań):</w:t>
      </w:r>
    </w:p>
    <w:p w:rsidR="00EC2214" w:rsidRDefault="00EC2214" w:rsidP="00EC2214">
      <w:pPr>
        <w:pStyle w:val="Tekstprzypisudolnego"/>
        <w:numPr>
          <w:ilvl w:val="0"/>
          <w:numId w:val="3"/>
        </w:numPr>
        <w:jc w:val="both"/>
      </w:pPr>
      <w:r>
        <w:t>dla zabudowy mieszkaniowej i mieszkaniowo-usługowe - 460 m2/os.;</w:t>
      </w:r>
    </w:p>
    <w:p w:rsidR="00EC2214" w:rsidRDefault="00EC2214" w:rsidP="00EC2214">
      <w:pPr>
        <w:pStyle w:val="Tekstprzypisudolnego"/>
        <w:numPr>
          <w:ilvl w:val="0"/>
          <w:numId w:val="3"/>
        </w:numPr>
        <w:jc w:val="both"/>
      </w:pPr>
      <w:r>
        <w:t>dla działalności gospodarczej i usług - 30 m2/os.;</w:t>
      </w:r>
    </w:p>
    <w:p w:rsidR="00EC2214" w:rsidRDefault="00EC2214" w:rsidP="00EC2214">
      <w:pPr>
        <w:pStyle w:val="Tekstprzypisudolnego"/>
        <w:numPr>
          <w:ilvl w:val="0"/>
          <w:numId w:val="3"/>
        </w:numPr>
        <w:jc w:val="both"/>
      </w:pPr>
      <w:r>
        <w:t>dla usług logistycznych i produkcji - 0 m2/os.;</w:t>
      </w:r>
    </w:p>
    <w:p w:rsidR="00EC2214" w:rsidRDefault="00EC2214" w:rsidP="00EC2214">
      <w:pPr>
        <w:pStyle w:val="Tekstprzypisudolnego"/>
        <w:numPr>
          <w:ilvl w:val="0"/>
          <w:numId w:val="3"/>
        </w:numPr>
        <w:jc w:val="both"/>
      </w:pPr>
      <w:r>
        <w:t>dla zabudowy przemysłowej, produkcyjnej magazynowo-składowe (w tym związane z eksploatacją złóż) - 30 m2/os.;</w:t>
      </w:r>
    </w:p>
    <w:p w:rsidR="00EC2214" w:rsidRDefault="00EC2214" w:rsidP="00EC2214">
      <w:pPr>
        <w:pStyle w:val="Tekstprzypisudolnego"/>
        <w:numPr>
          <w:ilvl w:val="0"/>
          <w:numId w:val="3"/>
        </w:numPr>
        <w:jc w:val="both"/>
      </w:pPr>
      <w:r>
        <w:t>dla zabudowy sportowo rekreacyjnej - 2,5 m2/os..</w:t>
      </w:r>
    </w:p>
  </w:footnote>
  <w:footnote w:id="2">
    <w:p w:rsidR="00EC2214" w:rsidRDefault="00EC2214" w:rsidP="00EC2214">
      <w:pPr>
        <w:pStyle w:val="Tekstprzypisudolnego"/>
      </w:pPr>
      <w:r>
        <w:rPr>
          <w:rStyle w:val="Odwoanieprzypisudolnego"/>
        </w:rPr>
        <w:footnoteRef/>
      </w:r>
      <w:r>
        <w:t xml:space="preserve"> Wartości podane w powierzchni użytkowej zabudowy.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9EB"/>
    <w:multiLevelType w:val="hybridMultilevel"/>
    <w:tmpl w:val="F87401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21FAB"/>
    <w:multiLevelType w:val="hybridMultilevel"/>
    <w:tmpl w:val="2D9E6D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19523C"/>
    <w:multiLevelType w:val="hybridMultilevel"/>
    <w:tmpl w:val="2FE6E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03AD5"/>
    <w:multiLevelType w:val="hybridMultilevel"/>
    <w:tmpl w:val="75D4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C76EA"/>
    <w:multiLevelType w:val="hybridMultilevel"/>
    <w:tmpl w:val="67803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3C36"/>
    <w:multiLevelType w:val="hybridMultilevel"/>
    <w:tmpl w:val="6910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46A40"/>
    <w:multiLevelType w:val="hybridMultilevel"/>
    <w:tmpl w:val="BCA0EA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F0183"/>
    <w:multiLevelType w:val="hybridMultilevel"/>
    <w:tmpl w:val="586CA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65880"/>
    <w:multiLevelType w:val="hybridMultilevel"/>
    <w:tmpl w:val="C9D6D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0A2657"/>
    <w:multiLevelType w:val="multilevel"/>
    <w:tmpl w:val="4352133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9B20158"/>
    <w:multiLevelType w:val="hybridMultilevel"/>
    <w:tmpl w:val="E56E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D0951"/>
    <w:multiLevelType w:val="hybridMultilevel"/>
    <w:tmpl w:val="4C12D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96CBF"/>
    <w:multiLevelType w:val="hybridMultilevel"/>
    <w:tmpl w:val="2F2887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1B61E05"/>
    <w:multiLevelType w:val="hybridMultilevel"/>
    <w:tmpl w:val="9D22A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402535"/>
    <w:multiLevelType w:val="hybridMultilevel"/>
    <w:tmpl w:val="460A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10F68"/>
    <w:multiLevelType w:val="hybridMultilevel"/>
    <w:tmpl w:val="65747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15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214"/>
    <w:rsid w:val="00040A08"/>
    <w:rsid w:val="00095D79"/>
    <w:rsid w:val="00A30F33"/>
    <w:rsid w:val="00EC2214"/>
    <w:rsid w:val="00E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21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2214"/>
    <w:pPr>
      <w:keepNext/>
      <w:pageBreakBefore/>
      <w:numPr>
        <w:numId w:val="1"/>
      </w:numPr>
      <w:suppressAutoHyphens/>
      <w:spacing w:before="240" w:after="240" w:line="240" w:lineRule="auto"/>
      <w:jc w:val="both"/>
      <w:outlineLvl w:val="0"/>
    </w:pPr>
    <w:rPr>
      <w:rFonts w:ascii="Arial" w:eastAsia="Times New Roman" w:hAnsi="Arial"/>
      <w:b/>
      <w:bCs/>
      <w:caps/>
      <w:kern w:val="28"/>
      <w:sz w:val="28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C2214"/>
    <w:pPr>
      <w:keepNext/>
      <w:numPr>
        <w:ilvl w:val="1"/>
        <w:numId w:val="1"/>
      </w:numPr>
      <w:suppressAutoHyphens/>
      <w:spacing w:before="240" w:after="120" w:line="360" w:lineRule="auto"/>
      <w:jc w:val="both"/>
      <w:outlineLvl w:val="1"/>
    </w:pPr>
    <w:rPr>
      <w:rFonts w:ascii="Arial" w:eastAsia="Arial Unicode MS" w:hAnsi="Arial"/>
      <w:b/>
      <w:bCs/>
      <w:iCs/>
      <w:caps/>
      <w:sz w:val="24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214"/>
    <w:rPr>
      <w:rFonts w:ascii="Arial" w:eastAsia="Times New Roman" w:hAnsi="Arial" w:cs="Times New Roman"/>
      <w:b/>
      <w:bCs/>
      <w:caps/>
      <w:kern w:val="28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EC2214"/>
    <w:rPr>
      <w:rFonts w:ascii="Arial" w:eastAsia="Arial Unicode MS" w:hAnsi="Arial" w:cs="Times New Roman"/>
      <w:b/>
      <w:bCs/>
      <w:iCs/>
      <w:caps/>
      <w:sz w:val="24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2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2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C22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2214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C2214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22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214"/>
    <w:pPr>
      <w:numPr>
        <w:ilvl w:val="1"/>
      </w:numPr>
      <w:spacing w:line="360" w:lineRule="auto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C22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C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22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2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mrosegnal</dc:creator>
  <cp:lastModifiedBy>USER</cp:lastModifiedBy>
  <cp:revision>2</cp:revision>
  <dcterms:created xsi:type="dcterms:W3CDTF">2016-12-08T08:10:00Z</dcterms:created>
  <dcterms:modified xsi:type="dcterms:W3CDTF">2016-12-13T00:22:00Z</dcterms:modified>
</cp:coreProperties>
</file>