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25A20A09"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1b</w:t>
      </w:r>
      <w:r>
        <w:rPr>
          <w:rFonts w:ascii="Cambria" w:hAnsi="Cambria"/>
        </w:rPr>
        <w:t xml:space="preserve"> 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37BA6126" w14:textId="37769E11" w:rsidR="00C660EE"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144590">
        <w:rPr>
          <w:rFonts w:ascii="Cambria" w:hAnsi="Cambria"/>
          <w:b/>
          <w:bCs/>
        </w:rPr>
        <w:t>2</w:t>
      </w:r>
      <w:r>
        <w:rPr>
          <w:rFonts w:ascii="Cambria" w:hAnsi="Cambria"/>
          <w:b/>
          <w:bCs/>
        </w:rPr>
        <w:t xml:space="preserve">: </w:t>
      </w:r>
      <w:r w:rsidR="00144590" w:rsidRPr="003523D1">
        <w:rPr>
          <w:rFonts w:ascii="Cambria" w:hAnsi="Cambria"/>
        </w:rPr>
        <w:t>Opracowanie dokumentacji projektowej dla zadania pn. „Budowa dróg gminnych wewnętrznych osiedlowych w miejscowości Piekoszów  na dz. 1578/324, 1578/325, 1578/204, obręb 0013 Piekoszów</w:t>
      </w:r>
      <w:r w:rsidR="00144590">
        <w:rPr>
          <w:rFonts w:ascii="Cambria" w:hAnsi="Cambria"/>
        </w:rPr>
        <w:t>”,</w:t>
      </w:r>
      <w:r w:rsidR="00144590" w:rsidRPr="003523D1">
        <w:rPr>
          <w:rFonts w:ascii="Cambria" w:hAnsi="Cambria"/>
        </w:rPr>
        <w:t xml:space="preserve"> polegając</w:t>
      </w:r>
      <w:r w:rsidR="00144590">
        <w:rPr>
          <w:rFonts w:ascii="Cambria" w:hAnsi="Cambria"/>
        </w:rPr>
        <w:t>ego</w:t>
      </w:r>
      <w:r w:rsidR="00144590" w:rsidRPr="003523D1">
        <w:rPr>
          <w:rFonts w:ascii="Cambria" w:hAnsi="Cambria"/>
        </w:rPr>
        <w:t xml:space="preserve"> na przebudowie jezdni na bitumiczną</w:t>
      </w:r>
      <w:r w:rsidR="00144590">
        <w:rPr>
          <w:rFonts w:ascii="Cambria" w:hAnsi="Cambria"/>
        </w:rPr>
        <w:t>.</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204525B6"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wykonanie dokumentacji projektowej oraz uzyskanie potrzebnych ostatecznych i prawomocnych decyzji administracyjnych, zgodnie z wymaganiami określonymi umowie</w:t>
      </w:r>
      <w:r w:rsidR="00FC3581">
        <w:rPr>
          <w:rFonts w:ascii="Cambria" w:hAnsi="Cambria" w:cs="Times New Roman"/>
        </w:rPr>
        <w:t>, SIWZ i wytycznymi Zamawiającego</w:t>
      </w:r>
      <w:r>
        <w:rPr>
          <w:rFonts w:ascii="Cambria" w:hAnsi="Cambria" w:cs="Times New Roman"/>
        </w:rPr>
        <w:t>,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08070D15" w:rsidR="008427DA" w:rsidRPr="00DC3E6E" w:rsidRDefault="00B73003" w:rsidP="00DC3E6E">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DC3E6E">
        <w:rPr>
          <w:rFonts w:ascii="Cambria" w:hAnsi="Cambria" w:cs="Times New Roman"/>
        </w:rPr>
        <w:t>–</w:t>
      </w:r>
      <w:r w:rsidR="00DC3E6E" w:rsidRPr="00DC3E6E">
        <w:rPr>
          <w:rFonts w:ascii="Cambria" w:hAnsi="Cambria"/>
        </w:rPr>
        <w:t>„Budowa dróg gminnych wewnętrznych osiedlowych w miejscowości Piekoszów  na dz. 1578/324, 1578/325, 1578/204, obręb 0013 Piekoszów”, polegającego na przebudowie jezdni na bitumiczną</w:t>
      </w:r>
      <w:r w:rsidR="00DC3E6E">
        <w:rPr>
          <w:rFonts w:ascii="Cambria" w:hAnsi="Cambria"/>
        </w:rPr>
        <w:t xml:space="preserve">, </w:t>
      </w:r>
      <w:r w:rsidRPr="00DC3E6E">
        <w:rPr>
          <w:rFonts w:ascii="Cambria" w:hAnsi="Cambria" w:cs="Times New Roman"/>
        </w:rPr>
        <w:t>i/lub przygotowanie zmian w dokumentacji projektowej</w:t>
      </w:r>
      <w:r w:rsidR="008427DA" w:rsidRPr="00DC3E6E">
        <w:rPr>
          <w:rFonts w:ascii="Cambria" w:hAnsi="Cambria" w:cs="Times New Roman"/>
        </w:rPr>
        <w:t xml:space="preserve">, </w:t>
      </w:r>
      <w:r w:rsidR="008427DA" w:rsidRPr="00DC3E6E">
        <w:rPr>
          <w:rFonts w:ascii="Cambria" w:hAnsi="Cambria"/>
        </w:rPr>
        <w:t xml:space="preserve">których </w:t>
      </w:r>
      <w:r w:rsidR="008427DA" w:rsidRPr="00DC3E6E">
        <w:rPr>
          <w:rFonts w:ascii="Cambria" w:hAnsi="Cambria"/>
        </w:rPr>
        <w:lastRenderedPageBreak/>
        <w:t>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posadawiania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7D2A8427" w:rsidR="008427DA" w:rsidRPr="00FC3581"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631CD908" w14:textId="532977B6" w:rsidR="00FC3581" w:rsidRPr="00FC3581" w:rsidRDefault="00FC3581" w:rsidP="00FC3581">
      <w:pPr>
        <w:pStyle w:val="Akapitzlist"/>
        <w:numPr>
          <w:ilvl w:val="3"/>
          <w:numId w:val="11"/>
        </w:numPr>
        <w:spacing w:after="0" w:line="276" w:lineRule="auto"/>
        <w:ind w:left="284" w:hanging="284"/>
        <w:jc w:val="both"/>
        <w:rPr>
          <w:rFonts w:ascii="Cambria" w:hAnsi="Cambria"/>
        </w:rPr>
      </w:pPr>
      <w:r w:rsidRPr="00604294">
        <w:rPr>
          <w:rFonts w:ascii="Cambria" w:hAnsi="Cambria"/>
        </w:rPr>
        <w:lastRenderedPageBreak/>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„ath.”</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Dokumentacja, w tym poszczególne jej elementy (w szczególności: raporty, mapy, wykresy, rysunki, plany, ekspertyzy, obliczenia), stworzone w trakcie realizacji niniejszej umowy podlegają ochronie przewidzianej w ustawie z dnia 04 lutego 1994 roku o prawie autorskim i </w:t>
      </w:r>
      <w:r w:rsidRPr="00A43C0E">
        <w:rPr>
          <w:rFonts w:ascii="Cambria" w:hAnsi="Cambria"/>
        </w:rPr>
        <w:lastRenderedPageBreak/>
        <w:t>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Blue-ray,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lastRenderedPageBreak/>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t>
      </w:r>
      <w:r w:rsidR="00AF74B9" w:rsidRPr="00AF74B9">
        <w:rPr>
          <w:rFonts w:ascii="Cambria" w:hAnsi="Cambria"/>
        </w:rPr>
        <w:lastRenderedPageBreak/>
        <w:t>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0"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0"/>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1"/>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1E34589D"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w:t>
      </w:r>
      <w:r w:rsidR="00FC3581">
        <w:rPr>
          <w:rFonts w:ascii="Cambria" w:hAnsi="Cambria"/>
        </w:rPr>
        <w:t>9</w:t>
      </w:r>
      <w:r w:rsidR="00FD6905" w:rsidRPr="00FD6905">
        <w:rPr>
          <w:rFonts w:ascii="Cambria" w:hAnsi="Cambria"/>
        </w:rPr>
        <w:t xml:space="preserve"> (</w:t>
      </w:r>
      <w:r w:rsidR="00FC3581">
        <w:rPr>
          <w:rFonts w:ascii="Cambria" w:hAnsi="Cambria"/>
        </w:rPr>
        <w:t>dziewięć</w:t>
      </w:r>
      <w:bookmarkStart w:id="2" w:name="_GoBack"/>
      <w:bookmarkEnd w:id="2"/>
      <w:r w:rsidR="00FD6905" w:rsidRPr="00FD6905">
        <w:rPr>
          <w:rFonts w:ascii="Cambria" w:hAnsi="Cambria"/>
        </w:rPr>
        <w:t xml:space="preserve">)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lastRenderedPageBreak/>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w:t>
      </w:r>
      <w:r w:rsidRPr="00151F38">
        <w:rPr>
          <w:rFonts w:ascii="Cambria" w:hAnsi="Cambria"/>
        </w:rPr>
        <w:lastRenderedPageBreak/>
        <w:t>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lastRenderedPageBreak/>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lastRenderedPageBreak/>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144590"/>
    <w:rsid w:val="00151F38"/>
    <w:rsid w:val="002A5482"/>
    <w:rsid w:val="002D6CAC"/>
    <w:rsid w:val="0056771D"/>
    <w:rsid w:val="005D5773"/>
    <w:rsid w:val="00740FD7"/>
    <w:rsid w:val="007A3C6F"/>
    <w:rsid w:val="008427DA"/>
    <w:rsid w:val="009627E5"/>
    <w:rsid w:val="00A01261"/>
    <w:rsid w:val="00A43C0E"/>
    <w:rsid w:val="00AF74B9"/>
    <w:rsid w:val="00B73003"/>
    <w:rsid w:val="00C660EE"/>
    <w:rsid w:val="00C85A4E"/>
    <w:rsid w:val="00DC3E6E"/>
    <w:rsid w:val="00E26537"/>
    <w:rsid w:val="00F24AE0"/>
    <w:rsid w:val="00FC3581"/>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4827</Words>
  <Characters>28965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6</cp:revision>
  <dcterms:created xsi:type="dcterms:W3CDTF">2020-03-31T09:34:00Z</dcterms:created>
  <dcterms:modified xsi:type="dcterms:W3CDTF">2020-03-31T11:03:00Z</dcterms:modified>
</cp:coreProperties>
</file>