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EEE" w:rsidRPr="00FC6030" w:rsidRDefault="00995EEE" w:rsidP="00FC6030">
      <w:pPr>
        <w:spacing w:after="0" w:line="360" w:lineRule="auto"/>
        <w:ind w:left="225"/>
        <w:jc w:val="center"/>
        <w:rPr>
          <w:rFonts w:ascii="Arial CE" w:eastAsia="Times New Roman" w:hAnsi="Arial CE" w:cs="Arial CE"/>
          <w:b/>
          <w:bCs/>
          <w:sz w:val="18"/>
          <w:szCs w:val="18"/>
        </w:rPr>
      </w:pPr>
      <w:r w:rsidRPr="00FC6030">
        <w:rPr>
          <w:rFonts w:ascii="Arial CE" w:eastAsia="Times New Roman" w:hAnsi="Arial CE" w:cs="Arial CE"/>
          <w:b/>
          <w:bCs/>
          <w:sz w:val="18"/>
          <w:szCs w:val="18"/>
        </w:rPr>
        <w:t>Ostroróg: Kompleksowa obsługa bankowa budżetu Miasta i Gminy Ostroróg oraz jednostek organizacyjnych w latach</w:t>
      </w:r>
      <w:r w:rsidR="00FC6030">
        <w:rPr>
          <w:rFonts w:ascii="Arial CE" w:eastAsia="Times New Roman" w:hAnsi="Arial CE" w:cs="Arial CE"/>
          <w:b/>
          <w:bCs/>
          <w:sz w:val="18"/>
          <w:szCs w:val="18"/>
        </w:rPr>
        <w:t xml:space="preserve"> </w:t>
      </w:r>
      <w:r w:rsidRPr="00FC6030">
        <w:rPr>
          <w:rFonts w:ascii="Arial CE" w:eastAsia="Times New Roman" w:hAnsi="Arial CE" w:cs="Arial CE"/>
          <w:b/>
          <w:bCs/>
          <w:sz w:val="18"/>
          <w:szCs w:val="18"/>
        </w:rPr>
        <w:t>2012-2015</w:t>
      </w:r>
    </w:p>
    <w:p w:rsidR="00995EEE" w:rsidRPr="00FC6030" w:rsidRDefault="00995EEE" w:rsidP="00FC6030">
      <w:pPr>
        <w:spacing w:after="0" w:line="360" w:lineRule="auto"/>
        <w:ind w:left="225"/>
        <w:jc w:val="center"/>
        <w:rPr>
          <w:rFonts w:ascii="Arial CE" w:eastAsia="Times New Roman" w:hAnsi="Arial CE" w:cs="Arial CE"/>
          <w:b/>
          <w:bCs/>
          <w:sz w:val="18"/>
          <w:szCs w:val="18"/>
        </w:rPr>
      </w:pPr>
      <w:r w:rsidRPr="00FC6030">
        <w:rPr>
          <w:rFonts w:ascii="Arial CE" w:eastAsia="Times New Roman" w:hAnsi="Arial CE" w:cs="Arial CE"/>
          <w:b/>
          <w:bCs/>
          <w:sz w:val="18"/>
          <w:szCs w:val="18"/>
        </w:rPr>
        <w:t>Numer ogłoszenia: 379022 - 2011; data zamieszczenia: 15.11.2011</w:t>
      </w:r>
      <w:r w:rsidRPr="00FC6030">
        <w:rPr>
          <w:rFonts w:ascii="Arial CE" w:eastAsia="Times New Roman" w:hAnsi="Arial CE" w:cs="Arial CE"/>
          <w:sz w:val="18"/>
          <w:szCs w:val="18"/>
        </w:rPr>
        <w:br/>
        <w:t>OGŁOSZENIE O ZAMÓWIENIU - usługi</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Zamieszczanie ogłoszenia:</w:t>
      </w:r>
      <w:r w:rsidRPr="00FC6030">
        <w:rPr>
          <w:rFonts w:ascii="Arial CE" w:eastAsia="Times New Roman" w:hAnsi="Arial CE" w:cs="Arial CE"/>
          <w:sz w:val="18"/>
          <w:szCs w:val="18"/>
        </w:rPr>
        <w:t xml:space="preserve"> obowiązkowe.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Ogłoszenie dotyczy:</w:t>
      </w:r>
      <w:r w:rsidRPr="00FC6030">
        <w:rPr>
          <w:rFonts w:ascii="Arial CE" w:eastAsia="Times New Roman" w:hAnsi="Arial CE" w:cs="Arial CE"/>
          <w:sz w:val="18"/>
          <w:szCs w:val="18"/>
        </w:rPr>
        <w:t xml:space="preserve"> zamówienia publicznego.</w:t>
      </w:r>
    </w:p>
    <w:p w:rsidR="00995EEE" w:rsidRPr="00FC6030" w:rsidRDefault="00995EEE" w:rsidP="00FC6030">
      <w:pPr>
        <w:spacing w:after="0" w:line="360" w:lineRule="auto"/>
        <w:rPr>
          <w:rFonts w:ascii="Arial CE" w:eastAsia="Times New Roman" w:hAnsi="Arial CE" w:cs="Arial CE"/>
          <w:b/>
          <w:bCs/>
          <w:sz w:val="18"/>
          <w:szCs w:val="18"/>
          <w:u w:val="single"/>
        </w:rPr>
      </w:pPr>
      <w:r w:rsidRPr="00FC6030">
        <w:rPr>
          <w:rFonts w:ascii="Arial CE" w:eastAsia="Times New Roman" w:hAnsi="Arial CE" w:cs="Arial CE"/>
          <w:b/>
          <w:bCs/>
          <w:sz w:val="18"/>
          <w:szCs w:val="18"/>
          <w:u w:val="single"/>
        </w:rPr>
        <w:t>SEKCJA I: ZAMAWIAJĄCY</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 1) NAZWA I ADRES:</w:t>
      </w:r>
      <w:r w:rsidRPr="00FC6030">
        <w:rPr>
          <w:rFonts w:ascii="Arial CE" w:eastAsia="Times New Roman" w:hAnsi="Arial CE" w:cs="Arial CE"/>
          <w:sz w:val="18"/>
          <w:szCs w:val="18"/>
        </w:rPr>
        <w:t xml:space="preserve"> Miasto i Gmina Ostroróg , ul. Wroniecka 14, 64-560 Ostroróg, woj. wielkopolskie, tel. 061 29 31 710, faks 061 29 31 712.</w:t>
      </w:r>
    </w:p>
    <w:p w:rsidR="00995EEE" w:rsidRPr="00FC6030" w:rsidRDefault="00995EEE" w:rsidP="00FC6030">
      <w:pPr>
        <w:numPr>
          <w:ilvl w:val="0"/>
          <w:numId w:val="1"/>
        </w:numPr>
        <w:spacing w:after="0" w:line="360" w:lineRule="auto"/>
        <w:ind w:left="450"/>
        <w:rPr>
          <w:rFonts w:ascii="Arial CE" w:eastAsia="Times New Roman" w:hAnsi="Arial CE" w:cs="Arial CE"/>
          <w:sz w:val="18"/>
          <w:szCs w:val="18"/>
        </w:rPr>
      </w:pPr>
      <w:r w:rsidRPr="00FC6030">
        <w:rPr>
          <w:rFonts w:ascii="Arial CE" w:eastAsia="Times New Roman" w:hAnsi="Arial CE" w:cs="Arial CE"/>
          <w:b/>
          <w:bCs/>
          <w:sz w:val="18"/>
          <w:szCs w:val="18"/>
        </w:rPr>
        <w:t>Adres strony internetowej zamawiającego:</w:t>
      </w:r>
      <w:r w:rsidRPr="00FC6030">
        <w:rPr>
          <w:rFonts w:ascii="Arial CE" w:eastAsia="Times New Roman" w:hAnsi="Arial CE" w:cs="Arial CE"/>
          <w:sz w:val="18"/>
          <w:szCs w:val="18"/>
        </w:rPr>
        <w:t xml:space="preserve"> www.ostrorog.pl</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 2) RODZAJ ZAMAWIAJĄCEGO:</w:t>
      </w:r>
      <w:r w:rsidRPr="00FC6030">
        <w:rPr>
          <w:rFonts w:ascii="Arial CE" w:eastAsia="Times New Roman" w:hAnsi="Arial CE" w:cs="Arial CE"/>
          <w:sz w:val="18"/>
          <w:szCs w:val="18"/>
        </w:rPr>
        <w:t xml:space="preserve"> Administracja samorządowa.</w:t>
      </w:r>
    </w:p>
    <w:p w:rsidR="00995EEE" w:rsidRPr="00FC6030" w:rsidRDefault="00995EEE" w:rsidP="00FC6030">
      <w:pPr>
        <w:spacing w:after="0" w:line="360" w:lineRule="auto"/>
        <w:rPr>
          <w:rFonts w:ascii="Arial CE" w:eastAsia="Times New Roman" w:hAnsi="Arial CE" w:cs="Arial CE"/>
          <w:b/>
          <w:bCs/>
          <w:sz w:val="18"/>
          <w:szCs w:val="18"/>
          <w:u w:val="single"/>
        </w:rPr>
      </w:pPr>
      <w:r w:rsidRPr="00FC6030">
        <w:rPr>
          <w:rFonts w:ascii="Arial CE" w:eastAsia="Times New Roman" w:hAnsi="Arial CE" w:cs="Arial CE"/>
          <w:b/>
          <w:bCs/>
          <w:sz w:val="18"/>
          <w:szCs w:val="18"/>
          <w:u w:val="single"/>
        </w:rPr>
        <w:t>SEKCJA II: PRZEDMIOT ZAMÓWIENIA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 OKREŚLENIE PRZEDMIOTU ZAMÓWIENIA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II.1.1) Nazwa nadana zamówieniu przez zamawiającego:</w:t>
      </w:r>
      <w:r w:rsidRPr="00FC6030">
        <w:rPr>
          <w:rFonts w:ascii="Arial CE" w:eastAsia="Times New Roman" w:hAnsi="Arial CE" w:cs="Arial CE"/>
          <w:sz w:val="18"/>
          <w:szCs w:val="18"/>
        </w:rPr>
        <w:t xml:space="preserve"> Kompleksowa obsługa bankowa budżetu Miasta i Gminy Ostroróg oraz jednostek organizacyjnych w latach 2012-2015..</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II.1.2) Rodzaj zamówienia:</w:t>
      </w:r>
      <w:r w:rsidRPr="00FC6030">
        <w:rPr>
          <w:rFonts w:ascii="Arial CE" w:eastAsia="Times New Roman" w:hAnsi="Arial CE" w:cs="Arial CE"/>
          <w:sz w:val="18"/>
          <w:szCs w:val="18"/>
        </w:rPr>
        <w:t xml:space="preserve"> usługi.</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II.1.3) Określenie przedmiotu oraz wielkości lub zakresu zamówienia:</w:t>
      </w:r>
      <w:r w:rsidRPr="00FC6030">
        <w:rPr>
          <w:rFonts w:ascii="Arial CE" w:eastAsia="Times New Roman" w:hAnsi="Arial CE" w:cs="Arial CE"/>
          <w:sz w:val="18"/>
          <w:szCs w:val="18"/>
        </w:rPr>
        <w:t xml:space="preserve"> Kompleksowa obsługa bankowa obejmuje: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1 Bieżącą obsługę bankową: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a) otwieranie rachunku bieżącego, rachunków pomocniczych oraz rachunków funduszy specjalnych, w tym rachunków związanych z rozliczaniem środków otrzymanych z funduszy Unii Europejskiej,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b) nieodpłatne prowadzenie rachunku bieżącego, rachunków pomocniczych oraz rachunków funduszy specjalnych, w tym rachunków związanych z rozliczaniem środków otrzymanych z funduszy Unii Europejskiej, c) realizację poleceń przelewu na rachunki prowadzone w banku obsługującym oraz innych bankach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d) nieodpłatne przyjmowanie różnorodnych wpłat gotówkowych,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e) nieodpłatne dokonywanie wypłat gotówkowych,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f) przechowywanie depozytów</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2 Pozostałe usługi bankowe: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a) nieodpłatne wydawanie książeczek czeków gotówkowych, ich potwierdzanie,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b) nieodpłatne wydawanie opinii bankowej o prowadzonym rachunku bankowym oraz innych opinii i zaświadczeń,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c) nieodpłatne dostarczanie wyciągów bankowych w formie papierowej lub w formie pliku elektronicznego,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d) realizacja lokat terminowych ( 1 lub 3 miesięcznych) na zlecenie Gminy Ostroróg, w tym lokat </w:t>
      </w:r>
      <w:proofErr w:type="spellStart"/>
      <w:r w:rsidRPr="00FC6030">
        <w:rPr>
          <w:rFonts w:ascii="Arial CE" w:eastAsia="Times New Roman" w:hAnsi="Arial CE" w:cs="Arial CE"/>
          <w:sz w:val="18"/>
          <w:szCs w:val="18"/>
        </w:rPr>
        <w:t>overnight</w:t>
      </w:r>
      <w:proofErr w:type="spellEnd"/>
      <w:r w:rsidRPr="00FC6030">
        <w:rPr>
          <w:rFonts w:ascii="Arial CE" w:eastAsia="Times New Roman" w:hAnsi="Arial CE" w:cs="Arial CE"/>
          <w:sz w:val="18"/>
          <w:szCs w:val="18"/>
        </w:rPr>
        <w:t xml:space="preserve"> - każdych wolnych środków, w przypadku korzystniejszego oprocentowania w stosunku do oprocentowania rachunku bieżącego, automatycznie tj. bez dodatkowych formalności na koniec dnia. Powrót środków pieniężnych z lokaty wraz z należnymi odsetkami nastąpi następnego dnia roboczego nie później niż do godz. 8:00 i będzie to pierwsza operacja na rachunku bankowym. Uruchamianie takiej opcji będzie następować automatycznie bez dodatkowych formalności ( bez odrębnej dyspozycji Zamawiającego) w postaci przeksięgowania środków pieniężnych z rachunku Zamawiającego na rachunek depozytu automatycznego w wysokości salda pomniejszonego o kwotę 100.000.00 zł Ponadto Zamawiający zastrzega możliwość rezygnacji z tej usługi w dowolnym czasie obowiązywania umowy. Uruchomienie jak również rezygnacja z tej opcji odbędzie się bez żadnych prowizji i opłat. Oprocentowanie liczone jako dzienna stawka WIBID O/N powiększona /pomniejszona o określoną w złożonej ofercie marżę banku. Marża pozostanie stała w okresie obowiązywania umowy. W przypadku likwidacji stawiki WIBID O/N, stawka ta zostanie zmieniona na stawkę która ją zastąpi, albo na stawkę najbardziej zbliżoną swoją wielkością i charakterem.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lastRenderedPageBreak/>
        <w:t>e) realizacja lokat typu 3 - dniowej lokaty weekendowej - bez ponoszenia z tego tytułu prowizji czy opłat przez Zamawiającego, w przypadku gdy stawka oprocentowania będzie wyższa niż oprocentowanie środków na rachunku bankowym. Uruchamianie takiej opcji będzie następować automatycznie bez dodatkowych formalności ( bez odrębnej dyspozycji Zamawiającego) w postaci przeksięgowania środków pieniężnych z rachunku Zamawiającego na rachunek depozytu automatycznego w wysokości salda pomniejszonego o kwotę 100.000,00 zł. Powrót środków pieniężnych ze wskazanej lokaty wraz z należnymi odsetkami nastąpi pierwszego dnia roboczego po weekendzie. Środki będą do dyspozycji Zamawiającego nie później niż o godz. 8.00.</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f) oprocentowanie środków na rachunkach bankowych - odsetki od środków zgromadzonych na rachunkach będą naliczane codziennie i dopisywanie w ostatnim dniu miesiąca. Oprocentowanie środków będzie stanowiła zmienna stopa procentowa oparta odpowiednio na stawce WIBID 1 M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3. Zapewnienie bezpłatnie instalacji i serwisu elektronicznego systemu obsługi bankowej wraz z przeszkoleniem pracowników.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a) dostęp do usług przez 24 godziny w każdym dniu roboczym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b) dokonywanie operacji w czasie rzeczywistym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c) możliwość dokonywania przelewów bankowych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d) pełną informację o dacie i godzinie operacji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e) generowanie ( wydruk) wyciągów bankowych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f) realizację zleceń w systemie pozwalającym na obciążenie rachunków i uznanie wierzyciela w dniu złożenia dyspozycji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g) przechowywanie przelewów i wyciągów w archiwum systemu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h) nadawanie nowych bądź zmiana istniejących uprawnień użytkowników systemu w dowolnym momencie obowiązywania umowy, na podstawie pisemnej dyspozycji,</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i) umożliwienie użytkownikowi dysponowania podpisem elektronicznym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j) korzystanie z poczty elektronicznej, z dostępem do informacji bankowych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k) wykonywanie analiz i raportów z operacji i transakcji za wskazane okresy z możliwością i drukowania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l) bezpieczny chroniony hasłami dostęp do kont bankowych, z transmisją danych każdorazowo kodowaną,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m) możliwość korzystania z systemu na co najmniej 2 stanowiskach w siedzibie Zamawiającego i na co najmniej 5 stanowiskach w jednostkach podległych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n) prowadzenie serwisu oprogramowania, przekazywanie i instalowanie wersji aktualizujących, usuwanie awarii w możliwie najkrótszym czasie, przy czym reakcja serwisu od chwili zgłoszenia powinna nastąpić w ciągu 3 godzin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o) przeszkolenie pracowników w zależności od zgłoszonych potrzeb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4. Uruchamianie kredytu w rachunku bieżącym w wysokości określonej upoważnieniem w uchwale budżetowej nie więcej niż ok. 200.000,00 zł) rocznie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a) zabezpieczeniem kredytu będzie weksel własny In blanco wraz z deklaracją wekslową,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b) każdy wpływ na rachunek bieżący będzie powodował zmniejszenie salda kredytu,</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c) uruchomienie kredytu będzie następować bez żadnych prowizji i opłat,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d) wykonawca nie będzie pobierał prowizji i opłaty od salda niewykorzystanej części kredytu,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e) kredyt powinien zostać postawiony do dyspozycji nie później niż w ciągu dwóch dni od daty podpisania odrębnej umowy kredytowej,</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f) Zamawiający płaci odsetki od rzeczywistego zadłużenia,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g) Kredyt oprocentowany będzie według dziennej stawki bazowej WIBOR dla depozytów 1M ustaloną jako średnia arytmetyczna notowań stawki WIBOR 1M za miesiąc poprzedzający kolejny miesięczny okres </w:t>
      </w:r>
      <w:r w:rsidRPr="00FC6030">
        <w:rPr>
          <w:rFonts w:ascii="Arial CE" w:eastAsia="Times New Roman" w:hAnsi="Arial CE" w:cs="Arial CE"/>
          <w:sz w:val="18"/>
          <w:szCs w:val="18"/>
        </w:rPr>
        <w:lastRenderedPageBreak/>
        <w:t xml:space="preserve">odsetkowy, powiększonej lub pomniejszonej o marżę Wykonawcy w wysokości określonej w złożonej ofercie, stałą w okresie obowiązywania zamówienia,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h) odsetki od wykorzystywanego kredytu naliczane będą w miesięcznych okresach obrachunkowych, przy czym pierwszy okres rozpoczyna się od dnia postawienia kredytu do dyspozycji Zamawiającego, kolejne okresy liczone są od następnego dnia po zakończeniu poprzedniego okresu, ostatni okres obrachunkowy kończy się w dniu poprzedzającym dzień całkowitej spłaty kredytu, </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i) zmiana stawek bazowych nie wymaga odrębnego powiadomienia Zamawiającego,</w:t>
      </w:r>
    </w:p>
    <w:p w:rsid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j) w przypadku likwidacji stawki WIBOR 1M, zostanie ona zmieniona na stawkę, która zastąpi stawkę WIBOR 1M, albo najbardziej zbliżoną swoją wielkością i charakterem do stawki WIBOR 1M,</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sz w:val="18"/>
          <w:szCs w:val="18"/>
        </w:rPr>
        <w:t xml:space="preserve"> 5. Zamówieniem niniejszym objęte są następujące jednostki organizacyjne Miasta i Gminy Ostroróg: a) Urząd Miasta i Gminy Ostroróg b) Ośrodek Pomocy Społecznej w Ostrorogu c) Przedszkole Miś Uszatek w Ostrorogu, d) Zespół Szkół w Ostrorogu, e) Szkoła Podstawowa w Bininie f) Biblioteka Publiczna w Ostrorogu.</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II.1.4) Czy przewiduje się udzielenie zamówień uzupełniających:</w:t>
      </w:r>
      <w:r w:rsidRPr="00FC6030">
        <w:rPr>
          <w:rFonts w:ascii="Arial CE" w:eastAsia="Times New Roman" w:hAnsi="Arial CE" w:cs="Arial CE"/>
          <w:sz w:val="18"/>
          <w:szCs w:val="18"/>
        </w:rPr>
        <w:t xml:space="preserve"> nie.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II.1.5) Wspólny Słownik Zamówień (CPV):</w:t>
      </w:r>
      <w:r w:rsidRPr="00FC6030">
        <w:rPr>
          <w:rFonts w:ascii="Arial CE" w:eastAsia="Times New Roman" w:hAnsi="Arial CE" w:cs="Arial CE"/>
          <w:sz w:val="18"/>
          <w:szCs w:val="18"/>
        </w:rPr>
        <w:t xml:space="preserve"> 66.11.00.00-4, 66.12.00.00-7, 66.13.00.00-0.</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II.1.6) Czy dopuszcza się złożenie oferty częściowej:</w:t>
      </w:r>
      <w:r w:rsidRPr="00FC6030">
        <w:rPr>
          <w:rFonts w:ascii="Arial CE" w:eastAsia="Times New Roman" w:hAnsi="Arial CE" w:cs="Arial CE"/>
          <w:sz w:val="18"/>
          <w:szCs w:val="18"/>
        </w:rPr>
        <w:t xml:space="preserve"> nie.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II.1.7) Czy dopuszcza się złożenie oferty wariantowej:</w:t>
      </w:r>
      <w:r w:rsidRPr="00FC6030">
        <w:rPr>
          <w:rFonts w:ascii="Arial CE" w:eastAsia="Times New Roman" w:hAnsi="Arial CE" w:cs="Arial CE"/>
          <w:sz w:val="18"/>
          <w:szCs w:val="18"/>
        </w:rPr>
        <w:t xml:space="preserve"> nie.</w:t>
      </w:r>
    </w:p>
    <w:p w:rsidR="00995EEE" w:rsidRPr="00FC6030" w:rsidRDefault="00995EEE" w:rsidP="00FC6030">
      <w:pPr>
        <w:spacing w:after="0" w:line="360" w:lineRule="auto"/>
        <w:rPr>
          <w:rFonts w:ascii="Arial CE" w:eastAsia="Times New Roman" w:hAnsi="Arial CE" w:cs="Arial CE"/>
          <w:sz w:val="18"/>
          <w:szCs w:val="18"/>
        </w:rPr>
      </w:pP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II.2) CZAS TRWANIA ZAMÓWIENIA LUB TERMIN WYKONANIA:</w:t>
      </w:r>
      <w:r w:rsidRPr="00FC6030">
        <w:rPr>
          <w:rFonts w:ascii="Arial CE" w:eastAsia="Times New Roman" w:hAnsi="Arial CE" w:cs="Arial CE"/>
          <w:sz w:val="18"/>
          <w:szCs w:val="18"/>
        </w:rPr>
        <w:t xml:space="preserve"> Zakończenie: 31.12.2015.</w:t>
      </w:r>
    </w:p>
    <w:p w:rsidR="00995EEE" w:rsidRPr="00FC6030" w:rsidRDefault="00995EEE" w:rsidP="00FC6030">
      <w:pPr>
        <w:spacing w:after="0" w:line="360" w:lineRule="auto"/>
        <w:rPr>
          <w:rFonts w:ascii="Arial CE" w:eastAsia="Times New Roman" w:hAnsi="Arial CE" w:cs="Arial CE"/>
          <w:b/>
          <w:bCs/>
          <w:sz w:val="18"/>
          <w:szCs w:val="18"/>
          <w:u w:val="single"/>
        </w:rPr>
      </w:pPr>
      <w:r w:rsidRPr="00FC6030">
        <w:rPr>
          <w:rFonts w:ascii="Arial CE" w:eastAsia="Times New Roman" w:hAnsi="Arial CE" w:cs="Arial CE"/>
          <w:b/>
          <w:bCs/>
          <w:sz w:val="18"/>
          <w:szCs w:val="18"/>
          <w:u w:val="single"/>
        </w:rPr>
        <w:t>SEKCJA III: INFORMACJE O CHARAKTERZE PRAWNYM, EKONOMICZNYM, FINANSOWYM I TECHNICZNYM</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III.1) WADIUM</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Informacja na temat wadium:</w:t>
      </w:r>
      <w:r w:rsidRPr="00FC6030">
        <w:rPr>
          <w:rFonts w:ascii="Arial CE" w:eastAsia="Times New Roman" w:hAnsi="Arial CE" w:cs="Arial CE"/>
          <w:sz w:val="18"/>
          <w:szCs w:val="18"/>
        </w:rPr>
        <w:t xml:space="preserve"> Zamawiający nie żąda wniesienia wadium</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III.2) ZALICZKI</w:t>
      </w:r>
    </w:p>
    <w:p w:rsidR="00995EEE" w:rsidRPr="00FC6030" w:rsidRDefault="00995EEE" w:rsidP="00FC6030">
      <w:pPr>
        <w:numPr>
          <w:ilvl w:val="0"/>
          <w:numId w:val="2"/>
        </w:numPr>
        <w:spacing w:after="0" w:line="360" w:lineRule="auto"/>
        <w:ind w:left="450"/>
        <w:rPr>
          <w:rFonts w:ascii="Arial CE" w:eastAsia="Times New Roman" w:hAnsi="Arial CE" w:cs="Arial CE"/>
          <w:sz w:val="18"/>
          <w:szCs w:val="18"/>
        </w:rPr>
      </w:pPr>
      <w:r w:rsidRPr="00FC6030">
        <w:rPr>
          <w:rFonts w:ascii="Arial CE" w:eastAsia="Times New Roman" w:hAnsi="Arial CE" w:cs="Arial CE"/>
          <w:b/>
          <w:bCs/>
          <w:sz w:val="18"/>
          <w:szCs w:val="18"/>
        </w:rPr>
        <w:t>Czy przewiduje się udzielenie zaliczek na poczet wykonania zamówienia:</w:t>
      </w:r>
      <w:r w:rsidRPr="00FC6030">
        <w:rPr>
          <w:rFonts w:ascii="Arial CE" w:eastAsia="Times New Roman" w:hAnsi="Arial CE" w:cs="Arial CE"/>
          <w:sz w:val="18"/>
          <w:szCs w:val="18"/>
        </w:rPr>
        <w:t xml:space="preserve"> nie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III.3) WARUNKI UDZIAŁU W POSTĘPOWANIU ORAZ OPIS SPOSOBU DOKONYWANIA OCENY SPEŁNIANIA TYCH WARUNKÓW</w:t>
      </w:r>
    </w:p>
    <w:p w:rsidR="00995EEE" w:rsidRPr="00FC6030" w:rsidRDefault="00995EEE" w:rsidP="00FC6030">
      <w:pPr>
        <w:numPr>
          <w:ilvl w:val="0"/>
          <w:numId w:val="3"/>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 3.1) Uprawnienia do wykonywania określonej działalności lub czynności, jeżeli przepisy prawa nakładają obowiązek ich posiadania</w:t>
      </w:r>
    </w:p>
    <w:p w:rsidR="00995EEE" w:rsidRPr="00FC6030" w:rsidRDefault="00995EEE" w:rsidP="00FC6030">
      <w:p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Opis sposobu dokonywania oceny spełniania tego warunku</w:t>
      </w:r>
    </w:p>
    <w:p w:rsidR="00995EEE" w:rsidRPr="00FC6030" w:rsidRDefault="00995EEE" w:rsidP="00FC6030">
      <w:pPr>
        <w:numPr>
          <w:ilvl w:val="1"/>
          <w:numId w:val="3"/>
        </w:numPr>
        <w:spacing w:after="0" w:line="360" w:lineRule="auto"/>
        <w:ind w:left="1125"/>
        <w:rPr>
          <w:rFonts w:ascii="Arial CE" w:eastAsia="Times New Roman" w:hAnsi="Arial CE" w:cs="Arial CE"/>
          <w:sz w:val="18"/>
          <w:szCs w:val="18"/>
        </w:rPr>
      </w:pPr>
      <w:r w:rsidRPr="00FC6030">
        <w:rPr>
          <w:rFonts w:ascii="Arial CE" w:eastAsia="Times New Roman" w:hAnsi="Arial CE" w:cs="Arial CE"/>
          <w:sz w:val="18"/>
          <w:szCs w:val="18"/>
        </w:rPr>
        <w:t>Warunek zostanie spełniony jeżeli Wykonawca wykaże, że posiada uprawnienia do prowadzenia działalności bankowej ( zezwolenie Komisji Nadzoru Finansowego/Bankowego lub inny równoważny dokument</w:t>
      </w:r>
    </w:p>
    <w:p w:rsidR="00995EEE" w:rsidRPr="00FC6030" w:rsidRDefault="00995EEE" w:rsidP="00FC6030">
      <w:pPr>
        <w:numPr>
          <w:ilvl w:val="0"/>
          <w:numId w:val="3"/>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III.3.2) Wiedza i doświadczenie</w:t>
      </w:r>
    </w:p>
    <w:p w:rsidR="00995EEE" w:rsidRPr="00FC6030" w:rsidRDefault="00995EEE" w:rsidP="00FC6030">
      <w:p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Opis sposobu dokonywania oceny spełniania tego warunku</w:t>
      </w:r>
    </w:p>
    <w:p w:rsidR="00995EEE" w:rsidRPr="00FC6030" w:rsidRDefault="00995EEE" w:rsidP="00FC6030">
      <w:pPr>
        <w:numPr>
          <w:ilvl w:val="1"/>
          <w:numId w:val="3"/>
        </w:numPr>
        <w:spacing w:after="0" w:line="360" w:lineRule="auto"/>
        <w:ind w:left="1125"/>
        <w:rPr>
          <w:rFonts w:ascii="Arial CE" w:eastAsia="Times New Roman" w:hAnsi="Arial CE" w:cs="Arial CE"/>
          <w:sz w:val="18"/>
          <w:szCs w:val="18"/>
        </w:rPr>
      </w:pPr>
      <w:r w:rsidRPr="00FC6030">
        <w:rPr>
          <w:rFonts w:ascii="Arial CE" w:eastAsia="Times New Roman" w:hAnsi="Arial CE" w:cs="Arial CE"/>
          <w:sz w:val="18"/>
          <w:szCs w:val="18"/>
        </w:rPr>
        <w:t>Zamawiający nie wyznacza szczegółowego warunku w tym zakresie. Spełnienie warunku oceniane będzie na podstawie treści złożonego oświadczenia</w:t>
      </w:r>
    </w:p>
    <w:p w:rsidR="00995EEE" w:rsidRPr="00FC6030" w:rsidRDefault="00995EEE" w:rsidP="00FC6030">
      <w:pPr>
        <w:numPr>
          <w:ilvl w:val="0"/>
          <w:numId w:val="3"/>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III.3.3) Potencjał techniczny</w:t>
      </w:r>
    </w:p>
    <w:p w:rsidR="00995EEE" w:rsidRPr="00FC6030" w:rsidRDefault="00995EEE" w:rsidP="00FC6030">
      <w:p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Opis sposobu dokonywania oceny spełniania tego warunku</w:t>
      </w:r>
    </w:p>
    <w:p w:rsidR="00995EEE" w:rsidRPr="00FC6030" w:rsidRDefault="00995EEE" w:rsidP="00FC6030">
      <w:pPr>
        <w:numPr>
          <w:ilvl w:val="1"/>
          <w:numId w:val="3"/>
        </w:numPr>
        <w:spacing w:after="0" w:line="360" w:lineRule="auto"/>
        <w:ind w:left="1125"/>
        <w:rPr>
          <w:rFonts w:ascii="Arial CE" w:eastAsia="Times New Roman" w:hAnsi="Arial CE" w:cs="Arial CE"/>
          <w:sz w:val="18"/>
          <w:szCs w:val="18"/>
        </w:rPr>
      </w:pPr>
      <w:r w:rsidRPr="00FC6030">
        <w:rPr>
          <w:rFonts w:ascii="Arial CE" w:eastAsia="Times New Roman" w:hAnsi="Arial CE" w:cs="Arial CE"/>
          <w:sz w:val="18"/>
          <w:szCs w:val="18"/>
        </w:rPr>
        <w:t xml:space="preserve">1. Zamawiający uzna za spełniony w/w warunek jeżeli Wykonawca posiada lub zobowiąże się posiadać ( od 01.01.2012r.) oddział Banku na terenie Miasta </w:t>
      </w:r>
      <w:proofErr w:type="spellStart"/>
      <w:r w:rsidRPr="00FC6030">
        <w:rPr>
          <w:rFonts w:ascii="Arial CE" w:eastAsia="Times New Roman" w:hAnsi="Arial CE" w:cs="Arial CE"/>
          <w:sz w:val="18"/>
          <w:szCs w:val="18"/>
        </w:rPr>
        <w:t>Ostroroga</w:t>
      </w:r>
      <w:proofErr w:type="spellEnd"/>
      <w:r w:rsidRPr="00FC6030">
        <w:rPr>
          <w:rFonts w:ascii="Arial CE" w:eastAsia="Times New Roman" w:hAnsi="Arial CE" w:cs="Arial CE"/>
          <w:sz w:val="18"/>
          <w:szCs w:val="18"/>
        </w:rPr>
        <w:t xml:space="preserve"> zapewniający obsługę od poniedziałku do piątku, co najmniej 7 godzin dziennie i będą go utrzymywać przez cały czas obowiązywania umowy, 2. zobowiążą się zainstalować system bankowości elektronicznej </w:t>
      </w:r>
      <w:proofErr w:type="spellStart"/>
      <w:r w:rsidRPr="00FC6030">
        <w:rPr>
          <w:rFonts w:ascii="Arial CE" w:eastAsia="Times New Roman" w:hAnsi="Arial CE" w:cs="Arial CE"/>
          <w:sz w:val="18"/>
          <w:szCs w:val="18"/>
        </w:rPr>
        <w:t>home-banking</w:t>
      </w:r>
      <w:proofErr w:type="spellEnd"/>
      <w:r w:rsidRPr="00FC6030">
        <w:rPr>
          <w:rFonts w:ascii="Arial CE" w:eastAsia="Times New Roman" w:hAnsi="Arial CE" w:cs="Arial CE"/>
          <w:sz w:val="18"/>
          <w:szCs w:val="18"/>
        </w:rPr>
        <w:t xml:space="preserve"> (</w:t>
      </w:r>
      <w:proofErr w:type="spellStart"/>
      <w:r w:rsidRPr="00FC6030">
        <w:rPr>
          <w:rFonts w:ascii="Arial CE" w:eastAsia="Times New Roman" w:hAnsi="Arial CE" w:cs="Arial CE"/>
          <w:sz w:val="18"/>
          <w:szCs w:val="18"/>
        </w:rPr>
        <w:t>np</w:t>
      </w:r>
      <w:proofErr w:type="spellEnd"/>
      <w:r w:rsidRPr="00FC6030">
        <w:rPr>
          <w:rFonts w:ascii="Arial CE" w:eastAsia="Times New Roman" w:hAnsi="Arial CE" w:cs="Arial CE"/>
          <w:sz w:val="18"/>
          <w:szCs w:val="18"/>
        </w:rPr>
        <w:t xml:space="preserve"> </w:t>
      </w:r>
      <w:proofErr w:type="spellStart"/>
      <w:r w:rsidRPr="00FC6030">
        <w:rPr>
          <w:rFonts w:ascii="Arial CE" w:eastAsia="Times New Roman" w:hAnsi="Arial CE" w:cs="Arial CE"/>
          <w:sz w:val="18"/>
          <w:szCs w:val="18"/>
        </w:rPr>
        <w:t>Multicash</w:t>
      </w:r>
      <w:proofErr w:type="spellEnd"/>
      <w:r w:rsidRPr="00FC6030">
        <w:rPr>
          <w:rFonts w:ascii="Arial CE" w:eastAsia="Times New Roman" w:hAnsi="Arial CE" w:cs="Arial CE"/>
          <w:sz w:val="18"/>
          <w:szCs w:val="18"/>
        </w:rPr>
        <w:t xml:space="preserve"> lub inny system) w Urzędzie Miasta i Gminy w Ostrorogu i we wszystkich jednostkach organizacyjnych Gminy posiadający funkcję przekazywania poleceń przelewów elektronicznie. 3. zagwarantują okres kapitalizacji odsetek na rachunku bieżącym i rachunkach </w:t>
      </w:r>
      <w:r w:rsidRPr="00FC6030">
        <w:rPr>
          <w:rFonts w:ascii="Arial CE" w:eastAsia="Times New Roman" w:hAnsi="Arial CE" w:cs="Arial CE"/>
          <w:sz w:val="18"/>
          <w:szCs w:val="18"/>
        </w:rPr>
        <w:lastRenderedPageBreak/>
        <w:t>pomocniczych w okresach miesięcznych. Spełnienie warunków ocenianie będzie na podstawie treści złożonego oświadczenia</w:t>
      </w:r>
    </w:p>
    <w:p w:rsidR="00995EEE" w:rsidRPr="00FC6030" w:rsidRDefault="00995EEE" w:rsidP="00FC6030">
      <w:pPr>
        <w:numPr>
          <w:ilvl w:val="0"/>
          <w:numId w:val="3"/>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III.3.4) Osoby zdolne do wykonania zamówienia</w:t>
      </w:r>
    </w:p>
    <w:p w:rsidR="00995EEE" w:rsidRPr="00FC6030" w:rsidRDefault="00995EEE" w:rsidP="00FC6030">
      <w:p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Opis sposobu dokonywania oceny spełniania tego warunku</w:t>
      </w:r>
    </w:p>
    <w:p w:rsidR="00995EEE" w:rsidRPr="00FC6030" w:rsidRDefault="00995EEE" w:rsidP="00FC6030">
      <w:pPr>
        <w:numPr>
          <w:ilvl w:val="1"/>
          <w:numId w:val="3"/>
        </w:numPr>
        <w:spacing w:after="0" w:line="360" w:lineRule="auto"/>
        <w:ind w:left="1125"/>
        <w:rPr>
          <w:rFonts w:ascii="Arial CE" w:eastAsia="Times New Roman" w:hAnsi="Arial CE" w:cs="Arial CE"/>
          <w:sz w:val="18"/>
          <w:szCs w:val="18"/>
        </w:rPr>
      </w:pPr>
      <w:r w:rsidRPr="00FC6030">
        <w:rPr>
          <w:rFonts w:ascii="Arial CE" w:eastAsia="Times New Roman" w:hAnsi="Arial CE" w:cs="Arial CE"/>
          <w:sz w:val="18"/>
          <w:szCs w:val="18"/>
        </w:rPr>
        <w:t>Zamawiający nie wyznacza szczegółowego warunku w tym zakresie. Spełnienie warunku ocenianie będzie na podstawie treści złożonego oświadczenia</w:t>
      </w:r>
    </w:p>
    <w:p w:rsidR="00995EEE" w:rsidRPr="00FC6030" w:rsidRDefault="00995EEE" w:rsidP="00FC6030">
      <w:pPr>
        <w:numPr>
          <w:ilvl w:val="0"/>
          <w:numId w:val="3"/>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III.3.5) Sytuacja ekonomiczna i finansowa</w:t>
      </w:r>
    </w:p>
    <w:p w:rsidR="00995EEE" w:rsidRPr="00FC6030" w:rsidRDefault="00995EEE" w:rsidP="00FC6030">
      <w:p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Opis sposobu dokonywania oceny spełniania tego warunku</w:t>
      </w:r>
    </w:p>
    <w:p w:rsidR="00995EEE" w:rsidRPr="00FC6030" w:rsidRDefault="00995EEE" w:rsidP="00FC6030">
      <w:pPr>
        <w:numPr>
          <w:ilvl w:val="1"/>
          <w:numId w:val="3"/>
        </w:numPr>
        <w:spacing w:after="0" w:line="360" w:lineRule="auto"/>
        <w:ind w:left="1125"/>
        <w:rPr>
          <w:rFonts w:ascii="Arial CE" w:eastAsia="Times New Roman" w:hAnsi="Arial CE" w:cs="Arial CE"/>
          <w:sz w:val="18"/>
          <w:szCs w:val="18"/>
        </w:rPr>
      </w:pPr>
      <w:r w:rsidRPr="00FC6030">
        <w:rPr>
          <w:rFonts w:ascii="Arial CE" w:eastAsia="Times New Roman" w:hAnsi="Arial CE" w:cs="Arial CE"/>
          <w:sz w:val="18"/>
          <w:szCs w:val="18"/>
        </w:rPr>
        <w:t>Zamawiający nie wyznacza szczegółowego warunku w tym zakresie. Spełnienie warunku ocenianie będzie na podstawie treści złożonego oświadczenia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III.4) INFORMACJA O OŚWIADCZENIACH LUB DOKUMENTACH, JAKIE MAJĄ DOSTARCZYĆ WYKONAWCY W CELU POTWIERDZENIA SPEŁNIANIA WARUNKÓW UDZIAŁU W POSTĘPOWANIU ORAZ NIEPODLEGANIA WYKLUCZENIU NA PODSTAWIE ART. 24 UST. 1 USTAWY</w:t>
      </w:r>
    </w:p>
    <w:p w:rsidR="00995EEE" w:rsidRPr="00FC6030" w:rsidRDefault="00995EEE" w:rsidP="00FC6030">
      <w:pPr>
        <w:numPr>
          <w:ilvl w:val="0"/>
          <w:numId w:val="4"/>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III.4.1) W zakresie wykazania spełniania przez wykonawcę warunków, o których mowa w art. 22 ust. 1 ustawy, oprócz oświadczenia o spełnieniu warunków udziału w postępowaniu, należy przedłożyć:</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koncesję, zezwolenie lub licencję </w:t>
      </w:r>
    </w:p>
    <w:p w:rsidR="00995EEE" w:rsidRPr="00FC6030" w:rsidRDefault="00995EEE" w:rsidP="00FC6030">
      <w:pPr>
        <w:numPr>
          <w:ilvl w:val="0"/>
          <w:numId w:val="4"/>
        </w:numPr>
        <w:spacing w:after="0" w:line="360" w:lineRule="auto"/>
        <w:ind w:left="675"/>
        <w:rPr>
          <w:rFonts w:ascii="Arial CE" w:eastAsia="Times New Roman" w:hAnsi="Arial CE" w:cs="Arial CE"/>
          <w:sz w:val="18"/>
          <w:szCs w:val="18"/>
        </w:rPr>
      </w:pPr>
      <w:r w:rsidRPr="00FC6030">
        <w:rPr>
          <w:rFonts w:ascii="Arial CE" w:eastAsia="Times New Roman" w:hAnsi="Arial CE" w:cs="Arial CE"/>
          <w:b/>
          <w:bCs/>
          <w:sz w:val="18"/>
          <w:szCs w:val="18"/>
        </w:rPr>
        <w:t>III.4.2) W zakresie potwierdzenia niepodlegania wykluczeniu na podstawie art. 24 ust. 1 ustawy, należy przedłożyć:</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oświadczenie o braku podstaw do wykluczenia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aktualny odpis z właściwego rejestru, jeżeli odrębne przepisy wymagają wpisu do rejestru, w celu wykazania braku podstaw do wykluczenia w oparciu o art. 24 ust. 1 </w:t>
      </w:r>
      <w:proofErr w:type="spellStart"/>
      <w:r w:rsidRPr="00FC6030">
        <w:rPr>
          <w:rFonts w:ascii="Arial CE" w:eastAsia="Times New Roman" w:hAnsi="Arial CE" w:cs="Arial CE"/>
          <w:sz w:val="18"/>
          <w:szCs w:val="18"/>
        </w:rPr>
        <w:t>pkt</w:t>
      </w:r>
      <w:proofErr w:type="spellEnd"/>
      <w:r w:rsidRPr="00FC6030">
        <w:rPr>
          <w:rFonts w:ascii="Arial CE" w:eastAsia="Times New Roman" w:hAnsi="Arial CE" w:cs="Arial CE"/>
          <w:sz w:val="18"/>
          <w:szCs w:val="18"/>
        </w:rPr>
        <w:t xml:space="preserve"> 2 ustawy, wystawiony nie wcześniej niż 6 miesięcy przed upływem terminu składania wniosków o dopuszczenie do udziału w postępowaniu o udzielenie zamówienia albo składania ofert, a w stosunku do osób fizycznych oświadczenie w zakresie art. 24 ust. 1 </w:t>
      </w:r>
      <w:proofErr w:type="spellStart"/>
      <w:r w:rsidRPr="00FC6030">
        <w:rPr>
          <w:rFonts w:ascii="Arial CE" w:eastAsia="Times New Roman" w:hAnsi="Arial CE" w:cs="Arial CE"/>
          <w:sz w:val="18"/>
          <w:szCs w:val="18"/>
        </w:rPr>
        <w:t>pkt</w:t>
      </w:r>
      <w:proofErr w:type="spellEnd"/>
      <w:r w:rsidRPr="00FC6030">
        <w:rPr>
          <w:rFonts w:ascii="Arial CE" w:eastAsia="Times New Roman" w:hAnsi="Arial CE" w:cs="Arial CE"/>
          <w:sz w:val="18"/>
          <w:szCs w:val="18"/>
        </w:rPr>
        <w:t xml:space="preserve"> 2 ustawy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aktualne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aktualną informację z Krajowego Rejestru Karnego w zakresie określonym w art. 24 ust. 1 </w:t>
      </w:r>
      <w:proofErr w:type="spellStart"/>
      <w:r w:rsidRPr="00FC6030">
        <w:rPr>
          <w:rFonts w:ascii="Arial CE" w:eastAsia="Times New Roman" w:hAnsi="Arial CE" w:cs="Arial CE"/>
          <w:sz w:val="18"/>
          <w:szCs w:val="18"/>
        </w:rPr>
        <w:t>pkt</w:t>
      </w:r>
      <w:proofErr w:type="spellEnd"/>
      <w:r w:rsidRPr="00FC6030">
        <w:rPr>
          <w:rFonts w:ascii="Arial CE" w:eastAsia="Times New Roman" w:hAnsi="Arial CE" w:cs="Arial CE"/>
          <w:sz w:val="18"/>
          <w:szCs w:val="18"/>
        </w:rPr>
        <w:t xml:space="preserve"> 4-8 ustawy, wystawioną nie wcześniej niż 6 miesięcy przed upływem terminu składania wniosków o dopuszczenie do udziału w postępowaniu o udzielenie zamówienia albo składania ofert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lastRenderedPageBreak/>
        <w:t xml:space="preserve">aktualną informację z Krajowego Rejestru Karnego w zakresie określonym w art. 24 ust. 1 </w:t>
      </w:r>
      <w:proofErr w:type="spellStart"/>
      <w:r w:rsidRPr="00FC6030">
        <w:rPr>
          <w:rFonts w:ascii="Arial CE" w:eastAsia="Times New Roman" w:hAnsi="Arial CE" w:cs="Arial CE"/>
          <w:sz w:val="18"/>
          <w:szCs w:val="18"/>
        </w:rPr>
        <w:t>pkt</w:t>
      </w:r>
      <w:proofErr w:type="spellEnd"/>
      <w:r w:rsidRPr="00FC6030">
        <w:rPr>
          <w:rFonts w:ascii="Arial CE" w:eastAsia="Times New Roman" w:hAnsi="Arial CE" w:cs="Arial CE"/>
          <w:sz w:val="18"/>
          <w:szCs w:val="18"/>
        </w:rPr>
        <w:t xml:space="preserve"> 9 ustawy, wystawioną nie wcześniej niż 6 miesięcy przed upływem terminu składania wniosków o dopuszczenie do udziału w postępowaniu o udzielenie zamówienia albo składania ofert </w:t>
      </w:r>
    </w:p>
    <w:p w:rsidR="00995EEE" w:rsidRPr="00FC6030" w:rsidRDefault="00995EEE" w:rsidP="00FC6030">
      <w:pPr>
        <w:numPr>
          <w:ilvl w:val="0"/>
          <w:numId w:val="4"/>
        </w:numPr>
        <w:spacing w:after="0" w:line="360" w:lineRule="auto"/>
        <w:ind w:left="675"/>
        <w:rPr>
          <w:rFonts w:ascii="Arial CE" w:eastAsia="Times New Roman" w:hAnsi="Arial CE" w:cs="Arial CE"/>
          <w:b/>
          <w:bCs/>
          <w:sz w:val="18"/>
          <w:szCs w:val="18"/>
        </w:rPr>
      </w:pPr>
      <w:r w:rsidRPr="00FC6030">
        <w:rPr>
          <w:rFonts w:ascii="Arial CE" w:eastAsia="Times New Roman" w:hAnsi="Arial CE" w:cs="Arial CE"/>
          <w:b/>
          <w:bCs/>
          <w:sz w:val="18"/>
          <w:szCs w:val="18"/>
        </w:rPr>
        <w:t>III.4.3) Dokumenty podmiotów zagranicznych</w:t>
      </w:r>
    </w:p>
    <w:p w:rsidR="00995EEE" w:rsidRPr="00FC6030" w:rsidRDefault="00995EEE" w:rsidP="00FC6030">
      <w:pPr>
        <w:spacing w:after="0" w:line="360" w:lineRule="auto"/>
        <w:ind w:left="675"/>
        <w:rPr>
          <w:rFonts w:ascii="Arial CE" w:eastAsia="Times New Roman" w:hAnsi="Arial CE" w:cs="Arial CE"/>
          <w:b/>
          <w:bCs/>
          <w:sz w:val="18"/>
          <w:szCs w:val="18"/>
        </w:rPr>
      </w:pPr>
      <w:r w:rsidRPr="00FC6030">
        <w:rPr>
          <w:rFonts w:ascii="Arial CE" w:eastAsia="Times New Roman" w:hAnsi="Arial CE" w:cs="Arial CE"/>
          <w:b/>
          <w:bCs/>
          <w:sz w:val="18"/>
          <w:szCs w:val="18"/>
        </w:rPr>
        <w:t>Jeżeli wykonawca ma siedzibę lub miejsce zamieszkania poza terytorium Rzeczypospolitej Polskiej, przedkłada:</w:t>
      </w:r>
    </w:p>
    <w:p w:rsidR="00995EEE" w:rsidRPr="00FC6030" w:rsidRDefault="00995EEE" w:rsidP="00FC6030">
      <w:pPr>
        <w:spacing w:after="0" w:line="360" w:lineRule="auto"/>
        <w:ind w:left="675"/>
        <w:rPr>
          <w:rFonts w:ascii="Arial CE" w:eastAsia="Times New Roman" w:hAnsi="Arial CE" w:cs="Arial CE"/>
          <w:b/>
          <w:bCs/>
          <w:sz w:val="18"/>
          <w:szCs w:val="18"/>
        </w:rPr>
      </w:pPr>
      <w:r w:rsidRPr="00FC6030">
        <w:rPr>
          <w:rFonts w:ascii="Arial CE" w:eastAsia="Times New Roman" w:hAnsi="Arial CE" w:cs="Arial CE"/>
          <w:b/>
          <w:bCs/>
          <w:sz w:val="18"/>
          <w:szCs w:val="18"/>
        </w:rPr>
        <w:t>III.4.3.1) dokument wystawiony w kraju, w którym ma siedzibę lub miejsce zamieszkania potwierdzający, że:</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nie otwarto jego likwidacji ani nie ogłoszono upadłości - wystawiony nie wcześniej niż 6 miesięcy przed upływem terminu składania wniosków o dopuszczenie do udziału w postępowaniu o udzielenie zamówienia albo składania ofert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 </w:t>
      </w:r>
    </w:p>
    <w:p w:rsidR="00995EEE" w:rsidRPr="00FC6030" w:rsidRDefault="00995EEE" w:rsidP="00FC6030">
      <w:pPr>
        <w:numPr>
          <w:ilvl w:val="1"/>
          <w:numId w:val="4"/>
        </w:numPr>
        <w:spacing w:after="0" w:line="360" w:lineRule="auto"/>
        <w:ind w:left="1170" w:right="300"/>
        <w:jc w:val="both"/>
        <w:rPr>
          <w:rFonts w:ascii="Arial CE" w:eastAsia="Times New Roman" w:hAnsi="Arial CE" w:cs="Arial CE"/>
          <w:sz w:val="18"/>
          <w:szCs w:val="18"/>
        </w:rPr>
      </w:pPr>
      <w:r w:rsidRPr="00FC6030">
        <w:rPr>
          <w:rFonts w:ascii="Arial CE" w:eastAsia="Times New Roman" w:hAnsi="Arial CE" w:cs="Arial CE"/>
          <w:sz w:val="18"/>
          <w:szCs w:val="18"/>
        </w:rPr>
        <w:t xml:space="preserve">nie orzeczono wobec niego zakazu ubiegania się o zamówienie - wystawiony nie wcześniej niż 6 miesięcy przed upływem terminu składania wniosków o dopuszczenie do udziału w postępowaniu o udzielenie zamówienia albo składania ofert </w:t>
      </w:r>
    </w:p>
    <w:p w:rsidR="00995EEE" w:rsidRPr="00FC6030" w:rsidRDefault="00995EEE" w:rsidP="00FC6030">
      <w:pPr>
        <w:numPr>
          <w:ilvl w:val="0"/>
          <w:numId w:val="4"/>
        </w:numPr>
        <w:spacing w:after="0" w:line="360" w:lineRule="auto"/>
        <w:ind w:left="675" w:right="300"/>
        <w:jc w:val="both"/>
        <w:rPr>
          <w:rFonts w:ascii="Arial CE" w:eastAsia="Times New Roman" w:hAnsi="Arial CE" w:cs="Arial CE"/>
          <w:sz w:val="18"/>
          <w:szCs w:val="18"/>
        </w:rPr>
      </w:pPr>
      <w:r w:rsidRPr="00FC6030">
        <w:rPr>
          <w:rFonts w:ascii="Arial CE" w:eastAsia="Times New Roman" w:hAnsi="Arial CE" w:cs="Arial CE"/>
          <w:b/>
          <w:bCs/>
          <w:sz w:val="18"/>
          <w:szCs w:val="18"/>
        </w:rPr>
        <w:t>III.4.3.2)</w:t>
      </w:r>
      <w:r w:rsidRPr="00FC6030">
        <w:rPr>
          <w:rFonts w:ascii="Arial CE" w:eastAsia="Times New Roman" w:hAnsi="Arial CE" w:cs="Arial CE"/>
          <w:sz w:val="18"/>
          <w:szCs w:val="18"/>
        </w:rPr>
        <w:t xml:space="preserve"> zaświadczenie właściwego organu sądowego lub administracyjnego miejsca zamieszkania albo zamieszkania osoby, której dokumenty dotyczą, w zakresie określonym w art. 24 ust. 1 </w:t>
      </w:r>
      <w:proofErr w:type="spellStart"/>
      <w:r w:rsidRPr="00FC6030">
        <w:rPr>
          <w:rFonts w:ascii="Arial CE" w:eastAsia="Times New Roman" w:hAnsi="Arial CE" w:cs="Arial CE"/>
          <w:sz w:val="18"/>
          <w:szCs w:val="18"/>
        </w:rPr>
        <w:t>pkt</w:t>
      </w:r>
      <w:proofErr w:type="spellEnd"/>
      <w:r w:rsidRPr="00FC6030">
        <w:rPr>
          <w:rFonts w:ascii="Arial CE" w:eastAsia="Times New Roman" w:hAnsi="Arial CE" w:cs="Arial CE"/>
          <w:sz w:val="18"/>
          <w:szCs w:val="18"/>
        </w:rPr>
        <w:t xml:space="preserve"> 4-8 ustawy - wystawione nie wcześniej niż 6 miesięcy przed upływem terminu składania wniosków o dopuszczenie do udziału w postępowaniu o udzielenie zamówienia albo składania ofert - albo oświadczenie złożone przed notariuszem, właściwym organem sądowym, administracyjnym albo organem samorządu zawodowego lub gospodarczego odpowiednio miejsca zamieszkania osoby lub kraju, w którym wykonawca ma siedzibę lub miejsce zamieszkania, jeżeli w miejscu zamieszkania osoby lub w kraju, w którym wykonawca ma siedzibę lub miejsce zamieszkania, nie wydaje się takiego zaświadczenia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 xml:space="preserve">III.7) Czy ogranicza się możliwość ubiegania się o zamówienie publiczne tylko dla wykonawców, u których ponad 50 % pracowników stanowią osoby niepełnosprawne: </w:t>
      </w:r>
      <w:r w:rsidRPr="00FC6030">
        <w:rPr>
          <w:rFonts w:ascii="Arial CE" w:eastAsia="Times New Roman" w:hAnsi="Arial CE" w:cs="Arial CE"/>
          <w:sz w:val="18"/>
          <w:szCs w:val="18"/>
        </w:rPr>
        <w:t>nie</w:t>
      </w:r>
    </w:p>
    <w:p w:rsidR="00995EEE" w:rsidRPr="00FC6030" w:rsidRDefault="00995EEE" w:rsidP="00FC6030">
      <w:pPr>
        <w:spacing w:after="0" w:line="360" w:lineRule="auto"/>
        <w:rPr>
          <w:rFonts w:ascii="Arial CE" w:eastAsia="Times New Roman" w:hAnsi="Arial CE" w:cs="Arial CE"/>
          <w:b/>
          <w:bCs/>
          <w:sz w:val="18"/>
          <w:szCs w:val="18"/>
          <w:u w:val="single"/>
        </w:rPr>
      </w:pPr>
      <w:r w:rsidRPr="00FC6030">
        <w:rPr>
          <w:rFonts w:ascii="Arial CE" w:eastAsia="Times New Roman" w:hAnsi="Arial CE" w:cs="Arial CE"/>
          <w:b/>
          <w:bCs/>
          <w:sz w:val="18"/>
          <w:szCs w:val="18"/>
          <w:u w:val="single"/>
        </w:rPr>
        <w:t>SEKCJA IV: PROCEDURA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IV.1) TRYB UDZIELENIA ZAMÓWIENIA</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IV.1.1) Tryb udzielenia zamówienia:</w:t>
      </w:r>
      <w:r w:rsidRPr="00FC6030">
        <w:rPr>
          <w:rFonts w:ascii="Arial CE" w:eastAsia="Times New Roman" w:hAnsi="Arial CE" w:cs="Arial CE"/>
          <w:sz w:val="18"/>
          <w:szCs w:val="18"/>
        </w:rPr>
        <w:t xml:space="preserve"> przetarg nieograniczony.</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IV.2) KRYTERIA OCENY OFERT</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 xml:space="preserve">IV.2.1) Kryteria oceny ofert: </w:t>
      </w:r>
      <w:r w:rsidRPr="00FC6030">
        <w:rPr>
          <w:rFonts w:ascii="Arial CE" w:eastAsia="Times New Roman" w:hAnsi="Arial CE" w:cs="Arial CE"/>
          <w:sz w:val="18"/>
          <w:szCs w:val="18"/>
        </w:rPr>
        <w:t>cena oraz dodatkowe kryteria i ich znaczenie:</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1 - Cena - 50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2 - Przelew między rachunkami w banku prowadzącym obsługę - 5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3 - oprocentowanie kredytu w rachunku bieżącym - 5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4 - oprocentowanie rachunków bankowych - 15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5 - oprocentowanie lokat terminowych - 5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6 - oprocentowanie lokat typu </w:t>
      </w:r>
      <w:proofErr w:type="spellStart"/>
      <w:r w:rsidRPr="00FC6030">
        <w:rPr>
          <w:rFonts w:ascii="Arial CE" w:eastAsia="Times New Roman" w:hAnsi="Arial CE" w:cs="Arial CE"/>
          <w:sz w:val="18"/>
          <w:szCs w:val="18"/>
        </w:rPr>
        <w:t>overnight</w:t>
      </w:r>
      <w:proofErr w:type="spellEnd"/>
      <w:r w:rsidRPr="00FC6030">
        <w:rPr>
          <w:rFonts w:ascii="Arial CE" w:eastAsia="Times New Roman" w:hAnsi="Arial CE" w:cs="Arial CE"/>
          <w:sz w:val="18"/>
          <w:szCs w:val="18"/>
        </w:rPr>
        <w:t xml:space="preserve"> - 10 </w:t>
      </w:r>
    </w:p>
    <w:p w:rsidR="00995EEE" w:rsidRPr="00FC6030" w:rsidRDefault="00995EEE" w:rsidP="00FC6030">
      <w:pPr>
        <w:numPr>
          <w:ilvl w:val="0"/>
          <w:numId w:val="5"/>
        </w:numPr>
        <w:spacing w:after="0" w:line="360" w:lineRule="auto"/>
        <w:ind w:left="450"/>
        <w:rPr>
          <w:rFonts w:ascii="Arial CE" w:eastAsia="Times New Roman" w:hAnsi="Arial CE" w:cs="Arial CE"/>
          <w:sz w:val="18"/>
          <w:szCs w:val="18"/>
        </w:rPr>
      </w:pPr>
      <w:r w:rsidRPr="00FC6030">
        <w:rPr>
          <w:rFonts w:ascii="Arial CE" w:eastAsia="Times New Roman" w:hAnsi="Arial CE" w:cs="Arial CE"/>
          <w:sz w:val="18"/>
          <w:szCs w:val="18"/>
        </w:rPr>
        <w:t xml:space="preserve">7 - oprocentowanie lokat typu 3- dniowej lokaty weekendowej - 10 </w:t>
      </w:r>
    </w:p>
    <w:p w:rsidR="00FC6030" w:rsidRDefault="00FC6030" w:rsidP="00FC6030">
      <w:pPr>
        <w:spacing w:after="0" w:line="360" w:lineRule="auto"/>
        <w:ind w:left="225"/>
        <w:rPr>
          <w:rFonts w:ascii="Arial CE" w:eastAsia="Times New Roman" w:hAnsi="Arial CE" w:cs="Arial CE"/>
          <w:b/>
          <w:bCs/>
          <w:sz w:val="18"/>
          <w:szCs w:val="18"/>
        </w:rPr>
      </w:pPr>
    </w:p>
    <w:p w:rsidR="00FC6030" w:rsidRDefault="00FC6030" w:rsidP="00FC6030">
      <w:pPr>
        <w:spacing w:after="0" w:line="360" w:lineRule="auto"/>
        <w:ind w:left="225"/>
        <w:rPr>
          <w:rFonts w:ascii="Arial CE" w:eastAsia="Times New Roman" w:hAnsi="Arial CE" w:cs="Arial CE"/>
          <w:b/>
          <w:bCs/>
          <w:sz w:val="18"/>
          <w:szCs w:val="18"/>
        </w:rPr>
      </w:pP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lastRenderedPageBreak/>
        <w:t>IV.2.2) Czy przeprowadzona będzie aukcja elektroniczna:</w:t>
      </w:r>
      <w:r w:rsidRPr="00FC6030">
        <w:rPr>
          <w:rFonts w:ascii="Arial CE" w:eastAsia="Times New Roman" w:hAnsi="Arial CE" w:cs="Arial CE"/>
          <w:sz w:val="18"/>
          <w:szCs w:val="18"/>
        </w:rPr>
        <w:t xml:space="preserve"> nie.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IV.3) ZMIANA UMOWY</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 xml:space="preserve">Czy przewiduje się istotne zmiany postanowień zawartej umowy w stosunku do treści oferty, na podstawie której dokonano wyboru wykonawcy: </w:t>
      </w:r>
      <w:r w:rsidRPr="00FC6030">
        <w:rPr>
          <w:rFonts w:ascii="Arial CE" w:eastAsia="Times New Roman" w:hAnsi="Arial CE" w:cs="Arial CE"/>
          <w:sz w:val="18"/>
          <w:szCs w:val="18"/>
        </w:rPr>
        <w:t>nie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IV.4) INFORMACJE ADMINISTRACYJNE</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IV.4.1)</w:t>
      </w:r>
      <w:r w:rsidRPr="00FC6030">
        <w:rPr>
          <w:rFonts w:ascii="Arial CE" w:eastAsia="Times New Roman" w:hAnsi="Arial CE" w:cs="Arial CE"/>
          <w:sz w:val="18"/>
          <w:szCs w:val="18"/>
        </w:rPr>
        <w:t> </w:t>
      </w:r>
      <w:r w:rsidRPr="00FC6030">
        <w:rPr>
          <w:rFonts w:ascii="Arial CE" w:eastAsia="Times New Roman" w:hAnsi="Arial CE" w:cs="Arial CE"/>
          <w:b/>
          <w:bCs/>
          <w:sz w:val="18"/>
          <w:szCs w:val="18"/>
        </w:rPr>
        <w:t>Adres strony internetowej, na której jest dostępna specyfikacja istotnych warunków zamówienia:</w:t>
      </w:r>
      <w:r w:rsidRPr="00FC6030">
        <w:rPr>
          <w:rFonts w:ascii="Arial CE" w:eastAsia="Times New Roman" w:hAnsi="Arial CE" w:cs="Arial CE"/>
          <w:sz w:val="18"/>
          <w:szCs w:val="18"/>
        </w:rPr>
        <w:t xml:space="preserve"> www.ostrorog.biuletyn.net</w:t>
      </w:r>
      <w:r w:rsidRPr="00FC6030">
        <w:rPr>
          <w:rFonts w:ascii="Arial CE" w:eastAsia="Times New Roman" w:hAnsi="Arial CE" w:cs="Arial CE"/>
          <w:sz w:val="18"/>
          <w:szCs w:val="18"/>
        </w:rPr>
        <w:br/>
      </w:r>
      <w:r w:rsidRPr="00FC6030">
        <w:rPr>
          <w:rFonts w:ascii="Arial CE" w:eastAsia="Times New Roman" w:hAnsi="Arial CE" w:cs="Arial CE"/>
          <w:b/>
          <w:bCs/>
          <w:sz w:val="18"/>
          <w:szCs w:val="18"/>
        </w:rPr>
        <w:t>Specyfikację istotnych warunków zamówienia można uzyskać pod adresem:</w:t>
      </w:r>
      <w:r w:rsidRPr="00FC6030">
        <w:rPr>
          <w:rFonts w:ascii="Arial CE" w:eastAsia="Times New Roman" w:hAnsi="Arial CE" w:cs="Arial CE"/>
          <w:sz w:val="18"/>
          <w:szCs w:val="18"/>
        </w:rPr>
        <w:t xml:space="preserve"> Urząd Miasta i Gminy Ostroróg ul. Wroniecka 14, 64-560 Ostroróg pokój nr 22.</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IV.4.4) Termin składania wniosków o dopuszczenie do udziału w postępowaniu lub ofert:</w:t>
      </w:r>
      <w:r w:rsidRPr="00FC6030">
        <w:rPr>
          <w:rFonts w:ascii="Arial CE" w:eastAsia="Times New Roman" w:hAnsi="Arial CE" w:cs="Arial CE"/>
          <w:sz w:val="18"/>
          <w:szCs w:val="18"/>
        </w:rPr>
        <w:t xml:space="preserve"> 29.11.2011 godzina 08:30, miejsce: Urząd Miasta i Gminy Ostroróg ul. Wroniecka 14, 64- 560 Ostroróg - sekretariat - pokój nr 12 - I piętro.</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IV.4.5) Termin związania ofertą:</w:t>
      </w:r>
      <w:r w:rsidRPr="00FC6030">
        <w:rPr>
          <w:rFonts w:ascii="Arial CE" w:eastAsia="Times New Roman" w:hAnsi="Arial CE" w:cs="Arial CE"/>
          <w:sz w:val="18"/>
          <w:szCs w:val="18"/>
        </w:rPr>
        <w:t xml:space="preserve"> okres w dniach: 30 (od ostatecznego terminu składania ofert).</w:t>
      </w:r>
    </w:p>
    <w:p w:rsidR="00995EEE" w:rsidRPr="00FC6030" w:rsidRDefault="00995EEE" w:rsidP="00FC6030">
      <w:pPr>
        <w:spacing w:after="0" w:line="360" w:lineRule="auto"/>
        <w:ind w:left="225"/>
        <w:rPr>
          <w:rFonts w:ascii="Arial CE" w:eastAsia="Times New Roman" w:hAnsi="Arial CE" w:cs="Arial CE"/>
          <w:sz w:val="18"/>
          <w:szCs w:val="18"/>
        </w:rPr>
      </w:pPr>
      <w:r w:rsidRPr="00FC6030">
        <w:rPr>
          <w:rFonts w:ascii="Arial CE" w:eastAsia="Times New Roman" w:hAnsi="Arial CE" w:cs="Arial CE"/>
          <w:b/>
          <w:bCs/>
          <w:sz w:val="18"/>
          <w:szCs w:val="18"/>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FC6030">
        <w:rPr>
          <w:rFonts w:ascii="Arial CE" w:eastAsia="Times New Roman" w:hAnsi="Arial CE" w:cs="Arial CE"/>
          <w:sz w:val="18"/>
          <w:szCs w:val="18"/>
        </w:rPr>
        <w:t>nie</w:t>
      </w:r>
    </w:p>
    <w:p w:rsidR="007363B0" w:rsidRPr="00FC6030" w:rsidRDefault="007363B0" w:rsidP="00FC6030">
      <w:pPr>
        <w:spacing w:after="0" w:line="360" w:lineRule="auto"/>
        <w:rPr>
          <w:sz w:val="18"/>
          <w:szCs w:val="18"/>
        </w:rPr>
      </w:pPr>
    </w:p>
    <w:sectPr w:rsidR="007363B0" w:rsidRPr="00FC6030" w:rsidSect="005367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CE">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B6530"/>
    <w:multiLevelType w:val="multilevel"/>
    <w:tmpl w:val="813C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564EE"/>
    <w:multiLevelType w:val="multilevel"/>
    <w:tmpl w:val="961408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3879C3"/>
    <w:multiLevelType w:val="multilevel"/>
    <w:tmpl w:val="39B4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1E0A84"/>
    <w:multiLevelType w:val="multilevel"/>
    <w:tmpl w:val="57FC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397413"/>
    <w:multiLevelType w:val="multilevel"/>
    <w:tmpl w:val="BC48CA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95EEE"/>
    <w:rsid w:val="00047B48"/>
    <w:rsid w:val="0053673B"/>
    <w:rsid w:val="007363B0"/>
    <w:rsid w:val="00995EEE"/>
    <w:rsid w:val="00FC603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3673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995EEE"/>
    <w:pPr>
      <w:spacing w:after="0" w:line="240" w:lineRule="auto"/>
      <w:ind w:left="225"/>
    </w:pPr>
    <w:rPr>
      <w:rFonts w:ascii="Times New Roman" w:eastAsia="Times New Roman" w:hAnsi="Times New Roman" w:cs="Times New Roman"/>
      <w:sz w:val="24"/>
      <w:szCs w:val="24"/>
    </w:rPr>
  </w:style>
  <w:style w:type="paragraph" w:customStyle="1" w:styleId="khheader">
    <w:name w:val="kh_header"/>
    <w:basedOn w:val="Normalny"/>
    <w:rsid w:val="00995EEE"/>
    <w:pPr>
      <w:spacing w:after="0" w:line="420" w:lineRule="atLeast"/>
      <w:ind w:left="225"/>
      <w:jc w:val="center"/>
    </w:pPr>
    <w:rPr>
      <w:rFonts w:ascii="Times New Roman" w:eastAsia="Times New Roman" w:hAnsi="Times New Roman" w:cs="Times New Roman"/>
      <w:sz w:val="28"/>
      <w:szCs w:val="28"/>
    </w:rPr>
  </w:style>
  <w:style w:type="paragraph" w:customStyle="1" w:styleId="khtitle">
    <w:name w:val="kh_title"/>
    <w:basedOn w:val="Normalny"/>
    <w:rsid w:val="00995EEE"/>
    <w:pPr>
      <w:spacing w:before="375" w:after="225" w:line="240" w:lineRule="auto"/>
    </w:pPr>
    <w:rPr>
      <w:rFonts w:ascii="Times New Roman" w:eastAsia="Times New Roman" w:hAnsi="Times New Roman" w:cs="Times New Roman"/>
      <w:b/>
      <w:bCs/>
      <w:sz w:val="24"/>
      <w:szCs w:val="24"/>
      <w:u w:val="single"/>
    </w:rPr>
  </w:style>
  <w:style w:type="paragraph" w:customStyle="1" w:styleId="bold">
    <w:name w:val="bold"/>
    <w:basedOn w:val="Normalny"/>
    <w:rsid w:val="00995EEE"/>
    <w:pPr>
      <w:spacing w:after="0" w:line="240" w:lineRule="auto"/>
      <w:ind w:left="225"/>
    </w:pPr>
    <w:rPr>
      <w:rFonts w:ascii="Times New Roman" w:eastAsia="Times New Roman" w:hAnsi="Times New Roman" w:cs="Times New Roman"/>
      <w:b/>
      <w:bCs/>
      <w:sz w:val="24"/>
      <w:szCs w:val="24"/>
    </w:rPr>
  </w:style>
  <w:style w:type="paragraph" w:customStyle="1" w:styleId="justify">
    <w:name w:val="justify"/>
    <w:basedOn w:val="Normalny"/>
    <w:rsid w:val="00995EEE"/>
    <w:pPr>
      <w:spacing w:after="0" w:line="240" w:lineRule="auto"/>
      <w:ind w:left="225"/>
      <w:jc w:val="both"/>
    </w:pPr>
    <w:rPr>
      <w:rFonts w:ascii="Times New Roman" w:eastAsia="Times New Roman" w:hAnsi="Times New Roman" w:cs="Times New Roman"/>
      <w:sz w:val="24"/>
      <w:szCs w:val="24"/>
    </w:rPr>
  </w:style>
  <w:style w:type="character" w:customStyle="1" w:styleId="bold1">
    <w:name w:val="bold1"/>
    <w:basedOn w:val="Domylnaczcionkaakapitu"/>
    <w:rsid w:val="00995EEE"/>
    <w:rPr>
      <w:b/>
      <w:bCs/>
    </w:rPr>
  </w:style>
</w:styles>
</file>

<file path=word/webSettings.xml><?xml version="1.0" encoding="utf-8"?>
<w:webSettings xmlns:r="http://schemas.openxmlformats.org/officeDocument/2006/relationships" xmlns:w="http://schemas.openxmlformats.org/wordprocessingml/2006/main">
  <w:divs>
    <w:div w:id="9179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2388</Words>
  <Characters>14330</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UMiG Ostroróg</Company>
  <LinksUpToDate>false</LinksUpToDate>
  <CharactersWithSpaces>16685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UMIG</dc:creator>
  <cp:keywords/>
  <dc:description/>
  <cp:lastModifiedBy>UMIG</cp:lastModifiedBy>
  <cp:revision>3</cp:revision>
  <dcterms:created xsi:type="dcterms:W3CDTF">2011-11-15T11:57:00Z</dcterms:created>
  <dcterms:modified xsi:type="dcterms:W3CDTF">2011-11-15T12:11:00Z</dcterms:modified>
</cp:coreProperties>
</file>