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323C54" w:rsidRPr="00323C54">
        <w:rPr>
          <w:rFonts w:ascii="Arial Narrow" w:hAnsi="Arial Narrow"/>
          <w:b/>
          <w:bCs/>
          <w:sz w:val="22"/>
          <w:szCs w:val="22"/>
        </w:rPr>
        <w:t>RIT 6213.5.10.17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323C54"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lang w:eastAsia="en-US"/>
        </w:rPr>
        <w:t>„</w:t>
      </w:r>
      <w:r w:rsidRPr="00323C54">
        <w:rPr>
          <w:rFonts w:ascii="Arial Narrow" w:hAnsi="Arial Narrow"/>
          <w:b/>
          <w:sz w:val="28"/>
          <w:lang w:eastAsia="en-US"/>
        </w:rPr>
        <w:t xml:space="preserve">Przebudowa drogi gminnej dojazdowej do gruntów rolnych oznaczonej nr działki 169 w miejscowości Karów.  </w:t>
      </w:r>
      <w:r w:rsidR="0092247B" w:rsidRPr="0092247B">
        <w:rPr>
          <w:rFonts w:ascii="Arial Narrow" w:hAnsi="Arial Narrow"/>
          <w:b/>
          <w:sz w:val="28"/>
          <w:lang w:eastAsia="en-US"/>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1B5A73" w:rsidP="00555071">
      <w:pPr>
        <w:pStyle w:val="Tekstpodstawowy"/>
        <w:rPr>
          <w:rFonts w:ascii="Arial Narrow" w:hAnsi="Arial Narrow"/>
          <w:b w:val="0"/>
        </w:rPr>
      </w:pPr>
      <w:hyperlink r:id="rId8"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12368F">
        <w:rPr>
          <w:rFonts w:ascii="Arial Narrow" w:hAnsi="Arial Narrow"/>
        </w:rPr>
        <w:t>30.10</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Pona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rPr>
      </w:pPr>
      <w:r w:rsidRPr="00666E53">
        <w:rPr>
          <w:rFonts w:asciiTheme="minorHAnsi" w:hAnsiTheme="minorHAnsi"/>
          <w:b/>
          <w:bCs/>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dotycząca ofert częściowych i wariantowych i o których mowa w art. 67 ust. 1 pkt. 6 ustawy Pzp</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r w:rsidR="00647D82">
        <w:rPr>
          <w:rFonts w:asciiTheme="minorHAnsi" w:hAnsiTheme="minorHAnsi"/>
        </w:rPr>
        <w:t xml:space="preserve">   </w:t>
      </w:r>
    </w:p>
    <w:p w:rsidR="00A57ABE" w:rsidRDefault="00323C54" w:rsidP="00651C27">
      <w:pPr>
        <w:widowControl w:val="0"/>
        <w:autoSpaceDE w:val="0"/>
        <w:autoSpaceDN w:val="0"/>
        <w:adjustRightInd w:val="0"/>
        <w:rPr>
          <w:rFonts w:asciiTheme="minorHAnsi" w:hAnsiTheme="minorHAnsi"/>
        </w:rPr>
      </w:pPr>
      <w:r>
        <w:rPr>
          <w:rFonts w:asciiTheme="minorHAnsi" w:hAnsiTheme="minorHAnsi"/>
        </w:rPr>
        <w:t xml:space="preserve">    </w:t>
      </w:r>
    </w:p>
    <w:p w:rsidR="00A57ABE" w:rsidRPr="00666E53" w:rsidRDefault="00A57ABE" w:rsidP="00651C27">
      <w:pPr>
        <w:widowControl w:val="0"/>
        <w:autoSpaceDE w:val="0"/>
        <w:autoSpaceDN w:val="0"/>
        <w:adjustRightInd w:val="0"/>
        <w:rPr>
          <w:rFonts w:asciiTheme="minorHAnsi" w:hAnsiTheme="minorHAnsi"/>
        </w:rPr>
      </w:pP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rPr>
      </w:pPr>
      <w:r w:rsidRPr="00891EE9">
        <w:rPr>
          <w:rFonts w:asciiTheme="minorHAnsi" w:hAnsiTheme="minorHAnsi"/>
          <w:b/>
          <w:bCs/>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rPr>
      </w:pPr>
      <w:r w:rsidRPr="00891EE9">
        <w:rPr>
          <w:rFonts w:asciiTheme="minorHAnsi" w:hAnsiTheme="minorHAnsi"/>
          <w:b/>
          <w:bCs/>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rPr>
      </w:pPr>
      <w:r w:rsidRPr="00555071">
        <w:rPr>
          <w:rFonts w:asciiTheme="minorHAnsi" w:hAnsiTheme="minorHAnsi"/>
          <w:b/>
          <w:bCs/>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rPr>
      </w:pPr>
      <w:r w:rsidRPr="00891EE9">
        <w:rPr>
          <w:rFonts w:asciiTheme="minorHAnsi" w:hAnsiTheme="minorHAnsi"/>
          <w:b/>
          <w:bCs/>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323C54">
        <w:rPr>
          <w:rFonts w:asciiTheme="minorHAnsi" w:hAnsiTheme="minorHAnsi"/>
        </w:rPr>
        <w:t>RIT 6213.5.10</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rPr>
      </w:pPr>
      <w:r w:rsidRPr="00891EE9">
        <w:rPr>
          <w:rFonts w:asciiTheme="minorHAnsi" w:hAnsiTheme="minorHAnsi"/>
          <w:b/>
          <w:bCs/>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rPr>
      </w:pPr>
      <w:r w:rsidRPr="00891EE9">
        <w:rPr>
          <w:rFonts w:asciiTheme="minorHAnsi" w:hAnsiTheme="minorHAnsi"/>
          <w:b/>
          <w:bCs/>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A57ABE" w:rsidRPr="00A57ABE" w:rsidRDefault="00874F91" w:rsidP="00A57ABE">
      <w:pPr>
        <w:rPr>
          <w:rFonts w:asciiTheme="minorHAnsi" w:hAnsiTheme="minorHAnsi"/>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23C54">
        <w:rPr>
          <w:rFonts w:asciiTheme="minorHAnsi" w:hAnsiTheme="minorHAnsi"/>
        </w:rPr>
        <w:t>„</w:t>
      </w:r>
      <w:r w:rsidR="00323C54" w:rsidRPr="00323C54">
        <w:rPr>
          <w:rFonts w:asciiTheme="minorHAnsi" w:hAnsiTheme="minorHAnsi"/>
        </w:rPr>
        <w:t xml:space="preserve">Przebudowa drogi gminnej dojazdowej do gruntów rolnych oznaczonej nr działki 169 w miejscowości Karów.  </w:t>
      </w:r>
      <w:r w:rsidR="00A57ABE" w:rsidRPr="00A57ABE">
        <w:rPr>
          <w:rFonts w:asciiTheme="minorHAnsi" w:hAnsiTheme="minorHAnsi"/>
        </w:rPr>
        <w:t>”.</w:t>
      </w:r>
    </w:p>
    <w:p w:rsidR="00651C27" w:rsidRPr="0092247B" w:rsidRDefault="003348D2" w:rsidP="00555071">
      <w:pPr>
        <w:spacing w:after="120"/>
        <w:jc w:val="both"/>
        <w:rPr>
          <w:rFonts w:asciiTheme="minorHAnsi" w:hAnsiTheme="minorHAnsi"/>
          <w:b/>
        </w:rPr>
      </w:pPr>
      <w:r w:rsidRPr="00891EE9">
        <w:rPr>
          <w:rFonts w:asciiTheme="minorHAnsi" w:hAnsiTheme="minorHAnsi"/>
          <w:b/>
          <w:color w:val="FF0000"/>
        </w:rPr>
        <w:t xml:space="preserve"> </w:t>
      </w:r>
    </w:p>
    <w:p w:rsidR="00651C27"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547745" w:rsidRPr="00547745" w:rsidRDefault="00547745" w:rsidP="00651C27">
      <w:pPr>
        <w:suppressAutoHyphens/>
        <w:jc w:val="both"/>
        <w:rPr>
          <w:rFonts w:asciiTheme="minorHAnsi" w:hAnsiTheme="minorHAnsi"/>
          <w:lang w:eastAsia="ar-SA"/>
        </w:rPr>
      </w:pPr>
      <w:r>
        <w:rPr>
          <w:rFonts w:asciiTheme="minorHAnsi" w:hAnsiTheme="minorHAnsi"/>
          <w:lang w:eastAsia="ar-SA"/>
        </w:rPr>
        <w:t xml:space="preserve">- </w:t>
      </w:r>
      <w:r w:rsidR="00323C54">
        <w:rPr>
          <w:color w:val="000000"/>
          <w:sz w:val="27"/>
          <w:szCs w:val="27"/>
        </w:rPr>
        <w:t>45233140</w:t>
      </w:r>
      <w:r w:rsidR="00323C54" w:rsidRPr="0096064A">
        <w:rPr>
          <w:color w:val="000000"/>
          <w:sz w:val="27"/>
          <w:szCs w:val="27"/>
        </w:rPr>
        <w:t>-0 </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323C54" w:rsidRDefault="00323C54" w:rsidP="00323C54">
      <w:r>
        <w:t>Przebudowa drogi gminnej dojazdowej do gruntów rolnych oznaczonej nr działki 169 w miejscowości Karów</w:t>
      </w:r>
    </w:p>
    <w:p w:rsidR="00323C54" w:rsidRDefault="00323C54" w:rsidP="00323C54">
      <w:r>
        <w:t>Przebudowę drogi przewidziano na gruntach gminy Niechlów. Obejmuje ona</w:t>
      </w:r>
    </w:p>
    <w:p w:rsidR="00323C54" w:rsidRDefault="00323C54" w:rsidP="00323C54">
      <w:r>
        <w:t>odcinki od km 0+000 rozpoczynające się w odległości 5 m poza zjazdem z drogi</w:t>
      </w:r>
    </w:p>
    <w:p w:rsidR="00323C54" w:rsidRDefault="00323C54" w:rsidP="00323C54">
      <w:r>
        <w:t>powiatowej (dz. nr 165 obręb Karów). Koniec przebudowy to km 0+193,50</w:t>
      </w:r>
    </w:p>
    <w:p w:rsidR="00323C54" w:rsidRDefault="00323C54" w:rsidP="00323C54">
      <w:r>
        <w:t>znajdujący się w przedłużeniu pasa drogowego tej drogi.</w:t>
      </w:r>
    </w:p>
    <w:p w:rsidR="00323C54" w:rsidRDefault="00323C54" w:rsidP="00323C54">
      <w:r>
        <w:t>Obejmuje ona odcinki poczynając od południa: od km 0+000 rozpoczynający się</w:t>
      </w:r>
    </w:p>
    <w:p w:rsidR="00323C54" w:rsidRDefault="00323C54" w:rsidP="00323C54">
      <w:r>
        <w:t>zjazdem z drogi powiatowej o nawierzchni i z betonu asfaltowego nr 1095D relacji</w:t>
      </w:r>
    </w:p>
    <w:p w:rsidR="00323C54" w:rsidRDefault="00323C54" w:rsidP="00323C54">
      <w:r>
        <w:t>Karów – Świerczów (dz. nr 165).</w:t>
      </w:r>
    </w:p>
    <w:p w:rsidR="00323C54" w:rsidRDefault="00323C54" w:rsidP="00323C54">
      <w:r>
        <w:t>Koniec przebudowy od strony północnej to km 193,50 znajdujący się w pasie</w:t>
      </w:r>
    </w:p>
    <w:p w:rsidR="00323C54" w:rsidRDefault="00323C54" w:rsidP="00323C54">
      <w:r>
        <w:t>drogi gminnej o nawierzchni gruntowej, zakończonej opornikiem 12 x 25 x 100cm.</w:t>
      </w:r>
    </w:p>
    <w:p w:rsidR="00323C54" w:rsidRDefault="00323C54" w:rsidP="00323C54">
      <w:r>
        <w:t>Rodzaj technologii.</w:t>
      </w:r>
    </w:p>
    <w:p w:rsidR="00323C54" w:rsidRDefault="00323C54" w:rsidP="00323C54">
      <w:r>
        <w:t>Założenia ogólne przewidują:</w:t>
      </w:r>
    </w:p>
    <w:p w:rsidR="00323C54" w:rsidRDefault="00323C54" w:rsidP="00323C54">
      <w:r>
        <w:t>- droga rolnicza - droga klasy D</w:t>
      </w:r>
    </w:p>
    <w:p w:rsidR="00323C54" w:rsidRDefault="00323C54" w:rsidP="00323C54">
      <w:r>
        <w:t>- szybkość projektowana - 30 km/h;</w:t>
      </w:r>
    </w:p>
    <w:p w:rsidR="00323C54" w:rsidRDefault="00323C54" w:rsidP="00323C54">
      <w:r>
        <w:t>- nośność - 80 kN/oś;</w:t>
      </w:r>
    </w:p>
    <w:p w:rsidR="00323C54" w:rsidRDefault="00323C54" w:rsidP="00323C54">
      <w:r>
        <w:t>- nawierzchnia (warstwa ścieralna)</w:t>
      </w:r>
    </w:p>
    <w:p w:rsidR="00323C54" w:rsidRDefault="00323C54" w:rsidP="00323C54">
      <w:r>
        <w:t>o konstrukcji jezdni - beton asfaltowy AC-11S warstwa ścieralna</w:t>
      </w:r>
    </w:p>
    <w:p w:rsidR="00323C54" w:rsidRDefault="00323C54" w:rsidP="00323C54">
      <w:r>
        <w:t>o grubości 4,00cm, ;13</w:t>
      </w:r>
    </w:p>
    <w:p w:rsidR="00323C54" w:rsidRDefault="00323C54" w:rsidP="00323C54">
      <w:r>
        <w:t>- nawierzchnia (warstwa</w:t>
      </w:r>
    </w:p>
    <w:p w:rsidR="00323C54" w:rsidRDefault="00323C54" w:rsidP="00323C54">
      <w:r>
        <w:t>wyrównawcza) o konstrukcji jezdni - beton asfaltowy AC-11W warstwa</w:t>
      </w:r>
    </w:p>
    <w:p w:rsidR="00323C54" w:rsidRDefault="00323C54" w:rsidP="00323C54">
      <w:r>
        <w:t>wyrównawcza o grubości 5,00cm, ;</w:t>
      </w:r>
    </w:p>
    <w:p w:rsidR="00323C54" w:rsidRDefault="00323C54" w:rsidP="00323C54">
      <w:r>
        <w:t>- spadek poprzeczny nawierzchni - dwustronny (daszkowy);</w:t>
      </w:r>
    </w:p>
    <w:p w:rsidR="00323C54" w:rsidRDefault="00323C54" w:rsidP="00323C54">
      <w:r>
        <w:t>- szerokość korony drogi - 4,00 m;</w:t>
      </w:r>
    </w:p>
    <w:p w:rsidR="00323C54" w:rsidRDefault="00323C54" w:rsidP="00323C54">
      <w:r>
        <w:t>- szerokość jezdni -4,00 m;</w:t>
      </w:r>
    </w:p>
    <w:p w:rsidR="00323C54" w:rsidRDefault="00323C54" w:rsidP="00323C54">
      <w:r>
        <w:t>- szerokość poboczy - zmienna do 0,50 m;</w:t>
      </w:r>
    </w:p>
    <w:p w:rsidR="00323C54" w:rsidRDefault="00323C54" w:rsidP="00323C54">
      <w:r>
        <w:t>- długość przebudowy drogi - 193,50 m;</w:t>
      </w:r>
    </w:p>
    <w:p w:rsidR="00323C54" w:rsidRDefault="00323C54" w:rsidP="00323C54">
      <w:r>
        <w:t>Z uwagi na istniejący stan techniczny drogi zaprojektowano układ warstw</w:t>
      </w:r>
    </w:p>
    <w:p w:rsidR="00323C54" w:rsidRDefault="00323C54" w:rsidP="00323C54">
      <w:r>
        <w:t>konstrukcyjnych w przekroju poprzecznym. Niżej przedstawiono przekrój</w:t>
      </w:r>
    </w:p>
    <w:p w:rsidR="00323C54" w:rsidRDefault="00323C54" w:rsidP="00323C54">
      <w:r>
        <w:t>konstrukcyjny drogi.</w:t>
      </w:r>
    </w:p>
    <w:p w:rsidR="00323C54" w:rsidRDefault="00323C54" w:rsidP="00323C54">
      <w:r>
        <w:t>Parametry drogi:</w:t>
      </w:r>
    </w:p>
    <w:p w:rsidR="00323C54" w:rsidRDefault="00323C54" w:rsidP="00323C54">
      <w:r>
        <w:t>- szerokość korony drogi - 4,00 m;</w:t>
      </w:r>
    </w:p>
    <w:p w:rsidR="00323C54" w:rsidRDefault="00323C54" w:rsidP="00323C54">
      <w:r>
        <w:t>- szerokość jezdni - 4,00 m;</w:t>
      </w:r>
    </w:p>
    <w:p w:rsidR="00323C54" w:rsidRDefault="00323C54" w:rsidP="00323C54">
      <w:r>
        <w:t>(nawierzchnia beton asfaltowy AC-11S)</w:t>
      </w:r>
    </w:p>
    <w:p w:rsidR="00323C54" w:rsidRDefault="00323C54" w:rsidP="00323C54">
      <w:r>
        <w:t>- szerokość poboczy - zmienna do 0,50 m;</w:t>
      </w:r>
    </w:p>
    <w:p w:rsidR="00323C54" w:rsidRDefault="00323C54" w:rsidP="00323C54">
      <w:r>
        <w:t>- szerokość korytowania (jezdnia) - 4,00 m;</w:t>
      </w:r>
    </w:p>
    <w:p w:rsidR="00323C54" w:rsidRDefault="00323C54" w:rsidP="00323C54">
      <w:r>
        <w:t>- grubość koryta - 20 cm;</w:t>
      </w:r>
    </w:p>
    <w:p w:rsidR="00323C54" w:rsidRDefault="00323C54" w:rsidP="00323C54">
      <w:r>
        <w:t>- spadek poprzeczny dwustronny</w:t>
      </w:r>
    </w:p>
    <w:p w:rsidR="00323C54" w:rsidRDefault="00323C54" w:rsidP="00323C54">
      <w:r>
        <w:t>(daszkowy) jezdni - 2 %;</w:t>
      </w:r>
    </w:p>
    <w:p w:rsidR="00323C54" w:rsidRDefault="00323C54" w:rsidP="00323C54">
      <w:r>
        <w:t>- spadek poprzeczny poboczy - 6 %;</w:t>
      </w:r>
    </w:p>
    <w:p w:rsidR="00323C54" w:rsidRDefault="00323C54" w:rsidP="00323C54">
      <w:r>
        <w:t>- promienie zewnętrzne łuków</w:t>
      </w:r>
    </w:p>
    <w:p w:rsidR="00323C54" w:rsidRDefault="00323C54" w:rsidP="00323C54">
      <w:r>
        <w:t>o długości co najmniej (R=11,00m) - 11,00m</w:t>
      </w:r>
    </w:p>
    <w:p w:rsidR="00323C54" w:rsidRDefault="00323C54" w:rsidP="00323C54">
      <w:r>
        <w:t>Warstwy konstrukcyjne nawierzchni drogi:</w:t>
      </w:r>
    </w:p>
    <w:p w:rsidR="00323C54" w:rsidRDefault="00323C54" w:rsidP="00323C54">
      <w:r>
        <w:t>grubość łączna - 32,0 cm;</w:t>
      </w:r>
    </w:p>
    <w:p w:rsidR="00323C54" w:rsidRDefault="00323C54" w:rsidP="00323C54">
      <w:r>
        <w:t>- warstwa ścieralna</w:t>
      </w:r>
    </w:p>
    <w:p w:rsidR="00323C54" w:rsidRDefault="00323C54" w:rsidP="00323C54">
      <w:r>
        <w:t>beton asfaltowy AC-11S</w:t>
      </w:r>
    </w:p>
    <w:p w:rsidR="00323C54" w:rsidRDefault="00323C54" w:rsidP="00323C54">
      <w:r>
        <w:t>warstwa ścieralna</w:t>
      </w:r>
    </w:p>
    <w:p w:rsidR="00323C54" w:rsidRDefault="00323C54" w:rsidP="00323C54">
      <w:r>
        <w:t>grubość warstwy - 4,0 cm</w:t>
      </w:r>
    </w:p>
    <w:p w:rsidR="00323C54" w:rsidRDefault="00323C54" w:rsidP="00323C54">
      <w:r>
        <w:lastRenderedPageBreak/>
        <w:t>- warstwa wyrównawcza</w:t>
      </w:r>
    </w:p>
    <w:p w:rsidR="00323C54" w:rsidRDefault="00323C54" w:rsidP="00323C54">
      <w:r>
        <w:t>beton asfaltowy AC-11W</w:t>
      </w:r>
    </w:p>
    <w:p w:rsidR="00323C54" w:rsidRDefault="00323C54" w:rsidP="00323C54">
      <w:r>
        <w:t>grubość warstwy - 5,0 cm</w:t>
      </w:r>
    </w:p>
    <w:p w:rsidR="00323C54" w:rsidRDefault="00323C54" w:rsidP="00323C54">
      <w:r>
        <w:t>- skropienie podbudowy emulsja</w:t>
      </w:r>
    </w:p>
    <w:p w:rsidR="00323C54" w:rsidRDefault="00323C54" w:rsidP="00323C54">
      <w:r>
        <w:t>asfaltową szybkorozpadową</w:t>
      </w:r>
    </w:p>
    <w:p w:rsidR="00323C54" w:rsidRDefault="00323C54" w:rsidP="00323C54">
      <w:r>
        <w:t>w ilości - 0,8kg/m2</w:t>
      </w:r>
    </w:p>
    <w:p w:rsidR="00323C54" w:rsidRDefault="00323C54" w:rsidP="00323C54">
      <w:r>
        <w:t>- podbudowa zasadnicza</w:t>
      </w:r>
    </w:p>
    <w:p w:rsidR="00323C54" w:rsidRDefault="00323C54" w:rsidP="00323C54">
      <w:r>
        <w:t>warstwa górna</w:t>
      </w:r>
    </w:p>
    <w:p w:rsidR="00323C54" w:rsidRDefault="00323C54" w:rsidP="00323C54">
      <w:r>
        <w:t>z kruszywa łamanego naturalnego</w:t>
      </w:r>
    </w:p>
    <w:p w:rsidR="00323C54" w:rsidRDefault="00323C54" w:rsidP="00323C54">
      <w:r>
        <w:t>stabilizowanego mechanicznie</w:t>
      </w:r>
    </w:p>
    <w:p w:rsidR="00323C54" w:rsidRDefault="00323C54" w:rsidP="00323C54">
      <w:r>
        <w:t xml:space="preserve">(frakcja 0,00 </w:t>
      </w:r>
      <w:r>
        <w:t></w:t>
      </w:r>
      <w:r>
        <w:t>16,5 mm),</w:t>
      </w:r>
    </w:p>
    <w:p w:rsidR="00323C54" w:rsidRDefault="00323C54" w:rsidP="00323C54">
      <w:r>
        <w:t>grubość warstwy - 8,0 cm</w:t>
      </w:r>
    </w:p>
    <w:p w:rsidR="00323C54" w:rsidRDefault="00323C54" w:rsidP="00323C54">
      <w:r>
        <w:t>- podbudowa zasadnicza</w:t>
      </w:r>
    </w:p>
    <w:p w:rsidR="00323C54" w:rsidRDefault="00323C54" w:rsidP="00323C54">
      <w:r>
        <w:t>14warstwa dolna</w:t>
      </w:r>
    </w:p>
    <w:p w:rsidR="00323C54" w:rsidRDefault="00323C54" w:rsidP="00323C54">
      <w:r>
        <w:t>z kruszywa łamanego naturalnego</w:t>
      </w:r>
    </w:p>
    <w:p w:rsidR="00323C54" w:rsidRDefault="00323C54" w:rsidP="00323C54">
      <w:r>
        <w:t>stabilizowanego mechanicznie</w:t>
      </w:r>
    </w:p>
    <w:p w:rsidR="00323C54" w:rsidRDefault="00323C54" w:rsidP="00323C54">
      <w:r>
        <w:t xml:space="preserve">(frakcja 0,00 </w:t>
      </w:r>
      <w:r>
        <w:t></w:t>
      </w:r>
      <w:r>
        <w:t>16,5 mm),</w:t>
      </w:r>
    </w:p>
    <w:p w:rsidR="00323C54" w:rsidRDefault="00323C54" w:rsidP="00323C54">
      <w:r>
        <w:t>grubość warstwy - 15,0 cm</w:t>
      </w:r>
    </w:p>
    <w:p w:rsidR="00323C54" w:rsidRDefault="00323C54" w:rsidP="00323C54">
      <w:r>
        <w:t>- warstwa wyrównawcza korpusu</w:t>
      </w:r>
    </w:p>
    <w:p w:rsidR="00323C54" w:rsidRDefault="00323C54" w:rsidP="00323C54">
      <w:r>
        <w:t>drogowego z piasku uzyskanego</w:t>
      </w:r>
    </w:p>
    <w:p w:rsidR="00323C54" w:rsidRDefault="00323C54" w:rsidP="00323C54">
      <w:r>
        <w:t>w ramach robót ziemnych - 0,00;</w:t>
      </w:r>
    </w:p>
    <w:p w:rsidR="00323C54" w:rsidRDefault="00323C54" w:rsidP="00323C54">
      <w:r>
        <w:t>- G2 grunt podłoża rodzimego - 0,00;</w:t>
      </w:r>
    </w:p>
    <w:p w:rsidR="00651C27" w:rsidRPr="00F26DA0" w:rsidRDefault="00323C54" w:rsidP="00323C54">
      <w:r>
        <w:t>Długość przebudowywanej drogi = 193,50 m.</w:t>
      </w:r>
    </w:p>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rPr>
        <w:t xml:space="preserve">INFORMACJA  DOTYCZĄCA  OFERT  CZĘŚCIOWYCH  I WARIANTOWYCH I ZAMÓWIEŃ </w:t>
      </w:r>
      <w:r w:rsidRPr="0046153B">
        <w:rPr>
          <w:b/>
        </w:rPr>
        <w:t>O KTÓRYCH MOWA</w:t>
      </w:r>
      <w:r w:rsidRPr="00F26DA0">
        <w:t xml:space="preserve">  w art. 67 ust. 1   pkt. 6  Pzp.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Pzp.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rPr>
      </w:pPr>
      <w:r w:rsidRPr="006530CF">
        <w:rPr>
          <w:b/>
          <w:bCs/>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12368F">
        <w:rPr>
          <w:b/>
        </w:rPr>
        <w:t xml:space="preserve"> 15</w:t>
      </w:r>
      <w:r w:rsidR="002E2E11">
        <w:rPr>
          <w:b/>
        </w:rPr>
        <w:t>.</w:t>
      </w:r>
      <w:r w:rsidR="0012368F">
        <w:rPr>
          <w:b/>
        </w:rPr>
        <w:t>12</w:t>
      </w:r>
      <w:bookmarkStart w:id="0" w:name="_GoBack"/>
      <w:bookmarkEnd w:id="0"/>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rPr>
      </w:pPr>
      <w:r w:rsidRPr="006530CF">
        <w:rPr>
          <w:b/>
          <w:bCs/>
        </w:rPr>
        <w:lastRenderedPageBreak/>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na podstawie art. 24 ust 1 pkt. 12-23 oraz art. 24 ust. 5 pkt. 1  ustawy  Pzp)</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późn. zm)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lastRenderedPageBreak/>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1" w:name="mip35517943"/>
      <w:bookmarkEnd w:id="1"/>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9"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0"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lastRenderedPageBreak/>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Pzp.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lastRenderedPageBreak/>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xml:space="preserve">, do realizacji </w:t>
      </w:r>
      <w:r w:rsidRPr="00237FE2">
        <w:rPr>
          <w:rFonts w:asciiTheme="minorHAnsi" w:eastAsia="Arial" w:hAnsiTheme="minorHAnsi"/>
          <w:sz w:val="24"/>
          <w:szCs w:val="24"/>
        </w:rPr>
        <w:lastRenderedPageBreak/>
        <w:t>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w:t>
      </w:r>
      <w:r w:rsidRPr="00237FE2">
        <w:rPr>
          <w:rFonts w:asciiTheme="minorHAnsi" w:eastAsia="Arial" w:hAnsiTheme="minorHAnsi"/>
        </w:rPr>
        <w:lastRenderedPageBreak/>
        <w:t xml:space="preserve">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rPr>
      </w:pPr>
      <w:r w:rsidRPr="006530CF">
        <w:rPr>
          <w:b/>
          <w:bCs/>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Pzp,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Pzp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rPr>
      </w:pPr>
    </w:p>
    <w:p w:rsidR="00651C27" w:rsidRPr="006530CF" w:rsidRDefault="00651C27" w:rsidP="009D17D2">
      <w:pPr>
        <w:widowControl w:val="0"/>
        <w:numPr>
          <w:ilvl w:val="0"/>
          <w:numId w:val="18"/>
        </w:numPr>
        <w:autoSpaceDE w:val="0"/>
        <w:autoSpaceDN w:val="0"/>
        <w:adjustRightInd w:val="0"/>
        <w:jc w:val="both"/>
        <w:rPr>
          <w:b/>
          <w:bCs/>
        </w:rPr>
      </w:pPr>
      <w:r w:rsidRPr="006530CF">
        <w:rPr>
          <w:b/>
          <w:bCs/>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w celu potwierdzenia braku podstaw wykluczenia na podstawie art. 24 ust.5 pkt.1 ustawy Pzp.</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 xml:space="preserve">Dokument te powinny być wystawione nie wcześniej niż 6 miesięcy przed upływem terminu </w:t>
      </w:r>
      <w:r w:rsidRPr="00237FE2">
        <w:rPr>
          <w:rFonts w:asciiTheme="minorHAnsi" w:hAnsiTheme="minorHAnsi"/>
          <w:i/>
        </w:rPr>
        <w:lastRenderedPageBreak/>
        <w:t>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Pzp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lastRenderedPageBreak/>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1"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lastRenderedPageBreak/>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2"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3"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4"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rPr>
      </w:pPr>
      <w:r w:rsidRPr="006530CF">
        <w:rPr>
          <w:b/>
          <w:bCs/>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584223">
        <w:rPr>
          <w:rFonts w:ascii="Arial Narrow" w:hAnsi="Arial Narrow"/>
        </w:rPr>
        <w:t>n</w:t>
      </w:r>
      <w:r w:rsidR="00323C54">
        <w:rPr>
          <w:rFonts w:ascii="Arial Narrow" w:hAnsi="Arial Narrow"/>
        </w:rPr>
        <w:t>iesienia wadium w wysokości:  2</w:t>
      </w:r>
      <w:r w:rsidR="006A7D93" w:rsidRPr="00C00620">
        <w:rPr>
          <w:rFonts w:ascii="Arial Narrow" w:hAnsi="Arial Narrow"/>
        </w:rPr>
        <w:t xml:space="preserve"> 000,00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lastRenderedPageBreak/>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FF3D9F" w:rsidRPr="00FF3D9F">
        <w:rPr>
          <w:rFonts w:ascii="Arial Narrow" w:hAnsi="Arial Narrow"/>
          <w:sz w:val="22"/>
          <w:szCs w:val="22"/>
        </w:rPr>
        <w:t>.</w:t>
      </w:r>
      <w:r w:rsidR="00647D82" w:rsidRPr="00647D82">
        <w:t xml:space="preserve"> </w:t>
      </w:r>
      <w:r w:rsidR="00323C54" w:rsidRPr="00323C54">
        <w:t>Przebudowa drogi gminnej dojazdowej do gruntów rolnych oznaczonej nr działki 169 w miejscowości Karów</w:t>
      </w:r>
      <w:r w:rsidR="00647D82" w:rsidRPr="00647D82">
        <w:rPr>
          <w:rFonts w:ascii="Arial Narrow" w:hAnsi="Arial Narrow"/>
          <w:sz w:val="22"/>
          <w:szCs w:val="22"/>
        </w:rPr>
        <w:t>.</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rPr>
      </w:pPr>
    </w:p>
    <w:p w:rsidR="00651C27" w:rsidRPr="006530CF" w:rsidRDefault="00651C27" w:rsidP="009D17D2">
      <w:pPr>
        <w:widowControl w:val="0"/>
        <w:numPr>
          <w:ilvl w:val="0"/>
          <w:numId w:val="74"/>
        </w:numPr>
        <w:autoSpaceDE w:val="0"/>
        <w:autoSpaceDN w:val="0"/>
        <w:adjustRightInd w:val="0"/>
        <w:jc w:val="both"/>
        <w:rPr>
          <w:b/>
          <w:bCs/>
        </w:rPr>
      </w:pPr>
      <w:r w:rsidRPr="006530CF">
        <w:rPr>
          <w:b/>
          <w:bCs/>
        </w:rPr>
        <w:t xml:space="preserve"> OPIS   SPOSOBU   PRZYGOTOWANIA   OFERTY</w:t>
      </w:r>
    </w:p>
    <w:p w:rsidR="00651C27" w:rsidRPr="006530CF" w:rsidRDefault="00651C27" w:rsidP="00651C27">
      <w:pPr>
        <w:widowControl w:val="0"/>
        <w:autoSpaceDE w:val="0"/>
        <w:autoSpaceDN w:val="0"/>
        <w:adjustRightInd w:val="0"/>
        <w:rPr>
          <w:b/>
          <w:bCs/>
          <w:color w:val="FF0000"/>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Postanowienia dotyczące składania oferty wspólnej  przez dwa lub więcej podmiotów </w:t>
      </w:r>
      <w:r w:rsidRPr="0004274C">
        <w:rPr>
          <w:rFonts w:asciiTheme="minorHAnsi" w:hAnsiTheme="minorHAnsi"/>
        </w:rPr>
        <w:lastRenderedPageBreak/>
        <w:t>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rPr>
      </w:pPr>
      <w:r w:rsidRPr="0004274C">
        <w:rPr>
          <w:rFonts w:asciiTheme="minorHAnsi" w:hAnsiTheme="minorHAnsi"/>
          <w:i/>
          <w:iCs/>
        </w:rPr>
        <w:t>-będzie posiadać oznaczenia:</w:t>
      </w:r>
      <w:r w:rsidRPr="0004274C">
        <w:rPr>
          <w:rFonts w:asciiTheme="minorHAnsi" w:hAnsiTheme="minorHAnsi"/>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Oferta na zadanie</w:t>
      </w:r>
      <w:r w:rsidR="002E2E11">
        <w:rPr>
          <w:rFonts w:asciiTheme="majorHAnsi" w:hAnsiTheme="majorHAnsi"/>
          <w:b/>
          <w:lang w:eastAsia="ar-SA"/>
        </w:rPr>
        <w:t xml:space="preserve"> pn.</w:t>
      </w:r>
      <w:r w:rsidRPr="0004274C">
        <w:rPr>
          <w:rFonts w:asciiTheme="majorHAnsi" w:hAnsiTheme="majorHAnsi"/>
          <w:b/>
          <w:lang w:eastAsia="ar-SA"/>
        </w:rPr>
        <w:t xml:space="preserve">: </w:t>
      </w:r>
    </w:p>
    <w:p w:rsidR="00E14622" w:rsidRPr="0004274C" w:rsidRDefault="00323C54"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323C54">
        <w:rPr>
          <w:rFonts w:asciiTheme="majorHAnsi" w:hAnsiTheme="majorHAnsi"/>
          <w:b/>
        </w:rPr>
        <w:t>Przebudowa drogi gminnej dojazdowej do gruntów rolnych oznaczonej nr działki 169 w miejscowości Karów</w:t>
      </w:r>
      <w:r w:rsidR="002E2E11" w:rsidRPr="002E2E11">
        <w:rPr>
          <w:rFonts w:asciiTheme="majorHAnsi" w:hAnsiTheme="majorHAnsi"/>
          <w:b/>
        </w:rPr>
        <w:t xml:space="preserve">.  </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323C54">
        <w:rPr>
          <w:rFonts w:asciiTheme="majorHAnsi" w:hAnsiTheme="majorHAnsi"/>
          <w:b/>
          <w:bCs/>
          <w:lang w:eastAsia="ar-SA"/>
        </w:rPr>
        <w:t>14.11</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 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rPr>
      </w:pPr>
      <w:r w:rsidRPr="0004274C">
        <w:rPr>
          <w:rFonts w:asciiTheme="majorHAnsi" w:hAnsiTheme="majorHAnsi"/>
          <w:u w:val="single"/>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 xml:space="preserve">W przypadku, gdy informacje zawarte w ofercie stanowią tajemnicę przedsiębiorstwa w rozumieniu przepisów ustawy o zwalczaniu nieuczciwej </w:t>
      </w:r>
      <w:r w:rsidRPr="0004274C">
        <w:rPr>
          <w:rFonts w:asciiTheme="majorHAnsi" w:hAnsiTheme="majorHAnsi"/>
        </w:rPr>
        <w:lastRenderedPageBreak/>
        <w:t>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rPr>
      </w:pPr>
      <w:r w:rsidRPr="006530CF">
        <w:rPr>
          <w:b/>
          <w:bCs/>
        </w:rPr>
        <w:t xml:space="preserve">    OPIS  SPOSOBU  OBLICZENIA  CENY  OFERTY</w:t>
      </w:r>
    </w:p>
    <w:p w:rsidR="00651C27" w:rsidRPr="006530CF" w:rsidRDefault="00651C27" w:rsidP="00651C27">
      <w:pPr>
        <w:widowControl w:val="0"/>
        <w:autoSpaceDE w:val="0"/>
        <w:autoSpaceDN w:val="0"/>
        <w:adjustRightInd w:val="0"/>
        <w:rPr>
          <w:b/>
          <w:bCs/>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tj</w:t>
      </w:r>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art. 632 ustawy z dnia 23 kwietnia 1964r.  Kodeks cywilny ( t.j.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rPr>
      </w:pPr>
      <w:r w:rsidRPr="006530CF">
        <w:rPr>
          <w:b/>
          <w:bCs/>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323C54">
        <w:rPr>
          <w:rFonts w:asciiTheme="minorHAnsi" w:hAnsiTheme="minorHAnsi"/>
          <w:b/>
          <w:bCs/>
          <w:u w:val="single"/>
          <w:lang w:eastAsia="ar-SA"/>
        </w:rPr>
        <w:t>14 listopada</w:t>
      </w:r>
      <w:r w:rsidR="001F124E">
        <w:rPr>
          <w:rFonts w:asciiTheme="minorHAnsi" w:hAnsiTheme="minorHAnsi"/>
          <w:b/>
          <w:bCs/>
          <w:u w:val="single"/>
          <w:lang w:eastAsia="ar-SA"/>
        </w:rPr>
        <w:t xml:space="preserve">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rPr>
      </w:pPr>
      <w:r w:rsidRPr="006530CF">
        <w:rPr>
          <w:b/>
          <w:bCs/>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rPr>
      </w:pPr>
      <w:r w:rsidRPr="006530CF">
        <w:rPr>
          <w:b/>
          <w:bCs/>
        </w:rPr>
        <w:t xml:space="preserve"> MIEJSCE  I  TERMIN  OTWARCIA  OFERT</w:t>
      </w:r>
    </w:p>
    <w:p w:rsidR="00651C27" w:rsidRPr="006530CF" w:rsidRDefault="00651C27" w:rsidP="00651C27">
      <w:pPr>
        <w:widowControl w:val="0"/>
        <w:autoSpaceDE w:val="0"/>
        <w:autoSpaceDN w:val="0"/>
        <w:adjustRightInd w:val="0"/>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323C54">
        <w:rPr>
          <w:rFonts w:asciiTheme="minorHAnsi" w:hAnsiTheme="minorHAnsi"/>
          <w:b/>
          <w:bCs/>
          <w:u w:val="single"/>
          <w:lang w:eastAsia="ar-SA"/>
        </w:rPr>
        <w:t>14</w:t>
      </w:r>
      <w:r w:rsidR="00CC69A7">
        <w:rPr>
          <w:rFonts w:asciiTheme="minorHAnsi" w:hAnsiTheme="minorHAnsi"/>
          <w:b/>
          <w:bCs/>
          <w:u w:val="single"/>
          <w:lang w:eastAsia="ar-SA"/>
        </w:rPr>
        <w:t xml:space="preserve"> </w:t>
      </w:r>
      <w:r w:rsidR="00323C54">
        <w:rPr>
          <w:rFonts w:asciiTheme="minorHAnsi" w:hAnsiTheme="minorHAnsi"/>
          <w:b/>
          <w:bCs/>
          <w:u w:val="single"/>
          <w:lang w:eastAsia="ar-SA"/>
        </w:rPr>
        <w:t xml:space="preserve">listopada </w:t>
      </w:r>
      <w:r w:rsidR="00584223">
        <w:rPr>
          <w:rFonts w:asciiTheme="minorHAnsi" w:hAnsiTheme="minorHAnsi"/>
          <w:b/>
          <w:bCs/>
          <w:u w:val="single"/>
          <w:lang w:eastAsia="ar-SA"/>
        </w:rPr>
        <w:t xml:space="preserve"> </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rPr>
      </w:pPr>
      <w:r w:rsidRPr="006530CF">
        <w:rPr>
          <w:b/>
          <w:bCs/>
        </w:rPr>
        <w:t xml:space="preserve"> BADANIE   I   OCENA   OFERT</w:t>
      </w:r>
    </w:p>
    <w:p w:rsidR="00651C27" w:rsidRPr="006530CF" w:rsidRDefault="00651C27" w:rsidP="00651C27">
      <w:pPr>
        <w:widowControl w:val="0"/>
        <w:autoSpaceDE w:val="0"/>
        <w:autoSpaceDN w:val="0"/>
        <w:adjustRightInd w:val="0"/>
        <w:rPr>
          <w:b/>
          <w:bCs/>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lastRenderedPageBreak/>
        <w:t>a także zwróci się o ewentualne wyjaśnienia rażąco niskiej ceny , jeżeli zasadne jest wszczęcie procedury określonej w art.90 ustawy Pzp.</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rPr>
      </w:pPr>
      <w:r>
        <w:rPr>
          <w:rFonts w:asciiTheme="minorHAnsi" w:hAnsiTheme="minorHAnsi"/>
          <w:b/>
          <w:bCs/>
          <w:i/>
          <w:iCs/>
        </w:rPr>
        <w:t>Kryterium - cena    - 60%</w:t>
      </w:r>
    </w:p>
    <w:p w:rsidR="001F124E" w:rsidRPr="005D6336" w:rsidRDefault="001F124E" w:rsidP="00651C27">
      <w:pPr>
        <w:widowControl w:val="0"/>
        <w:autoSpaceDE w:val="0"/>
        <w:autoSpaceDN w:val="0"/>
        <w:adjustRightInd w:val="0"/>
        <w:rPr>
          <w:rFonts w:asciiTheme="minorHAnsi" w:hAnsiTheme="minorHAnsi"/>
          <w:b/>
          <w:bCs/>
          <w:i/>
          <w:iCs/>
        </w:rPr>
      </w:pPr>
      <w:r>
        <w:rPr>
          <w:rFonts w:asciiTheme="minorHAnsi" w:hAnsiTheme="minorHAnsi"/>
          <w:b/>
          <w:bCs/>
          <w:i/>
          <w:iCs/>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rPr>
      </w:pPr>
      <w:r w:rsidRPr="005D6336">
        <w:rPr>
          <w:rFonts w:asciiTheme="minorHAnsi" w:hAnsiTheme="minorHAnsi"/>
          <w:b/>
          <w:bCs/>
          <w:i/>
          <w:iCs/>
        </w:rPr>
        <w:t>Kryter</w:t>
      </w:r>
      <w:r w:rsidR="001F124E">
        <w:rPr>
          <w:rFonts w:asciiTheme="minorHAnsi" w:hAnsiTheme="minorHAnsi"/>
          <w:b/>
          <w:bCs/>
          <w:i/>
          <w:iCs/>
        </w:rPr>
        <w:t>ium – termin wykonania</w:t>
      </w:r>
      <w:r w:rsidR="00CC69A7">
        <w:rPr>
          <w:rFonts w:asciiTheme="minorHAnsi" w:hAnsiTheme="minorHAnsi"/>
          <w:b/>
          <w:bCs/>
          <w:i/>
          <w:iCs/>
        </w:rPr>
        <w:t xml:space="preserve"> - </w:t>
      </w:r>
      <w:r w:rsidR="001F124E">
        <w:rPr>
          <w:rFonts w:asciiTheme="minorHAnsi" w:hAnsiTheme="minorHAnsi"/>
          <w:b/>
          <w:bCs/>
          <w:i/>
          <w:iCs/>
        </w:rPr>
        <w:t xml:space="preserve"> 1</w:t>
      </w:r>
      <w:r w:rsidRPr="005D6336">
        <w:rPr>
          <w:rFonts w:asciiTheme="minorHAnsi" w:hAnsiTheme="minorHAnsi"/>
          <w:b/>
          <w:bCs/>
          <w:i/>
          <w:iCs/>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Cn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Cb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Cn -  cena oferty  z najniższą ceną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Cb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ntw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twb</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ntw -  najkrótszy termin wykonania oferty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twb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lastRenderedPageBreak/>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rPr>
      </w:pPr>
      <w:r w:rsidRPr="006530CF">
        <w:rPr>
          <w:b/>
          <w:bCs/>
        </w:rPr>
        <w:t xml:space="preserve">  ZABEZPIECZENIE  NALEŻYTEGO WYKONANIA UMOWY </w:t>
      </w:r>
    </w:p>
    <w:p w:rsidR="00651C27" w:rsidRPr="006530CF" w:rsidRDefault="00651C27" w:rsidP="00651C27">
      <w:pPr>
        <w:widowControl w:val="0"/>
        <w:autoSpaceDE w:val="0"/>
        <w:autoSpaceDN w:val="0"/>
        <w:adjustRightInd w:val="0"/>
        <w:rPr>
          <w:b/>
          <w:bCs/>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rPr>
        <w:t>10 %  ceny</w:t>
      </w:r>
      <w:r w:rsidRPr="008F0CE7">
        <w:rPr>
          <w:rFonts w:asciiTheme="minorHAnsi" w:hAnsiTheme="minorHAnsi" w:cs="Times New Roman"/>
          <w:sz w:val="24"/>
          <w:szCs w:val="24"/>
        </w:rPr>
        <w:t xml:space="preserve"> </w:t>
      </w:r>
      <w:r w:rsidR="003215AB">
        <w:rPr>
          <w:rFonts w:asciiTheme="minorHAnsi" w:hAnsiTheme="minorHAnsi" w:cs="Times New Roman"/>
          <w:sz w:val="24"/>
          <w:szCs w:val="24"/>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0438D2" w:rsidP="000438D2">
      <w:pPr>
        <w:pStyle w:val="Nagwek3"/>
        <w:tabs>
          <w:tab w:val="left" w:pos="567"/>
        </w:tabs>
        <w:spacing w:before="0" w:after="0"/>
        <w:jc w:val="both"/>
        <w:rPr>
          <w:rFonts w:asciiTheme="minorHAnsi" w:hAnsiTheme="minorHAnsi" w:cs="Times New Roman"/>
          <w:b w:val="0"/>
          <w:bCs w:val="0"/>
          <w:sz w:val="24"/>
          <w:szCs w:val="24"/>
        </w:rPr>
      </w:pPr>
      <w:r>
        <w:rPr>
          <w:rFonts w:asciiTheme="minorHAnsi" w:hAnsiTheme="minorHAnsi" w:cs="Times New Roman"/>
          <w:b w:val="0"/>
          <w:bCs w:val="0"/>
          <w:sz w:val="24"/>
          <w:szCs w:val="24"/>
        </w:rPr>
        <w:lastRenderedPageBreak/>
        <w:t xml:space="preserve">        </w:t>
      </w:r>
      <w:r w:rsidR="00651C27" w:rsidRPr="008F0CE7">
        <w:rPr>
          <w:rFonts w:asciiTheme="minorHAnsi" w:hAnsiTheme="minorHAnsi" w:cs="Times New Roman"/>
          <w:b w:val="0"/>
          <w:bCs w:val="0"/>
          <w:sz w:val="24"/>
          <w:szCs w:val="24"/>
        </w:rPr>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w:t>
      </w:r>
      <w:r w:rsidRPr="008F0CE7">
        <w:rPr>
          <w:rFonts w:asciiTheme="minorHAnsi" w:eastAsia="Arial" w:hAnsiTheme="minorHAnsi"/>
          <w:b w:val="0"/>
          <w:i w:val="0"/>
          <w:sz w:val="24"/>
          <w:szCs w:val="24"/>
        </w:rPr>
        <w:lastRenderedPageBreak/>
        <w:t xml:space="preserve">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rPr>
      </w:pPr>
      <w:r w:rsidRPr="006530CF">
        <w:rPr>
          <w:b/>
          <w:bCs/>
        </w:rPr>
        <w:t xml:space="preserve">WARUNKI  UMOWY  </w:t>
      </w:r>
    </w:p>
    <w:p w:rsidR="00651C27" w:rsidRPr="006530CF" w:rsidRDefault="00651C27" w:rsidP="00651C27">
      <w:pPr>
        <w:widowControl w:val="0"/>
        <w:autoSpaceDE w:val="0"/>
        <w:autoSpaceDN w:val="0"/>
        <w:adjustRightInd w:val="0"/>
        <w:rPr>
          <w:b/>
          <w:bCs/>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rPr>
      </w:pPr>
      <w:r w:rsidRPr="006530CF">
        <w:rPr>
          <w:b/>
          <w:bCs/>
        </w:rPr>
        <w:t>ŚRODKI  OCHRONY  PRAWNEJ</w:t>
      </w:r>
    </w:p>
    <w:p w:rsidR="00651C27" w:rsidRPr="006530CF" w:rsidRDefault="00651C27" w:rsidP="00651C27">
      <w:pPr>
        <w:widowControl w:val="0"/>
        <w:autoSpaceDE w:val="0"/>
        <w:autoSpaceDN w:val="0"/>
        <w:adjustRightInd w:val="0"/>
        <w:rPr>
          <w:b/>
          <w:bCs/>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ppkt. 1 i 2  - w terminie 5 dni od dnia, </w:t>
      </w:r>
      <w:r w:rsidRPr="008F0CE7">
        <w:rPr>
          <w:rFonts w:asciiTheme="minorHAnsi" w:hAnsiTheme="minorHAnsi"/>
        </w:rPr>
        <w:br/>
        <w:t xml:space="preserve">w którym powzięto lub przy zachowaniu należytej staranności można było powziąć wiadomość o okolicznościach stanowiących podstawę jego </w:t>
      </w:r>
      <w:r w:rsidRPr="008F0CE7">
        <w:rPr>
          <w:rFonts w:asciiTheme="minorHAnsi" w:hAnsiTheme="minorHAnsi"/>
        </w:rPr>
        <w:lastRenderedPageBreak/>
        <w:t>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r>
      <w:r w:rsidRPr="008F0CE7">
        <w:rPr>
          <w:rFonts w:asciiTheme="minorHAnsi" w:hAnsiTheme="minorHAnsi"/>
        </w:rPr>
        <w:lastRenderedPageBreak/>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rPr>
      </w:pPr>
    </w:p>
    <w:p w:rsid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rPr>
      </w:pPr>
    </w:p>
    <w:p w:rsidR="00E615CF" w:rsidRP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b/>
        </w:rPr>
      </w:pPr>
      <w:r>
        <w:rPr>
          <w:rFonts w:asciiTheme="minorHAnsi" w:hAnsiTheme="minorHAnsi"/>
        </w:rPr>
        <w:t xml:space="preserve">                                                                                           </w:t>
      </w:r>
      <w:r w:rsidRPr="00E615CF">
        <w:rPr>
          <w:rFonts w:asciiTheme="minorHAnsi" w:hAnsiTheme="minorHAnsi"/>
          <w:b/>
        </w:rPr>
        <w:t>Wójt Gminy Niechlów</w:t>
      </w:r>
    </w:p>
    <w:p w:rsidR="00E615CF" w:rsidRP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b/>
        </w:rPr>
      </w:pPr>
      <w:r w:rsidRPr="00E615CF">
        <w:rPr>
          <w:rFonts w:asciiTheme="minorHAnsi" w:hAnsiTheme="minorHAnsi"/>
          <w:b/>
        </w:rPr>
        <w:t xml:space="preserve">                                                                                                   Beata Pona</w:t>
      </w:r>
    </w:p>
    <w:p w:rsidR="00037837" w:rsidRPr="00E615CF" w:rsidRDefault="00037837">
      <w:pPr>
        <w:rPr>
          <w:b/>
        </w:rPr>
      </w:pPr>
    </w:p>
    <w:p w:rsidR="003173F3" w:rsidRPr="00E615CF" w:rsidRDefault="003173F3">
      <w:pPr>
        <w:rPr>
          <w:b/>
        </w:rPr>
      </w:pPr>
    </w:p>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E615CF" w:rsidRDefault="00E615CF"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874F91" w:rsidRDefault="00874F91" w:rsidP="003173F3">
      <w:pPr>
        <w:jc w:val="right"/>
        <w:rPr>
          <w:rFonts w:asciiTheme="minorHAnsi" w:hAnsiTheme="minorHAnsi"/>
        </w:rPr>
      </w:pPr>
    </w:p>
    <w:p w:rsidR="00874F91" w:rsidRDefault="00874F91" w:rsidP="00547745">
      <w:pPr>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AF655C" w:rsidP="00BF2981">
      <w:pPr>
        <w:tabs>
          <w:tab w:val="left" w:pos="708"/>
        </w:tabs>
        <w:suppressAutoHyphens/>
        <w:outlineLvl w:val="5"/>
        <w:rPr>
          <w:rFonts w:asciiTheme="minorHAnsi" w:hAnsiTheme="minorHAnsi"/>
          <w:b/>
          <w:bCs/>
          <w:lang w:eastAsia="ar-SA"/>
        </w:rPr>
      </w:pPr>
      <w:r>
        <w:rPr>
          <w:rFonts w:asciiTheme="minorHAnsi" w:hAnsiTheme="minorHAnsi"/>
          <w:b/>
          <w:bCs/>
          <w:lang w:eastAsia="ar-SA"/>
        </w:rPr>
        <w:t>„</w:t>
      </w:r>
      <w:r w:rsidR="00323C54" w:rsidRPr="00323C54">
        <w:rPr>
          <w:rFonts w:asciiTheme="minorHAnsi" w:hAnsiTheme="minorHAnsi"/>
          <w:b/>
          <w:bCs/>
          <w:lang w:eastAsia="ar-SA"/>
        </w:rPr>
        <w:t>Przebudowa drogi gminnej dojazdowej do gruntów rolnych oznaczonej nr działki 169 w miejscowości Karów</w:t>
      </w:r>
      <w:r w:rsidR="00E615CF">
        <w:rPr>
          <w:rFonts w:asciiTheme="minorHAnsi" w:hAnsiTheme="minorHAnsi"/>
          <w:b/>
          <w:bCs/>
          <w:lang w:eastAsia="ar-SA"/>
        </w:rPr>
        <w:t>”</w:t>
      </w:r>
      <w:r w:rsidRPr="00AF655C">
        <w:rPr>
          <w:rFonts w:asciiTheme="minorHAnsi" w:hAnsiTheme="minorHAnsi"/>
          <w:b/>
          <w:bCs/>
          <w:lang w:eastAsia="ar-SA"/>
        </w:rPr>
        <w:t xml:space="preserve">.  </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46194E">
              <w:rPr>
                <w:rFonts w:asciiTheme="minorHAnsi" w:hAnsiTheme="minorHAnsi"/>
              </w:rPr>
              <w:t xml:space="preserve">rzez Zamawiającego:   </w:t>
            </w:r>
            <w:r w:rsidR="00323C54">
              <w:rPr>
                <w:rFonts w:asciiTheme="minorHAnsi" w:hAnsiTheme="minorHAnsi"/>
              </w:rPr>
              <w:t>RIT 6213.5.10</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(cą)  tj;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(ców)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KRS/CEiDG)</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Pzp),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46194E" w:rsidRDefault="006E31C1" w:rsidP="0046194E">
      <w:pPr>
        <w:autoSpaceDE w:val="0"/>
        <w:autoSpaceDN w:val="0"/>
        <w:adjustRightInd w:val="0"/>
        <w:spacing w:line="276" w:lineRule="auto"/>
        <w:jc w:val="center"/>
        <w:rPr>
          <w:rFonts w:ascii="Arial Narrow" w:hAnsi="Arial Narrow"/>
          <w:b/>
          <w:lang w:eastAsia="en-US"/>
        </w:rPr>
      </w:pPr>
      <w:r w:rsidRPr="00FD7596">
        <w:rPr>
          <w:rFonts w:asciiTheme="minorHAnsi" w:hAnsiTheme="minorHAnsi"/>
        </w:rPr>
        <w:t xml:space="preserve">Na potrzeby postępowania o udzielenie zamówienia publicznego pn. </w:t>
      </w:r>
      <w:r w:rsidR="00323C54" w:rsidRPr="00323C54">
        <w:rPr>
          <w:rFonts w:asciiTheme="minorHAnsi" w:hAnsiTheme="minorHAnsi"/>
        </w:rPr>
        <w:t>Przebudowa drogi gminnej dojazdowej do gruntów rolnych oznaczonej nr działki 169 w miejscowości Karów</w:t>
      </w:r>
      <w:r w:rsidR="00AF655C" w:rsidRPr="00AF655C">
        <w:rPr>
          <w:rFonts w:asciiTheme="minorHAnsi" w:hAnsiTheme="minorHAnsi"/>
        </w:rPr>
        <w:t xml:space="preserve">.  </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lastRenderedPageBreak/>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następującego/ych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KRS/CEiDG)</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Pzp),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46194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Pr="00FD7596">
        <w:rPr>
          <w:rFonts w:asciiTheme="minorHAnsi" w:hAnsiTheme="minorHAnsi"/>
        </w:rPr>
        <w:t xml:space="preserve"> </w:t>
      </w:r>
      <w:r w:rsidR="00323C54" w:rsidRPr="00323C54">
        <w:rPr>
          <w:rFonts w:asciiTheme="minorHAnsi" w:hAnsiTheme="minorHAnsi"/>
        </w:rPr>
        <w:t>Przebudowa drogi gminnej dojazdowej do gruntów rolnych oznaczonej nr działki 169 w miejscowości Karów</w:t>
      </w:r>
      <w:r w:rsidR="00AF655C" w:rsidRPr="00AF655C">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art. 24 ust 1 pkt 12-23 ustawy Pzp.</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art. 24 ust. 5 ustawy Pzp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lastRenderedPageBreak/>
        <w:t>Oświadczam, że zachodzą w stosunku do mnie podstawy wykluczenia z postępowania na podstawie art. …………. ustawy Pzp</w:t>
      </w:r>
      <w:r w:rsidRPr="00FD7596">
        <w:rPr>
          <w:rFonts w:asciiTheme="minorHAnsi" w:hAnsiTheme="minorHAnsi"/>
          <w:sz w:val="20"/>
          <w:szCs w:val="20"/>
        </w:rPr>
        <w:t xml:space="preserve"> </w:t>
      </w:r>
      <w:r w:rsidRPr="00FD7596">
        <w:rPr>
          <w:rFonts w:asciiTheme="minorHAnsi" w:hAnsiTheme="minorHAnsi"/>
          <w:i/>
          <w:sz w:val="20"/>
          <w:szCs w:val="20"/>
        </w:rPr>
        <w:t>(podać mającą zastosowanie podstawę wykluczenia spośród wymienionych w art. 24 ust. 1 pkt 13-14, 16-20 lub art. 24 ust. 5 ustawy Pzp).</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Pzp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którego/ych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KRS/CEiDG)</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 xml:space="preserve">Oświadczam, że następujący/e podmiot/y, będący/e podwykonawcą/ami: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KRS/CEiDG)</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F2981" w:rsidRDefault="00BF2981"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KRS/CEiDG)</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323C54" w:rsidRPr="00323C54">
        <w:rPr>
          <w:rFonts w:asciiTheme="minorHAnsi" w:hAnsiTheme="minorHAnsi"/>
        </w:rPr>
        <w:t>Przebudowa drogi gminnej dojazdowej do gruntów rolnych oznaczonej nr działki 169 w miejscowości Karów</w:t>
      </w:r>
      <w:r w:rsidR="00AF655C" w:rsidRPr="00AF655C">
        <w:rPr>
          <w:rFonts w:asciiTheme="minorHAnsi" w:hAnsiTheme="minorHAnsi"/>
        </w:rPr>
        <w:t xml:space="preserve">.  </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rPr>
      </w:pPr>
      <w:r w:rsidRPr="00F25FD9">
        <w:rPr>
          <w:rFonts w:ascii="Bookman Old Style" w:hAnsi="Bookman Old Style" w:cs="Bookman Old Style"/>
          <w:b/>
          <w:bCs/>
          <w:sz w:val="36"/>
          <w:szCs w:val="36"/>
          <w:u w:val="single"/>
        </w:rPr>
        <w:lastRenderedPageBreak/>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rPr>
      </w:pPr>
      <w:r w:rsidRPr="00F25FD9">
        <w:rPr>
          <w:rFonts w:ascii="Bookman Old Style" w:hAnsi="Bookman Old Style" w:cs="Bookman Old Style"/>
          <w:b/>
          <w:bCs/>
          <w:sz w:val="36"/>
          <w:szCs w:val="36"/>
          <w:u w:val="single"/>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rPr>
      </w:pPr>
      <w:r w:rsidRPr="004364BE">
        <w:rPr>
          <w:rFonts w:asciiTheme="minorHAnsi" w:hAnsiTheme="minorHAnsi" w:cs="Times New Roman"/>
          <w:i/>
          <w:sz w:val="24"/>
          <w:szCs w:val="24"/>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Pona</w:t>
      </w:r>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Hałaś</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323C54" w:rsidP="00323C54">
      <w:pPr>
        <w:suppressAutoHyphens/>
        <w:rPr>
          <w:b/>
          <w:lang w:eastAsia="ar-SA"/>
        </w:rPr>
      </w:pPr>
      <w:r w:rsidRPr="00323C54">
        <w:rPr>
          <w:b/>
          <w:lang w:eastAsia="ar-SA"/>
        </w:rPr>
        <w:t>Przebudowa drogi gminnej dojazdowej do gruntów rolnych oznaczonej nr działki 169 w miejscowości Karów</w:t>
      </w:r>
      <w:r w:rsidR="00AF655C" w:rsidRPr="00AF655C">
        <w:rPr>
          <w:b/>
          <w:lang w:eastAsia="ar-SA"/>
        </w:rPr>
        <w:t xml:space="preserve">.  </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techniczno – użytkowym określonym w dokumentacji projektowej. Roboty </w:t>
      </w:r>
      <w:r w:rsidRPr="00345BB0">
        <w:rPr>
          <w:rFonts w:eastAsia="MingLiU_HKSCS"/>
          <w:lang w:eastAsia="ar-SA"/>
        </w:rPr>
        <w:lastRenderedPageBreak/>
        <w:t>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lastRenderedPageBreak/>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lastRenderedPageBreak/>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uzyskanie protokołów odbioru wykonanych robót, które w świetle obowiązujących przepisów prawa wymagane są przez właściwe służby, takie jak np.: PiP,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lastRenderedPageBreak/>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14. O ile wskazuje na to charakter wykonywanych przez Wykonawcę czynności, Wykonawca jest wytwórcą odpadów w rozumieniu przepisów ustawy „o odpadach” z dnia 27 kwietnia 2001r. (Dz. U. z 2007 r., Nr 39, poz. 251 z późn.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 xml:space="preserve">1. Wykonawca wskazuje na kierownika/ków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Kodeks cywilny Ustawa z dnia 23.04.1964 r. (Dz. U. z 1964 r. nr 16, poz. 93  z późn.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Prawo budowlane ustawa z dnia 07.07.1994 r. (t. j. Dz. U. 2013 r. poz. 1409 z późn.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itp)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innego/ych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innego/ych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upoważnionej(ych)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132B9"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005132B9" w:rsidRPr="005132B9">
        <w:t xml:space="preserve"> </w:t>
      </w:r>
      <w:r w:rsidR="00323C54" w:rsidRPr="00323C54">
        <w:t>Przebudowa drogi gminnej dojazdowej do gruntów rolnych oznaczonej nr działki 169 w miejscowości Karów</w:t>
      </w:r>
      <w:r w:rsidR="005132B9" w:rsidRPr="005132B9">
        <w:rPr>
          <w:rFonts w:asciiTheme="minorHAnsi" w:hAnsiTheme="minorHAnsi"/>
          <w:b/>
          <w:bCs/>
        </w:rPr>
        <w:t xml:space="preserve">.  </w:t>
      </w:r>
      <w:r w:rsidR="005132B9" w:rsidRPr="005132B9">
        <w:rPr>
          <w:rFonts w:asciiTheme="minorHAnsi" w:hAnsiTheme="minorHAnsi"/>
          <w:b/>
        </w:rPr>
        <w:t xml:space="preserve">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5132B9"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kcie realizacji zamówienia pn</w:t>
      </w:r>
      <w:r w:rsidR="005132B9">
        <w:rPr>
          <w:rFonts w:asciiTheme="minorHAnsi" w:hAnsiTheme="minorHAnsi"/>
          <w:bCs/>
        </w:rPr>
        <w:t>.</w:t>
      </w:r>
      <w:r w:rsidR="0046194E">
        <w:rPr>
          <w:rFonts w:asciiTheme="minorHAnsi" w:hAnsiTheme="minorHAnsi"/>
          <w:bCs/>
        </w:rPr>
        <w:t xml:space="preserve">: </w:t>
      </w:r>
      <w:r w:rsidR="00323C54" w:rsidRPr="00323C54">
        <w:rPr>
          <w:rFonts w:asciiTheme="minorHAnsi" w:hAnsiTheme="minorHAnsi"/>
          <w:bCs/>
        </w:rPr>
        <w:t>Przebudowa drogi gminnej dojazdowej do gruntów rolnych oznaczonej nr działki 169 w miejscowości Karów</w:t>
      </w:r>
      <w:r w:rsidR="005132B9" w:rsidRPr="005132B9">
        <w:rPr>
          <w:rFonts w:asciiTheme="minorHAnsi" w:hAnsiTheme="minorHAnsi"/>
          <w:b/>
          <w:bCs/>
        </w:rPr>
        <w:t xml:space="preserve">.  </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E8" w:rsidRDefault="00C471E8" w:rsidP="00651C27">
      <w:r>
        <w:separator/>
      </w:r>
    </w:p>
  </w:endnote>
  <w:endnote w:type="continuationSeparator" w:id="0">
    <w:p w:rsidR="00C471E8" w:rsidRDefault="00C471E8" w:rsidP="0065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762922"/>
      <w:docPartObj>
        <w:docPartGallery w:val="Page Numbers (Bottom of Page)"/>
        <w:docPartUnique/>
      </w:docPartObj>
    </w:sdtPr>
    <w:sdtContent>
      <w:p w:rsidR="00584223" w:rsidRDefault="001B5A73">
        <w:pPr>
          <w:pStyle w:val="Stopka"/>
          <w:jc w:val="right"/>
        </w:pPr>
        <w:r>
          <w:fldChar w:fldCharType="begin"/>
        </w:r>
        <w:r w:rsidR="00584223">
          <w:instrText xml:space="preserve"> PAGE   \* MERGEFORMAT </w:instrText>
        </w:r>
        <w:r>
          <w:fldChar w:fldCharType="separate"/>
        </w:r>
        <w:r w:rsidR="008E6AF6">
          <w:rPr>
            <w:noProof/>
          </w:rPr>
          <w:t>51</w:t>
        </w:r>
        <w:r>
          <w:rPr>
            <w:noProof/>
          </w:rPr>
          <w:fldChar w:fldCharType="end"/>
        </w:r>
      </w:p>
    </w:sdtContent>
  </w:sdt>
  <w:p w:rsidR="00584223" w:rsidRDefault="005842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E8" w:rsidRDefault="00C471E8" w:rsidP="00651C27">
      <w:r>
        <w:separator/>
      </w:r>
    </w:p>
  </w:footnote>
  <w:footnote w:type="continuationSeparator" w:id="0">
    <w:p w:rsidR="00C471E8" w:rsidRDefault="00C471E8" w:rsidP="00651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1C27"/>
    <w:rsid w:val="00006665"/>
    <w:rsid w:val="00010BD5"/>
    <w:rsid w:val="00014161"/>
    <w:rsid w:val="00037837"/>
    <w:rsid w:val="0004274C"/>
    <w:rsid w:val="00042B25"/>
    <w:rsid w:val="000438D2"/>
    <w:rsid w:val="00062D8A"/>
    <w:rsid w:val="0006397B"/>
    <w:rsid w:val="000962DE"/>
    <w:rsid w:val="000A2299"/>
    <w:rsid w:val="000C3347"/>
    <w:rsid w:val="0010209A"/>
    <w:rsid w:val="0012368F"/>
    <w:rsid w:val="00171FE5"/>
    <w:rsid w:val="00172570"/>
    <w:rsid w:val="00180DE8"/>
    <w:rsid w:val="0019700B"/>
    <w:rsid w:val="001A28F1"/>
    <w:rsid w:val="001A2904"/>
    <w:rsid w:val="001A5878"/>
    <w:rsid w:val="001B40A8"/>
    <w:rsid w:val="001B5A73"/>
    <w:rsid w:val="001D43DC"/>
    <w:rsid w:val="001E335B"/>
    <w:rsid w:val="001E5817"/>
    <w:rsid w:val="001F124E"/>
    <w:rsid w:val="00202371"/>
    <w:rsid w:val="00221EC2"/>
    <w:rsid w:val="00224F08"/>
    <w:rsid w:val="00237FE2"/>
    <w:rsid w:val="002B0697"/>
    <w:rsid w:val="002D1E18"/>
    <w:rsid w:val="002E2E11"/>
    <w:rsid w:val="002E2EAE"/>
    <w:rsid w:val="002E49F7"/>
    <w:rsid w:val="003173F3"/>
    <w:rsid w:val="003215AB"/>
    <w:rsid w:val="00323C54"/>
    <w:rsid w:val="00326ECE"/>
    <w:rsid w:val="003348D2"/>
    <w:rsid w:val="003806EB"/>
    <w:rsid w:val="003A73F1"/>
    <w:rsid w:val="003C73AB"/>
    <w:rsid w:val="003D4A52"/>
    <w:rsid w:val="003D7BB9"/>
    <w:rsid w:val="003E791F"/>
    <w:rsid w:val="003F1BF1"/>
    <w:rsid w:val="0040575D"/>
    <w:rsid w:val="00410548"/>
    <w:rsid w:val="0041237B"/>
    <w:rsid w:val="00433F2F"/>
    <w:rsid w:val="004364BE"/>
    <w:rsid w:val="004563BD"/>
    <w:rsid w:val="0046194E"/>
    <w:rsid w:val="00467C8E"/>
    <w:rsid w:val="004A1CC0"/>
    <w:rsid w:val="004A452E"/>
    <w:rsid w:val="005132B9"/>
    <w:rsid w:val="00527E21"/>
    <w:rsid w:val="005320DD"/>
    <w:rsid w:val="0054309C"/>
    <w:rsid w:val="00547745"/>
    <w:rsid w:val="00551E52"/>
    <w:rsid w:val="00555071"/>
    <w:rsid w:val="00557FFA"/>
    <w:rsid w:val="00564346"/>
    <w:rsid w:val="00564B76"/>
    <w:rsid w:val="00584223"/>
    <w:rsid w:val="00597428"/>
    <w:rsid w:val="005A493E"/>
    <w:rsid w:val="005A5510"/>
    <w:rsid w:val="005C158C"/>
    <w:rsid w:val="005D2C19"/>
    <w:rsid w:val="005D6336"/>
    <w:rsid w:val="005E065D"/>
    <w:rsid w:val="00607195"/>
    <w:rsid w:val="00624EAE"/>
    <w:rsid w:val="006263FA"/>
    <w:rsid w:val="00645EB0"/>
    <w:rsid w:val="00647D82"/>
    <w:rsid w:val="00651C27"/>
    <w:rsid w:val="006530CF"/>
    <w:rsid w:val="00662C0F"/>
    <w:rsid w:val="00666E53"/>
    <w:rsid w:val="0068313B"/>
    <w:rsid w:val="00694753"/>
    <w:rsid w:val="006A7D93"/>
    <w:rsid w:val="006E31C1"/>
    <w:rsid w:val="006F0228"/>
    <w:rsid w:val="00710FCC"/>
    <w:rsid w:val="00712057"/>
    <w:rsid w:val="00734D7F"/>
    <w:rsid w:val="00741FA4"/>
    <w:rsid w:val="007430A5"/>
    <w:rsid w:val="007438A2"/>
    <w:rsid w:val="00753C0E"/>
    <w:rsid w:val="00766048"/>
    <w:rsid w:val="00780301"/>
    <w:rsid w:val="00782C16"/>
    <w:rsid w:val="007B3A79"/>
    <w:rsid w:val="007B6C71"/>
    <w:rsid w:val="00821952"/>
    <w:rsid w:val="00821CCC"/>
    <w:rsid w:val="00864CF3"/>
    <w:rsid w:val="00874F91"/>
    <w:rsid w:val="00891EE9"/>
    <w:rsid w:val="008A2E05"/>
    <w:rsid w:val="008E6AF6"/>
    <w:rsid w:val="008F0CE7"/>
    <w:rsid w:val="0090188E"/>
    <w:rsid w:val="0092247B"/>
    <w:rsid w:val="00923F38"/>
    <w:rsid w:val="00994B58"/>
    <w:rsid w:val="009A4437"/>
    <w:rsid w:val="009D11D1"/>
    <w:rsid w:val="009D17D2"/>
    <w:rsid w:val="009D27AD"/>
    <w:rsid w:val="009D582B"/>
    <w:rsid w:val="009F0062"/>
    <w:rsid w:val="009F079E"/>
    <w:rsid w:val="00A00EF5"/>
    <w:rsid w:val="00A5734F"/>
    <w:rsid w:val="00A57ABE"/>
    <w:rsid w:val="00A67791"/>
    <w:rsid w:val="00A85946"/>
    <w:rsid w:val="00A95289"/>
    <w:rsid w:val="00A975B3"/>
    <w:rsid w:val="00AF655C"/>
    <w:rsid w:val="00B101CD"/>
    <w:rsid w:val="00B12AFB"/>
    <w:rsid w:val="00B26F37"/>
    <w:rsid w:val="00B42E6B"/>
    <w:rsid w:val="00B77E77"/>
    <w:rsid w:val="00B83B8E"/>
    <w:rsid w:val="00B94C95"/>
    <w:rsid w:val="00BC7742"/>
    <w:rsid w:val="00BF2981"/>
    <w:rsid w:val="00C00620"/>
    <w:rsid w:val="00C471E8"/>
    <w:rsid w:val="00C55D81"/>
    <w:rsid w:val="00CC1374"/>
    <w:rsid w:val="00CC69A7"/>
    <w:rsid w:val="00CD7372"/>
    <w:rsid w:val="00CF0EBF"/>
    <w:rsid w:val="00CF3C29"/>
    <w:rsid w:val="00D020CD"/>
    <w:rsid w:val="00D179B3"/>
    <w:rsid w:val="00D4381E"/>
    <w:rsid w:val="00D5266C"/>
    <w:rsid w:val="00D657E3"/>
    <w:rsid w:val="00D70FFC"/>
    <w:rsid w:val="00D97486"/>
    <w:rsid w:val="00DA1BA8"/>
    <w:rsid w:val="00DE554A"/>
    <w:rsid w:val="00E14622"/>
    <w:rsid w:val="00E175D8"/>
    <w:rsid w:val="00E211D1"/>
    <w:rsid w:val="00E31ECF"/>
    <w:rsid w:val="00E615CF"/>
    <w:rsid w:val="00E71426"/>
    <w:rsid w:val="00E71B47"/>
    <w:rsid w:val="00E76110"/>
    <w:rsid w:val="00E8742A"/>
    <w:rsid w:val="00E9176A"/>
    <w:rsid w:val="00F10B1D"/>
    <w:rsid w:val="00F15510"/>
    <w:rsid w:val="00F22111"/>
    <w:rsid w:val="00F23409"/>
    <w:rsid w:val="00F25FD9"/>
    <w:rsid w:val="00F356AD"/>
    <w:rsid w:val="00F5618E"/>
    <w:rsid w:val="00FC52FD"/>
    <w:rsid w:val="00FD3DC7"/>
    <w:rsid w:val="00FD7596"/>
    <w:rsid w:val="00FE59B3"/>
    <w:rsid w:val="00FF3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chlow.pl" TargetMode="External"/><Relationship Id="rId13" Type="http://schemas.openxmlformats.org/officeDocument/2006/relationships/hyperlink" Target="mailto:urzad@niechlow.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brody.inf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brody.inf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p.legalis.pl/document-view.seam?documentId=mfrxilrtgiydqnbrga3di" TargetMode="External"/><Relationship Id="rId4" Type="http://schemas.openxmlformats.org/officeDocument/2006/relationships/settings" Target="settings.xml"/><Relationship Id="rId9" Type="http://schemas.openxmlformats.org/officeDocument/2006/relationships/hyperlink" Target="http://sip.legalis.pl/document-view.seam?documentId=mfrxilrtgiydqnbrga3diltqmfyc4mzrg4zdsmbrge"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D364-D46C-4447-8981-F7D15A1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16458</Words>
  <Characters>98753</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Paweł</cp:lastModifiedBy>
  <cp:revision>2</cp:revision>
  <cp:lastPrinted>2017-06-13T11:15:00Z</cp:lastPrinted>
  <dcterms:created xsi:type="dcterms:W3CDTF">2017-10-31T18:41:00Z</dcterms:created>
  <dcterms:modified xsi:type="dcterms:W3CDTF">2017-10-31T18:41:00Z</dcterms:modified>
</cp:coreProperties>
</file>