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584223">
        <w:rPr>
          <w:rFonts w:ascii="Arial Narrow" w:hAnsi="Arial Narrow"/>
          <w:b/>
          <w:bCs/>
          <w:sz w:val="22"/>
          <w:szCs w:val="22"/>
        </w:rPr>
        <w:t>RIT 6213.8.08</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92247B" w:rsidP="00555071">
      <w:pPr>
        <w:autoSpaceDE w:val="0"/>
        <w:autoSpaceDN w:val="0"/>
        <w:adjustRightInd w:val="0"/>
        <w:spacing w:line="276" w:lineRule="auto"/>
        <w:jc w:val="center"/>
        <w:rPr>
          <w:rFonts w:ascii="Arial Narrow" w:hAnsi="Arial Narrow"/>
          <w:b/>
          <w:sz w:val="28"/>
          <w:lang w:eastAsia="en-US"/>
        </w:rPr>
      </w:pPr>
      <w:r w:rsidRPr="0092247B">
        <w:rPr>
          <w:rFonts w:ascii="Arial Narrow" w:hAnsi="Arial Narrow"/>
          <w:b/>
          <w:sz w:val="28"/>
          <w:lang w:eastAsia="en-US"/>
        </w:rPr>
        <w:t>„Przebudowa drogi gminnej w miejscowości  Niechlów  oznaczonej numerami  działek 342, 343, 344 oraz 351”.</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584223"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547745">
        <w:rPr>
          <w:rFonts w:ascii="Arial Narrow" w:hAnsi="Arial Narrow"/>
        </w:rPr>
        <w:t>06.07</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lastRenderedPageBreak/>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584223">
        <w:rPr>
          <w:rFonts w:asciiTheme="minorHAnsi" w:hAnsiTheme="minorHAnsi"/>
        </w:rPr>
        <w:t>RIT 6213.8.08</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92247B"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348D2" w:rsidRPr="00891EE9">
        <w:rPr>
          <w:rFonts w:asciiTheme="minorHAnsi" w:hAnsiTheme="minorHAnsi"/>
          <w:b/>
          <w:color w:val="FF0000"/>
        </w:rPr>
        <w:t xml:space="preserve"> </w:t>
      </w:r>
      <w:r w:rsidR="0092247B" w:rsidRPr="0092247B">
        <w:rPr>
          <w:rFonts w:asciiTheme="minorHAnsi" w:hAnsiTheme="minorHAnsi"/>
          <w:b/>
        </w:rPr>
        <w:t>„Przebudowa drogi gminnej w miejscowości  Niechlów  oznaczonej numerami  działek 342, 343, 344 oraz 351”.</w:t>
      </w:r>
    </w:p>
    <w:p w:rsidR="00651C27"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547745" w:rsidRPr="00547745" w:rsidRDefault="00547745" w:rsidP="00651C27">
      <w:pPr>
        <w:suppressAutoHyphens/>
        <w:jc w:val="both"/>
        <w:rPr>
          <w:rFonts w:asciiTheme="minorHAnsi" w:hAnsiTheme="minorHAnsi"/>
          <w:lang w:eastAsia="ar-SA"/>
        </w:rPr>
      </w:pPr>
      <w:r>
        <w:rPr>
          <w:rFonts w:asciiTheme="minorHAnsi" w:hAnsiTheme="minorHAnsi"/>
          <w:lang w:eastAsia="ar-SA"/>
        </w:rPr>
        <w:t xml:space="preserve">- </w:t>
      </w:r>
      <w:r w:rsidRPr="00547745">
        <w:rPr>
          <w:rFonts w:asciiTheme="minorHAnsi" w:hAnsiTheme="minorHAnsi"/>
          <w:lang w:eastAsia="ar-SA"/>
        </w:rPr>
        <w:t>45000000-7</w:t>
      </w:r>
      <w:r>
        <w:rPr>
          <w:rFonts w:asciiTheme="minorHAnsi" w:hAnsiTheme="minorHAnsi"/>
          <w:lang w:eastAsia="ar-SA"/>
        </w:rPr>
        <w:t xml:space="preserve"> Roboty budowlane</w:t>
      </w:r>
    </w:p>
    <w:p w:rsidR="00651C27" w:rsidRDefault="00555071" w:rsidP="009D17D2">
      <w:pPr>
        <w:numPr>
          <w:ilvl w:val="0"/>
          <w:numId w:val="11"/>
        </w:numPr>
        <w:autoSpaceDE w:val="0"/>
        <w:autoSpaceDN w:val="0"/>
        <w:adjustRightInd w:val="0"/>
        <w:spacing w:after="120"/>
        <w:rPr>
          <w:rFonts w:asciiTheme="minorHAnsi" w:hAnsiTheme="minorHAnsi"/>
          <w:lang w:eastAsia="ar-SA"/>
        </w:rPr>
      </w:pPr>
      <w:r w:rsidRPr="00555071">
        <w:rPr>
          <w:rFonts w:asciiTheme="minorHAnsi" w:hAnsiTheme="minorHAnsi"/>
          <w:lang w:eastAsia="ar-SA"/>
        </w:rPr>
        <w:lastRenderedPageBreak/>
        <w:t>45233140-2 Roboty drogowe</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do Przebudowy drogi gminnej w miejscowości Niechlów na terenie oznaczonym numerami działek 342, 343, 344 oraz 351.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1. Stan istniejący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 chwili obecnej pas drogowy działek 342; 343; 344 i 351 w m. Niechlów stanowi drogę dojazdową do okolicznych budynków. Działki funkcjonują jako droga o nawierzchni gruntowej nieutwardzonej charakteryzuje się dużymi nierównościami poprzecznymi z głębokimi wybojami i koleinami. Brak wydzielonej nawierzchni i chodników. Wody opadowe i roztopowe zalegają w wybojach, nie odprowadzane są poza teren inwestycji. Połączenie z drogą wojewódzką odbywa się poprzez istniejący zjazd z kostki betonowej.</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2. Stan projektowany</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Projekt przewiduje przebudowę drogi gminnej w m. Niechlowie. Roboty polegać będą na rozbiórce nawierzchni gruntowej oraz fragmentów zbudowanych z płyt chodnikowych.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Od km 0+000 do km 0+207,93 zaprojektowano drogę o nawierzchni bitumicznej o szerokości 5 m oraz  lewostronny chodnik z kostki brukowej betonowej o szerokości 2 m i prawostronne pobocze szerokości 0,3 m z jasnego kruszywa. Następnie od km 0+217.33 do km 0+470,57 projektuje się drogę o szerokości 4 m o nawierzchni bitumicznej wraz z obustronnym chodnikiem z kostki brukowej betonowej  o szerokości 2 m po lewej stronie i 1,5 m po prawej stronie. Krawędź drogi od strony chodnika oraz zakończenie chodnika od strony posesji wykonana zostanie z obrzeża betonowego 8x30x100cm na ławie betonowej z betonu cementowego C12/15 . W obrębie włączenia do drogi wojewódzkiej krawędź jezdni projektuje się z krawężnika 15x30x100 cm na ławie betonowej z betonu cementowego C12/15  Krawędź w obrębie zjazdu w km 0+060 od strony krawędź jezdni należy wzmocnić krawężnikiem drogowym 15x30x100cmułożonym na płask na ławie z betonu cementowego C12/15. Zjazdy zaprojektowano z kostki brukowej betonowej obramowanej obrzeżem 8x30x100cm na ławie betonowej z betonu cementowego C12/15. Wokół projektowanej drogi należy uporządkować wyrównać i obsiać trawą tereny zielone.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Nawierzchnia Jezdni:</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betonu asfaltowego AC 11 S gr. 4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wiążąca z betonu asfaltowego AC 16 W gr. 4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podbudowy zasadniczej z kruszywa łamanego stabilizowanego mechanicznie 0/31,5 gr. 20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 Podłoże gruntowe (G1)  lub nasyp.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Nawierzchnia Zjazdu: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betonowej kostki brukowej koloru czerwonego, gr. 8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-podsypka cementowo-piaskowa 1:4, gr. 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-podbudowa zasadnicza z KŁSM 0/31.5mm, gr. 15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gruntu stabilizowanego cementem o </w:t>
      </w:r>
      <w:proofErr w:type="spellStart"/>
      <w:r w:rsidRPr="00551E52">
        <w:rPr>
          <w:rFonts w:asciiTheme="minorHAnsi" w:hAnsiTheme="minorHAnsi"/>
          <w:lang w:eastAsia="ar-SA"/>
        </w:rPr>
        <w:t>Rm</w:t>
      </w:r>
      <w:proofErr w:type="spellEnd"/>
      <w:r w:rsidRPr="00551E52">
        <w:rPr>
          <w:rFonts w:asciiTheme="minorHAnsi" w:hAnsiTheme="minorHAnsi"/>
          <w:lang w:eastAsia="ar-SA"/>
        </w:rPr>
        <w:t>=2,5MPa, (</w:t>
      </w:r>
      <w:proofErr w:type="spellStart"/>
      <w:r w:rsidRPr="00551E52">
        <w:rPr>
          <w:rFonts w:asciiTheme="minorHAnsi" w:hAnsiTheme="minorHAnsi"/>
          <w:lang w:eastAsia="ar-SA"/>
        </w:rPr>
        <w:t>wsk</w:t>
      </w:r>
      <w:proofErr w:type="spellEnd"/>
      <w:r w:rsidRPr="00551E52">
        <w:rPr>
          <w:rFonts w:asciiTheme="minorHAnsi" w:hAnsiTheme="minorHAnsi"/>
          <w:lang w:eastAsia="ar-SA"/>
        </w:rPr>
        <w:t xml:space="preserve">. zagęszczenia </w:t>
      </w:r>
      <w:proofErr w:type="spellStart"/>
      <w:r w:rsidRPr="00551E52">
        <w:rPr>
          <w:rFonts w:asciiTheme="minorHAnsi" w:hAnsiTheme="minorHAnsi"/>
          <w:lang w:eastAsia="ar-SA"/>
        </w:rPr>
        <w:t>Is</w:t>
      </w:r>
      <w:proofErr w:type="spellEnd"/>
      <w:r w:rsidRPr="00551E52">
        <w:rPr>
          <w:rFonts w:asciiTheme="minorHAnsi" w:hAnsiTheme="minorHAnsi"/>
          <w:lang w:eastAsia="ar-SA"/>
        </w:rPr>
        <w:t xml:space="preserve">=1.00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i wtórny moduł odkształcenia E2=100 </w:t>
      </w:r>
      <w:proofErr w:type="spellStart"/>
      <w:r w:rsidRPr="00551E52">
        <w:rPr>
          <w:rFonts w:asciiTheme="minorHAnsi" w:hAnsiTheme="minorHAnsi"/>
          <w:lang w:eastAsia="ar-SA"/>
        </w:rPr>
        <w:t>MPa</w:t>
      </w:r>
      <w:proofErr w:type="spellEnd"/>
      <w:r w:rsidRPr="00551E52">
        <w:rPr>
          <w:rFonts w:asciiTheme="minorHAnsi" w:hAnsiTheme="minorHAnsi"/>
          <w:lang w:eastAsia="ar-SA"/>
        </w:rPr>
        <w:t>), gr. 15 cm,</w:t>
      </w:r>
    </w:p>
    <w:p w:rsidR="00551E52" w:rsidRPr="00551E52" w:rsidRDefault="00551E52" w:rsidP="00551E52">
      <w:pPr>
        <w:autoSpaceDE w:val="0"/>
        <w:autoSpaceDN w:val="0"/>
        <w:adjustRightInd w:val="0"/>
        <w:rPr>
          <w:rFonts w:asciiTheme="minorHAnsi" w:hAnsiTheme="minorHAnsi"/>
          <w:lang w:eastAsia="ar-SA"/>
        </w:rPr>
      </w:pPr>
      <w:r>
        <w:rPr>
          <w:rFonts w:asciiTheme="minorHAnsi" w:hAnsiTheme="minorHAnsi"/>
          <w:lang w:eastAsia="ar-SA"/>
        </w:rPr>
        <w:t>Nawierzchnia c</w:t>
      </w:r>
      <w:r w:rsidRPr="00551E52">
        <w:rPr>
          <w:rFonts w:asciiTheme="minorHAnsi" w:hAnsiTheme="minorHAnsi"/>
          <w:lang w:eastAsia="ar-SA"/>
        </w:rPr>
        <w:t>hodnika: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betonowej kostki brukowej koloru szarego, gr. 8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podsypka cementowo-piaskowa 1:4, gr. 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gruntu stabilizowanego cementem o </w:t>
      </w:r>
      <w:proofErr w:type="spellStart"/>
      <w:r w:rsidRPr="00551E52">
        <w:rPr>
          <w:rFonts w:asciiTheme="minorHAnsi" w:hAnsiTheme="minorHAnsi"/>
          <w:lang w:eastAsia="ar-SA"/>
        </w:rPr>
        <w:t>Rm</w:t>
      </w:r>
      <w:proofErr w:type="spellEnd"/>
      <w:r w:rsidRPr="00551E52">
        <w:rPr>
          <w:rFonts w:asciiTheme="minorHAnsi" w:hAnsiTheme="minorHAnsi"/>
          <w:lang w:eastAsia="ar-SA"/>
        </w:rPr>
        <w:t>=1,5MPa, (</w:t>
      </w:r>
      <w:proofErr w:type="spellStart"/>
      <w:r w:rsidRPr="00551E52">
        <w:rPr>
          <w:rFonts w:asciiTheme="minorHAnsi" w:hAnsiTheme="minorHAnsi"/>
          <w:lang w:eastAsia="ar-SA"/>
        </w:rPr>
        <w:t>wsk</w:t>
      </w:r>
      <w:proofErr w:type="spellEnd"/>
      <w:r w:rsidRPr="00551E52">
        <w:rPr>
          <w:rFonts w:asciiTheme="minorHAnsi" w:hAnsiTheme="minorHAnsi"/>
          <w:lang w:eastAsia="ar-SA"/>
        </w:rPr>
        <w:t xml:space="preserve">. zagęszczenia </w:t>
      </w:r>
      <w:proofErr w:type="spellStart"/>
      <w:r w:rsidRPr="00551E52">
        <w:rPr>
          <w:rFonts w:asciiTheme="minorHAnsi" w:hAnsiTheme="minorHAnsi"/>
          <w:lang w:eastAsia="ar-SA"/>
        </w:rPr>
        <w:t>Is</w:t>
      </w:r>
      <w:proofErr w:type="spellEnd"/>
      <w:r w:rsidRPr="00551E52">
        <w:rPr>
          <w:rFonts w:asciiTheme="minorHAnsi" w:hAnsiTheme="minorHAnsi"/>
          <w:lang w:eastAsia="ar-SA"/>
        </w:rPr>
        <w:t xml:space="preserve">=0.97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i wtórny moduł odkształcenia E2=80 </w:t>
      </w:r>
      <w:proofErr w:type="spellStart"/>
      <w:r w:rsidRPr="00551E52">
        <w:rPr>
          <w:rFonts w:asciiTheme="minorHAnsi" w:hAnsiTheme="minorHAnsi"/>
          <w:lang w:eastAsia="ar-SA"/>
        </w:rPr>
        <w:t>MPa</w:t>
      </w:r>
      <w:proofErr w:type="spellEnd"/>
      <w:r w:rsidRPr="00551E52">
        <w:rPr>
          <w:rFonts w:asciiTheme="minorHAnsi" w:hAnsiTheme="minorHAnsi"/>
          <w:lang w:eastAsia="ar-SA"/>
        </w:rPr>
        <w:t>), gr. 15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lastRenderedPageBreak/>
        <w:t>Konstrukcja Pobocza: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kruszywa stabilizowanego mechanicznie 0/31,5 gr. 10 cm o jasnej barwie.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Podłoże gruntowe (G1) lub nasyp</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Konstrukcja krawędzi jezdni w obrębie  zjazdu.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 Krawężnik drogowy betonowy 15x30x100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Ława z betonu cementowego C12/15 gr. 10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 obrębie projektowanych elementów zlokalizowane jest następujące uzbrojenie terenu.: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Wodociąg fi 63 i fi 90  wraz z hydrantami nadziemnymi</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Kanalizacja sanitarna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Linie elektryczne kablowe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Linie telekomunikacyjne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Napowietrzna linia elektroenergetyczna NN</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Planowane roboty budowlane nie kolidują z istniejącą infrastrukturą posadowioną minimum 0,5 m  poniżej konstrukcji jezdni. Elementy nadziemne infrastruktury; słupy oraz hydranty zlokalizowane są poza jezdnią i poboczem projektowanej trasy.</w:t>
      </w:r>
    </w:p>
    <w:p w:rsid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Odwodnienie przebudowanej jezdni odbywać się będzie za pośrednictwem spadków poprzecznych i podłużnego zapewniającego spływ wody w kierunku terenów zielonych pasa drogowego oraz za pomocą drenażu do studni chłonnych.</w:t>
      </w:r>
    </w:p>
    <w:p w:rsidR="0092247B" w:rsidRPr="00DD4AC2" w:rsidRDefault="0092247B" w:rsidP="0092247B">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D17D2">
      <w:pPr>
        <w:numPr>
          <w:ilvl w:val="1"/>
          <w:numId w:val="43"/>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 xml:space="preserve">dostępnych  źródłach, katalogach. Posługiwanie się nazwami producentów / produktów ma wyłącznie charakter przykładowy. Zamawiający (zgodnie z dokumentacja projektową) dopuszcza jednocześnie produkty równoważne o parametrach jakościowych i cechach </w:t>
      </w:r>
      <w:r w:rsidRPr="00BC7742">
        <w:rPr>
          <w:rFonts w:asciiTheme="minorHAnsi" w:hAnsiTheme="minorHAnsi"/>
        </w:rPr>
        <w:lastRenderedPageBreak/>
        <w:t>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5C158C">
        <w:rPr>
          <w:b/>
        </w:rPr>
        <w:t xml:space="preserve"> 31.10</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lastRenderedPageBreak/>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r>
      <w:r w:rsidRPr="00237FE2">
        <w:rPr>
          <w:rFonts w:asciiTheme="minorHAnsi" w:hAnsiTheme="minorHAnsi"/>
        </w:rPr>
        <w:lastRenderedPageBreak/>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w:t>
      </w:r>
      <w:r w:rsidRPr="00237FE2">
        <w:rPr>
          <w:rFonts w:asciiTheme="minorHAnsi" w:hAnsiTheme="minorHAnsi"/>
        </w:rPr>
        <w:lastRenderedPageBreak/>
        <w:t xml:space="preserve">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w:t>
      </w:r>
      <w:r w:rsidRPr="00237FE2">
        <w:rPr>
          <w:rFonts w:asciiTheme="minorHAnsi" w:hAnsiTheme="minorHAnsi"/>
        </w:rPr>
        <w:lastRenderedPageBreak/>
        <w:t>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lastRenderedPageBreak/>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w:t>
      </w:r>
      <w:r w:rsidRPr="00237FE2">
        <w:rPr>
          <w:rFonts w:asciiTheme="minorHAnsi" w:hAnsiTheme="minorHAnsi"/>
          <w:bCs/>
        </w:rPr>
        <w:lastRenderedPageBreak/>
        <w:t xml:space="preserve">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lastRenderedPageBreak/>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w:t>
      </w:r>
      <w:r w:rsidRPr="0004274C">
        <w:rPr>
          <w:rFonts w:asciiTheme="minorHAnsi" w:hAnsiTheme="minorHAnsi"/>
        </w:rPr>
        <w:lastRenderedPageBreak/>
        <w:t xml:space="preserve">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5"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584223">
        <w:rPr>
          <w:rFonts w:ascii="Arial Narrow" w:hAnsi="Arial Narrow"/>
        </w:rPr>
        <w:t>niesienia wadium w wysokości:  10</w:t>
      </w:r>
      <w:r w:rsidR="006A7D93" w:rsidRPr="00C00620">
        <w:rPr>
          <w:rFonts w:ascii="Arial Narrow" w:hAnsi="Arial Narrow"/>
        </w:rPr>
        <w:t xml:space="preserve"> 000,00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FF3D9F" w:rsidRPr="00FF3D9F">
        <w:rPr>
          <w:rFonts w:ascii="Arial Narrow" w:hAnsi="Arial Narrow"/>
          <w:sz w:val="22"/>
          <w:szCs w:val="22"/>
        </w:rPr>
        <w:t>„Przebudowa drogi gminnej w miejscowości  Niechlów  oznaczonej numerami  działek 342, 343, 344 oraz 351”.</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lastRenderedPageBreak/>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lastRenderedPageBreak/>
        <w:t xml:space="preserve">Oferta na zadanie: </w:t>
      </w:r>
    </w:p>
    <w:p w:rsidR="00E14622" w:rsidRPr="0004274C" w:rsidRDefault="00FF3D9F"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FF3D9F">
        <w:rPr>
          <w:rFonts w:asciiTheme="majorHAnsi" w:hAnsiTheme="majorHAnsi"/>
          <w:b/>
        </w:rPr>
        <w:t>„Przebudowa drogi gminnej w miejscowości  Niechlów  oznaczonej numerami  działek 342, 343, 344 oraz 351”.</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584223">
        <w:rPr>
          <w:rFonts w:asciiTheme="majorHAnsi" w:hAnsiTheme="majorHAnsi"/>
          <w:b/>
          <w:bCs/>
          <w:lang w:eastAsia="ar-SA"/>
        </w:rPr>
        <w:t>29.08</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w:t>
      </w:r>
      <w:r w:rsidR="009D582B">
        <w:rPr>
          <w:rFonts w:asciiTheme="minorHAnsi" w:hAnsiTheme="minorHAnsi"/>
        </w:rPr>
        <w:lastRenderedPageBreak/>
        <w:t xml:space="preserve">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584223">
        <w:rPr>
          <w:rFonts w:asciiTheme="minorHAnsi" w:hAnsiTheme="minorHAnsi"/>
          <w:b/>
          <w:bCs/>
          <w:u w:val="single"/>
          <w:lang w:eastAsia="ar-SA"/>
        </w:rPr>
        <w:t>29 sierpnia</w:t>
      </w:r>
      <w:r w:rsidR="001F124E">
        <w:rPr>
          <w:rFonts w:asciiTheme="minorHAnsi" w:hAnsiTheme="minorHAnsi"/>
          <w:b/>
          <w:bCs/>
          <w:u w:val="single"/>
          <w:lang w:eastAsia="ar-SA"/>
        </w:rPr>
        <w:t xml:space="preserve">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lastRenderedPageBreak/>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584223">
        <w:rPr>
          <w:rFonts w:asciiTheme="minorHAnsi" w:hAnsiTheme="minorHAnsi"/>
          <w:b/>
          <w:bCs/>
          <w:u w:val="single"/>
          <w:lang w:eastAsia="ar-SA"/>
        </w:rPr>
        <w:t>29</w:t>
      </w:r>
      <w:r w:rsidR="00CC69A7">
        <w:rPr>
          <w:rFonts w:asciiTheme="minorHAnsi" w:hAnsiTheme="minorHAnsi"/>
          <w:b/>
          <w:bCs/>
          <w:u w:val="single"/>
          <w:lang w:eastAsia="ar-SA"/>
        </w:rPr>
        <w:t xml:space="preserve"> </w:t>
      </w:r>
      <w:r w:rsidR="00584223">
        <w:rPr>
          <w:rFonts w:asciiTheme="minorHAnsi" w:hAnsiTheme="minorHAnsi"/>
          <w:b/>
          <w:bCs/>
          <w:u w:val="single"/>
          <w:lang w:eastAsia="ar-SA"/>
        </w:rPr>
        <w:t xml:space="preserve">sierpnia </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lastRenderedPageBreak/>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lastRenderedPageBreak/>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003215AB">
        <w:rPr>
          <w:rFonts w:asciiTheme="minorHAnsi" w:hAnsiTheme="minorHAnsi" w:cs="Times New Roman"/>
          <w:sz w:val="24"/>
          <w:szCs w:val="24"/>
          <w14:shadow w14:blurRad="50800" w14:dist="38100" w14:dir="2700000" w14:sx="100000" w14:sy="100000" w14:kx="0" w14:ky="0" w14:algn="tl">
            <w14:srgbClr w14:val="000000">
              <w14:alpha w14:val="60000"/>
            </w14:srgbClr>
          </w14:shadow>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0438D2" w:rsidP="000438D2">
      <w:pPr>
        <w:pStyle w:val="Nagwek3"/>
        <w:tabs>
          <w:tab w:val="left" w:pos="567"/>
        </w:tabs>
        <w:spacing w:before="0" w:after="0"/>
        <w:jc w:val="both"/>
        <w:rPr>
          <w:rFonts w:asciiTheme="minorHAnsi" w:hAnsiTheme="minorHAnsi" w:cs="Times New Roman"/>
          <w:b w:val="0"/>
          <w:bCs w:val="0"/>
          <w:sz w:val="24"/>
          <w:szCs w:val="24"/>
        </w:rPr>
      </w:pPr>
      <w:r>
        <w:rPr>
          <w:rFonts w:asciiTheme="minorHAnsi" w:hAnsiTheme="minorHAnsi" w:cs="Times New Roman"/>
          <w:b w:val="0"/>
          <w:bCs w:val="0"/>
          <w:sz w:val="24"/>
          <w:szCs w:val="24"/>
        </w:rPr>
        <w:t xml:space="preserve">        </w:t>
      </w:r>
      <w:r w:rsidR="00651C27" w:rsidRPr="008F0CE7">
        <w:rPr>
          <w:rFonts w:asciiTheme="minorHAnsi" w:hAnsiTheme="minorHAnsi" w:cs="Times New Roman"/>
          <w:b w:val="0"/>
          <w:bCs w:val="0"/>
          <w:sz w:val="24"/>
          <w:szCs w:val="24"/>
        </w:rPr>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8F0CE7">
        <w:rPr>
          <w:rFonts w:asciiTheme="minorHAnsi" w:eastAsia="Arial" w:hAnsiTheme="minorHAnsi"/>
          <w:b w:val="0"/>
          <w:i w:val="0"/>
          <w:sz w:val="24"/>
          <w:szCs w:val="24"/>
        </w:rPr>
        <w:lastRenderedPageBreak/>
        <w:t>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Odwołanie wnosi się do Prezesa Izby w formie pisemnej albo elektronicznej podpisane bezpiecznym podpisem elektronicznym weryfikowanym przy pomocą </w:t>
      </w:r>
      <w:r w:rsidRPr="008F0CE7">
        <w:rPr>
          <w:rFonts w:asciiTheme="minorHAnsi" w:hAnsiTheme="minorHAnsi"/>
        </w:rPr>
        <w:lastRenderedPageBreak/>
        <w:t>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r>
      <w:r w:rsidRPr="008F0CE7">
        <w:rPr>
          <w:rFonts w:asciiTheme="minorHAnsi" w:hAnsiTheme="minorHAnsi"/>
        </w:rPr>
        <w:lastRenderedPageBreak/>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874F91" w:rsidRDefault="00874F91" w:rsidP="00547745">
      <w:pPr>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BF2981" w:rsidP="00BF2981">
      <w:pPr>
        <w:tabs>
          <w:tab w:val="left" w:pos="708"/>
        </w:tabs>
        <w:suppressAutoHyphens/>
        <w:outlineLvl w:val="5"/>
        <w:rPr>
          <w:rFonts w:asciiTheme="minorHAnsi" w:hAnsiTheme="minorHAnsi"/>
          <w:b/>
          <w:bCs/>
          <w:lang w:eastAsia="ar-SA"/>
        </w:rPr>
      </w:pPr>
      <w:r w:rsidRPr="00BF2981">
        <w:rPr>
          <w:rFonts w:asciiTheme="minorHAnsi" w:hAnsiTheme="minorHAnsi"/>
          <w:b/>
          <w:bCs/>
          <w:lang w:eastAsia="ar-SA"/>
        </w:rPr>
        <w:t>„Przebudowa drogi gminnej w miejscowości  Niechlów  oznaczonej numerami  działek 342, 343, 344 oraz 351”.</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46194E">
              <w:rPr>
                <w:rFonts w:asciiTheme="minorHAnsi" w:hAnsiTheme="minorHAnsi"/>
              </w:rPr>
              <w:t xml:space="preserve">rzez Zamawiającego:   </w:t>
            </w:r>
            <w:r w:rsidR="00584223">
              <w:rPr>
                <w:rFonts w:asciiTheme="minorHAnsi" w:hAnsiTheme="minorHAnsi"/>
              </w:rPr>
              <w:t>RIT 6213.8.08</w:t>
            </w:r>
            <w:bookmarkStart w:id="1" w:name="_GoBack"/>
            <w:bookmarkEnd w:id="1"/>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46194E" w:rsidRDefault="006E31C1" w:rsidP="0046194E">
      <w:pPr>
        <w:autoSpaceDE w:val="0"/>
        <w:autoSpaceDN w:val="0"/>
        <w:adjustRightInd w:val="0"/>
        <w:spacing w:line="276" w:lineRule="auto"/>
        <w:jc w:val="center"/>
        <w:rPr>
          <w:rFonts w:ascii="Arial Narrow" w:hAnsi="Arial Narrow"/>
          <w:b/>
          <w:lang w:eastAsia="en-US"/>
        </w:rPr>
      </w:pPr>
      <w:r w:rsidRPr="00FD7596">
        <w:rPr>
          <w:rFonts w:asciiTheme="minorHAnsi" w:hAnsiTheme="minorHAnsi"/>
        </w:rPr>
        <w:t xml:space="preserve">Na potrzeby postępowania o udzielenie zamówienia publicznego pn.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lastRenderedPageBreak/>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46194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r w:rsidRPr="00FD7596">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lastRenderedPageBreak/>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F2981" w:rsidRDefault="00BF2981"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46194E" w:rsidP="00557FFA">
      <w:pPr>
        <w:suppressAutoHyphens/>
        <w:ind w:left="280"/>
        <w:rPr>
          <w:b/>
          <w:lang w:eastAsia="ar-SA"/>
        </w:rPr>
      </w:pPr>
      <w:r w:rsidRPr="0046194E">
        <w:rPr>
          <w:b/>
          <w:lang w:eastAsia="ar-SA"/>
        </w:rPr>
        <w:t>„Przebudowa drogi gminnej w miejscowości  Niechlów  oznaczonej numerami  działek 342, 343, 344 oraz 351”.</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w:t>
      </w:r>
      <w:r w:rsidRPr="00345BB0">
        <w:rPr>
          <w:rFonts w:eastAsia="MingLiU_HKSCS"/>
          <w:lang w:eastAsia="ar-SA"/>
        </w:rPr>
        <w:lastRenderedPageBreak/>
        <w:t>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lastRenderedPageBreak/>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lastRenderedPageBreak/>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lastRenderedPageBreak/>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0046194E">
        <w:rPr>
          <w:rFonts w:asciiTheme="minorHAnsi" w:hAnsiTheme="minorHAnsi"/>
        </w:rPr>
        <w:t xml:space="preserve"> „</w:t>
      </w:r>
      <w:r w:rsidR="0046194E" w:rsidRPr="0046194E">
        <w:rPr>
          <w:rFonts w:ascii="Arial Narrow" w:hAnsi="Arial Narrow"/>
          <w:b/>
          <w:lang w:eastAsia="en-US"/>
        </w:rPr>
        <w:t>Przebudowa drogi gminnej w miejscowości  Niechlów  oznaczonej numerami  działek 342, 343, 344 oraz 351”.</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 xml:space="preserve">kcie realizacji zamówienia </w:t>
      </w:r>
      <w:proofErr w:type="spellStart"/>
      <w:r w:rsidR="0046194E">
        <w:rPr>
          <w:rFonts w:asciiTheme="minorHAnsi" w:hAnsiTheme="minorHAnsi"/>
          <w:bCs/>
        </w:rPr>
        <w:t>pn</w:t>
      </w:r>
      <w:proofErr w:type="spellEnd"/>
      <w:r w:rsidR="0046194E">
        <w:rPr>
          <w:rFonts w:asciiTheme="minorHAnsi" w:hAnsiTheme="minorHAnsi"/>
          <w:bCs/>
        </w:rPr>
        <w:t xml:space="preserve">: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19" w:rsidRDefault="005D2C19" w:rsidP="00651C27">
      <w:r>
        <w:separator/>
      </w:r>
    </w:p>
  </w:endnote>
  <w:endnote w:type="continuationSeparator" w:id="0">
    <w:p w:rsidR="005D2C19" w:rsidRDefault="005D2C19"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Content>
      <w:p w:rsidR="00584223" w:rsidRDefault="00584223">
        <w:pPr>
          <w:pStyle w:val="Stopka"/>
          <w:jc w:val="right"/>
        </w:pPr>
        <w:r>
          <w:fldChar w:fldCharType="begin"/>
        </w:r>
        <w:r>
          <w:instrText xml:space="preserve"> PAGE   \* MERGEFORMAT </w:instrText>
        </w:r>
        <w:r>
          <w:fldChar w:fldCharType="separate"/>
        </w:r>
        <w:r w:rsidR="00326ECE">
          <w:rPr>
            <w:noProof/>
          </w:rPr>
          <w:t>51</w:t>
        </w:r>
        <w:r>
          <w:rPr>
            <w:noProof/>
          </w:rPr>
          <w:fldChar w:fldCharType="end"/>
        </w:r>
      </w:p>
    </w:sdtContent>
  </w:sdt>
  <w:p w:rsidR="00584223" w:rsidRDefault="00584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19" w:rsidRDefault="005D2C19" w:rsidP="00651C27">
      <w:r>
        <w:separator/>
      </w:r>
    </w:p>
  </w:footnote>
  <w:footnote w:type="continuationSeparator" w:id="0">
    <w:p w:rsidR="005D2C19" w:rsidRDefault="005D2C19"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10BD5"/>
    <w:rsid w:val="00014161"/>
    <w:rsid w:val="00037837"/>
    <w:rsid w:val="0004274C"/>
    <w:rsid w:val="00042B25"/>
    <w:rsid w:val="000438D2"/>
    <w:rsid w:val="00062D8A"/>
    <w:rsid w:val="0006397B"/>
    <w:rsid w:val="000962DE"/>
    <w:rsid w:val="000A2299"/>
    <w:rsid w:val="000C3347"/>
    <w:rsid w:val="0010209A"/>
    <w:rsid w:val="00171FE5"/>
    <w:rsid w:val="00172570"/>
    <w:rsid w:val="00180DE8"/>
    <w:rsid w:val="0019700B"/>
    <w:rsid w:val="001A28F1"/>
    <w:rsid w:val="001A2904"/>
    <w:rsid w:val="001A5878"/>
    <w:rsid w:val="001D43DC"/>
    <w:rsid w:val="001E335B"/>
    <w:rsid w:val="001F124E"/>
    <w:rsid w:val="00202371"/>
    <w:rsid w:val="00221EC2"/>
    <w:rsid w:val="00224F08"/>
    <w:rsid w:val="00237FE2"/>
    <w:rsid w:val="002B0697"/>
    <w:rsid w:val="002D1E18"/>
    <w:rsid w:val="002E2EAE"/>
    <w:rsid w:val="002E49F7"/>
    <w:rsid w:val="003173F3"/>
    <w:rsid w:val="003215AB"/>
    <w:rsid w:val="00326ECE"/>
    <w:rsid w:val="003348D2"/>
    <w:rsid w:val="003806EB"/>
    <w:rsid w:val="003A73F1"/>
    <w:rsid w:val="003C73AB"/>
    <w:rsid w:val="003D7BB9"/>
    <w:rsid w:val="003E791F"/>
    <w:rsid w:val="003F1BF1"/>
    <w:rsid w:val="0040575D"/>
    <w:rsid w:val="00410548"/>
    <w:rsid w:val="0041237B"/>
    <w:rsid w:val="00433F2F"/>
    <w:rsid w:val="004364BE"/>
    <w:rsid w:val="004563BD"/>
    <w:rsid w:val="0046194E"/>
    <w:rsid w:val="00467C8E"/>
    <w:rsid w:val="004A1CC0"/>
    <w:rsid w:val="004A452E"/>
    <w:rsid w:val="005320DD"/>
    <w:rsid w:val="0054309C"/>
    <w:rsid w:val="00547745"/>
    <w:rsid w:val="00551E52"/>
    <w:rsid w:val="00555071"/>
    <w:rsid w:val="00557FFA"/>
    <w:rsid w:val="00564346"/>
    <w:rsid w:val="00564B76"/>
    <w:rsid w:val="00584223"/>
    <w:rsid w:val="00597428"/>
    <w:rsid w:val="005A493E"/>
    <w:rsid w:val="005A5510"/>
    <w:rsid w:val="005C158C"/>
    <w:rsid w:val="005D2C19"/>
    <w:rsid w:val="005D6336"/>
    <w:rsid w:val="005E065D"/>
    <w:rsid w:val="00607195"/>
    <w:rsid w:val="00624EAE"/>
    <w:rsid w:val="006263FA"/>
    <w:rsid w:val="00651C27"/>
    <w:rsid w:val="006530CF"/>
    <w:rsid w:val="00662C0F"/>
    <w:rsid w:val="00666E53"/>
    <w:rsid w:val="0068313B"/>
    <w:rsid w:val="00694753"/>
    <w:rsid w:val="006A7D93"/>
    <w:rsid w:val="006E31C1"/>
    <w:rsid w:val="006F0228"/>
    <w:rsid w:val="00712057"/>
    <w:rsid w:val="00741FA4"/>
    <w:rsid w:val="007430A5"/>
    <w:rsid w:val="007438A2"/>
    <w:rsid w:val="00753C0E"/>
    <w:rsid w:val="00766048"/>
    <w:rsid w:val="00780301"/>
    <w:rsid w:val="00782C16"/>
    <w:rsid w:val="007B3A79"/>
    <w:rsid w:val="00821952"/>
    <w:rsid w:val="00821CCC"/>
    <w:rsid w:val="00864CF3"/>
    <w:rsid w:val="00874F91"/>
    <w:rsid w:val="00891EE9"/>
    <w:rsid w:val="008A2E05"/>
    <w:rsid w:val="008F0CE7"/>
    <w:rsid w:val="0090188E"/>
    <w:rsid w:val="0092247B"/>
    <w:rsid w:val="00923F38"/>
    <w:rsid w:val="00994B58"/>
    <w:rsid w:val="009A4437"/>
    <w:rsid w:val="009D17D2"/>
    <w:rsid w:val="009D582B"/>
    <w:rsid w:val="009F0062"/>
    <w:rsid w:val="009F079E"/>
    <w:rsid w:val="00A00EF5"/>
    <w:rsid w:val="00A5734F"/>
    <w:rsid w:val="00A67791"/>
    <w:rsid w:val="00A85946"/>
    <w:rsid w:val="00A95289"/>
    <w:rsid w:val="00A975B3"/>
    <w:rsid w:val="00B101CD"/>
    <w:rsid w:val="00B12AFB"/>
    <w:rsid w:val="00B26F37"/>
    <w:rsid w:val="00B42E6B"/>
    <w:rsid w:val="00B83B8E"/>
    <w:rsid w:val="00B94C95"/>
    <w:rsid w:val="00BC7742"/>
    <w:rsid w:val="00BF2981"/>
    <w:rsid w:val="00C00620"/>
    <w:rsid w:val="00C55D81"/>
    <w:rsid w:val="00CC1374"/>
    <w:rsid w:val="00CC69A7"/>
    <w:rsid w:val="00CD7372"/>
    <w:rsid w:val="00CF0EBF"/>
    <w:rsid w:val="00CF3C29"/>
    <w:rsid w:val="00D020CD"/>
    <w:rsid w:val="00D179B3"/>
    <w:rsid w:val="00D4381E"/>
    <w:rsid w:val="00D5266C"/>
    <w:rsid w:val="00D657E3"/>
    <w:rsid w:val="00D70FFC"/>
    <w:rsid w:val="00D97486"/>
    <w:rsid w:val="00DA1BA8"/>
    <w:rsid w:val="00DE554A"/>
    <w:rsid w:val="00E14622"/>
    <w:rsid w:val="00E175D8"/>
    <w:rsid w:val="00E211D1"/>
    <w:rsid w:val="00E31ECF"/>
    <w:rsid w:val="00E71426"/>
    <w:rsid w:val="00E71B47"/>
    <w:rsid w:val="00E76110"/>
    <w:rsid w:val="00E8742A"/>
    <w:rsid w:val="00E9176A"/>
    <w:rsid w:val="00F10B1D"/>
    <w:rsid w:val="00F15510"/>
    <w:rsid w:val="00F22111"/>
    <w:rsid w:val="00F23409"/>
    <w:rsid w:val="00F25FD9"/>
    <w:rsid w:val="00F356AD"/>
    <w:rsid w:val="00F5618E"/>
    <w:rsid w:val="00FC52FD"/>
    <w:rsid w:val="00FD3DC7"/>
    <w:rsid w:val="00FD7596"/>
    <w:rsid w:val="00FE59B3"/>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C384-A24D-4D35-980F-361CF7C8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16896</Words>
  <Characters>101377</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3</cp:revision>
  <cp:lastPrinted>2017-06-13T11:15:00Z</cp:lastPrinted>
  <dcterms:created xsi:type="dcterms:W3CDTF">2017-08-11T11:37:00Z</dcterms:created>
  <dcterms:modified xsi:type="dcterms:W3CDTF">2017-08-11T11:55:00Z</dcterms:modified>
</cp:coreProperties>
</file>