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93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>
          <w:sz w:val="23"/>
          <w:szCs w:val="23"/>
        </w:rPr>
        <w:t>ZP.271.1.2018</w:t>
      </w:r>
    </w:p>
    <w:p>
      <w:pPr>
        <w:pStyle w:val="Default"/>
        <w:ind w:left="1416" w:hanging="0"/>
        <w:jc w:val="right"/>
        <w:rPr>
          <w:sz w:val="23"/>
          <w:szCs w:val="23"/>
        </w:rPr>
      </w:pPr>
      <w:r>
        <w:rPr>
          <w:sz w:val="23"/>
          <w:szCs w:val="23"/>
        </w:rPr>
        <w:t>Załącznik nr 7 do SIWZ</w:t>
      </w:r>
    </w:p>
    <w:p>
      <w:pPr>
        <w:pStyle w:val="Default"/>
        <w:ind w:left="1416" w:hanging="0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Składając ofertę w postępowaniu o zamówienie publiczne prowadzonym w trybie przetargu nieograniczonego na zadanie pn. </w:t>
      </w:r>
      <w:r>
        <w:rPr>
          <w:rFonts w:cs="Times New Roman" w:ascii="Times New Roman" w:hAnsi="Times New Roman"/>
          <w:b/>
          <w:sz w:val="24"/>
          <w:szCs w:val="24"/>
        </w:rPr>
        <w:t>Zajęcia terapeutyczne w placówce wsparcia dla dzieci</w:t>
        <w:br/>
        <w:t>w Gminie Leśna Podlaska w ramach projektu „Wyrównać szanse”</w:t>
      </w:r>
    </w:p>
    <w:p>
      <w:pPr>
        <w:pStyle w:val="Tekstdokumentu"/>
        <w:jc w:val="center"/>
        <w:rPr>
          <w:bCs/>
          <w:sz w:val="32"/>
          <w:highlight w:val="yellow"/>
        </w:rPr>
      </w:pPr>
      <w:r>
        <w:rPr>
          <w:bCs/>
          <w:sz w:val="32"/>
          <w:highlight w:val="yellow"/>
        </w:rPr>
      </w:r>
    </w:p>
    <w:p>
      <w:pPr>
        <w:pStyle w:val="Default"/>
        <w:jc w:val="both"/>
        <w:rPr/>
      </w:pPr>
      <w:r>
        <w:rPr>
          <w:sz w:val="23"/>
          <w:szCs w:val="23"/>
        </w:rPr>
        <w:t>Oświadczam/y, że wykonaliśmy w ciągu ostatnich 3 lat przed upływem terminu składania ofert,</w:t>
        <w:br/>
        <w:t>a jeżeli okres prowadzenia działalności jest krótszy – w tym okresie następujące zamówienia odpowiadające wymaganiom Zamawiającego: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/>
      </w:r>
    </w:p>
    <w:tbl>
      <w:tblPr>
        <w:tblStyle w:val="Tabela-Siatka"/>
        <w:tblW w:w="928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992"/>
        <w:gridCol w:w="1876"/>
        <w:gridCol w:w="1937"/>
        <w:gridCol w:w="1890"/>
        <w:gridCol w:w="1592"/>
      </w:tblGrid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lub podmiotu wykazującego doświadczenie</w:t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na rzecz którego wykonano usługę</w:t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zamówienia, w tym informacje pozwalające na ocenę warunków określonych w SIWZ</w:t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usługi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od …do…</w:t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wykonanych godzin</w:t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7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2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Default"/>
        <w:rPr/>
      </w:pPr>
      <w:r>
        <w:rPr/>
        <w:t>Załączyć dowody potwierdzające, że zamówienie zostało wykonane należycie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………………………………</w:t>
      </w:r>
      <w:r>
        <w:rPr/>
        <w:t>.,dnia………………</w:t>
      </w:r>
    </w:p>
    <w:p>
      <w:pPr>
        <w:pStyle w:val="Default"/>
        <w:rPr/>
      </w:pPr>
      <w:r>
        <w:rPr/>
      </w:r>
    </w:p>
    <w:p>
      <w:pPr>
        <w:pStyle w:val="Default"/>
        <w:ind w:left="5664" w:hanging="0"/>
        <w:rPr/>
      </w:pPr>
      <w:r>
        <w:rPr/>
        <w:t>………………………………</w:t>
      </w:r>
      <w:r>
        <w:rPr/>
        <w:t>..</w:t>
      </w:r>
    </w:p>
    <w:p>
      <w:pPr>
        <w:pStyle w:val="Default"/>
        <w:ind w:left="5664" w:hanging="0"/>
        <w:rPr>
          <w:sz w:val="16"/>
          <w:szCs w:val="16"/>
        </w:rPr>
      </w:pPr>
      <w:r>
        <w:rPr>
          <w:sz w:val="16"/>
          <w:szCs w:val="16"/>
        </w:rPr>
        <w:t>Podpis wraz z pieczęcią osoby uprawnionej do reprezentowania Wykonawcy</w:t>
      </w:r>
    </w:p>
    <w:p>
      <w:pPr>
        <w:pStyle w:val="Default"/>
        <w:ind w:left="5664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0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667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3667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Tekstdokumentu" w:customStyle="1">
    <w:name w:val="tekst dokumentu"/>
    <w:basedOn w:val="Normal"/>
    <w:qFormat/>
    <w:rsid w:val="0013667c"/>
    <w:pPr>
      <w:widowControl w:val="false"/>
      <w:suppressAutoHyphens w:val="true"/>
      <w:spacing w:lineRule="auto" w:line="240" w:before="120" w:after="120"/>
      <w:ind w:left="1680" w:hanging="1680"/>
      <w:jc w:val="both"/>
    </w:pPr>
    <w:rPr>
      <w:rFonts w:ascii="Times New Roman" w:hAnsi="Times New Roman" w:eastAsia="Tahoma" w:cs="Times New Roman"/>
      <w:b/>
      <w:sz w:val="24"/>
      <w:szCs w:val="24"/>
      <w:lang w:eastAsia="zh-CN"/>
    </w:rPr>
  </w:style>
  <w:style w:type="paragraph" w:styleId="Zwykytekst1" w:customStyle="1">
    <w:name w:val="Zwykły tekst1"/>
    <w:basedOn w:val="Normal"/>
    <w:qFormat/>
    <w:rsid w:val="0013667c"/>
    <w:pPr>
      <w:widowControl w:val="false"/>
      <w:suppressAutoHyphens w:val="true"/>
      <w:spacing w:lineRule="auto" w:line="240" w:before="0" w:after="0"/>
    </w:pPr>
    <w:rPr>
      <w:rFonts w:ascii="Courier New" w:hAnsi="Courier New" w:eastAsia="Tahoma" w:cs="Courier New"/>
      <w:sz w:val="24"/>
      <w:szCs w:val="24"/>
      <w:lang w:eastAsia="zh-CN"/>
    </w:rPr>
  </w:style>
  <w:style w:type="paragraph" w:styleId="NoSpacing">
    <w:name w:val="No Spacing"/>
    <w:uiPriority w:val="1"/>
    <w:qFormat/>
    <w:rsid w:val="0013667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66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667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LibreOffice/5.0.4.2$Windows_x86 LibreOffice_project/2b9802c1994aa0b7dc6079e128979269cf95bc78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2017-10-11T08:06:00Z</dcterms:created>
  <dc:creator>Maria</dc:creator>
  <dc:language>pl-PL</dc:language>
  <dcterms:modified xsi:type="dcterms:W3CDTF">2018-01-11T11:05:29Z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