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E" w:rsidRDefault="003902CE"/>
    <w:p w:rsidR="003902CE" w:rsidRDefault="003902CE"/>
    <w:p w:rsidR="003902CE" w:rsidRDefault="003902CE"/>
    <w:p w:rsidR="003902CE" w:rsidRDefault="003902CE"/>
    <w:p w:rsidR="003902CE" w:rsidRDefault="003902CE"/>
    <w:p w:rsidR="003902CE" w:rsidRDefault="003902CE"/>
    <w:p w:rsidR="003902CE" w:rsidRDefault="003902CE"/>
    <w:p w:rsidR="003902CE" w:rsidRDefault="003902CE"/>
    <w:tbl>
      <w:tblPr>
        <w:tblW w:w="0" w:type="auto"/>
        <w:tblLook w:val="01E0"/>
      </w:tblPr>
      <w:tblGrid>
        <w:gridCol w:w="3118"/>
        <w:gridCol w:w="3118"/>
        <w:gridCol w:w="3118"/>
      </w:tblGrid>
      <w:tr w:rsidR="003902CE" w:rsidTr="001008F0">
        <w:tc>
          <w:tcPr>
            <w:tcW w:w="3118" w:type="dxa"/>
            <w:vAlign w:val="center"/>
          </w:tcPr>
          <w:p w:rsidR="003902CE" w:rsidRPr="001008F0" w:rsidRDefault="003902CE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902CE" w:rsidRPr="001008F0" w:rsidRDefault="003902CE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902CE" w:rsidRPr="001008F0" w:rsidRDefault="003902CE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902CE" w:rsidRDefault="003902CE" w:rsidP="0018225F">
      <w:pPr>
        <w:pStyle w:val="BodyText"/>
        <w:jc w:val="center"/>
        <w:rPr>
          <w:rFonts w:ascii="Trebuchet MS" w:hAnsi="Trebuchet MS"/>
          <w:b/>
        </w:rPr>
      </w:pPr>
    </w:p>
    <w:p w:rsidR="003902CE" w:rsidRDefault="003902CE" w:rsidP="0018225F">
      <w:pPr>
        <w:pStyle w:val="BodyText"/>
        <w:jc w:val="center"/>
        <w:rPr>
          <w:rFonts w:ascii="Trebuchet MS" w:hAnsi="Trebuchet MS"/>
          <w:b/>
        </w:rPr>
      </w:pP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SPECYFIKACJA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 xml:space="preserve"> ISTOTNYCH 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>WARUNKÓW ZAMÓWIENIA</w:t>
      </w:r>
      <w:r>
        <w:rPr>
          <w:b/>
          <w:sz w:val="32"/>
          <w:szCs w:val="32"/>
        </w:rPr>
        <w:t xml:space="preserve"> W PRZETARGU NIEOGRANICZONYM </w:t>
      </w:r>
    </w:p>
    <w:p w:rsidR="003902CE" w:rsidRPr="00716F0E" w:rsidRDefault="003902CE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sz w:val="32"/>
          <w:szCs w:val="32"/>
        </w:rPr>
      </w:pPr>
      <w:r w:rsidRPr="00716F0E">
        <w:rPr>
          <w:sz w:val="32"/>
          <w:szCs w:val="32"/>
        </w:rPr>
        <w:t xml:space="preserve">o wartości szacunkowej poniżej progu ustalonego na podstawie art. 11 ust. 8 ustawy </w:t>
      </w:r>
      <w:r>
        <w:rPr>
          <w:sz w:val="32"/>
          <w:szCs w:val="32"/>
        </w:rPr>
        <w:t>u</w:t>
      </w:r>
      <w:r w:rsidRPr="00716F0E">
        <w:rPr>
          <w:sz w:val="32"/>
          <w:szCs w:val="32"/>
        </w:rPr>
        <w:t>PZP</w:t>
      </w:r>
    </w:p>
    <w:p w:rsidR="003902CE" w:rsidRDefault="003902CE" w:rsidP="00122269">
      <w:pPr>
        <w:autoSpaceDE w:val="0"/>
        <w:autoSpaceDN w:val="0"/>
        <w:adjustRightInd w:val="0"/>
        <w:spacing w:before="240" w:line="360" w:lineRule="auto"/>
        <w:ind w:firstLine="431"/>
        <w:rPr>
          <w:b/>
          <w:sz w:val="32"/>
          <w:szCs w:val="32"/>
        </w:rPr>
      </w:pPr>
    </w:p>
    <w:p w:rsidR="003902CE" w:rsidRPr="004B5549" w:rsidRDefault="003902CE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NA ZADANIE:</w:t>
      </w:r>
    </w:p>
    <w:p w:rsidR="003902CE" w:rsidRPr="004B5549" w:rsidRDefault="003902CE" w:rsidP="0018225F">
      <w:pPr>
        <w:autoSpaceDE w:val="0"/>
        <w:autoSpaceDN w:val="0"/>
        <w:adjustRightInd w:val="0"/>
        <w:spacing w:before="240" w:line="360" w:lineRule="auto"/>
        <w:ind w:left="-540" w:right="-674" w:firstLine="180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Remont świetlicy wiejskiej we wsi Pszczółczyn</w:t>
      </w:r>
      <w:r w:rsidRPr="004B5549">
        <w:rPr>
          <w:b/>
          <w:sz w:val="32"/>
          <w:szCs w:val="32"/>
        </w:rPr>
        <w:t>”</w:t>
      </w: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</w:pP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ind w:firstLine="431"/>
      </w:pP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ind w:left="5664" w:firstLine="708"/>
      </w:pPr>
      <w:r>
        <w:t>ZATWIERDZAM</w:t>
      </w: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ind w:left="4956" w:firstLine="708"/>
      </w:pPr>
      <w:r>
        <w:t>………………………………………</w:t>
      </w:r>
    </w:p>
    <w:p w:rsidR="003902CE" w:rsidRDefault="003902CE" w:rsidP="0018225F">
      <w:pPr>
        <w:autoSpaceDE w:val="0"/>
        <w:autoSpaceDN w:val="0"/>
        <w:adjustRightInd w:val="0"/>
        <w:spacing w:before="240" w:line="360" w:lineRule="auto"/>
        <w:ind w:left="4956" w:firstLine="708"/>
      </w:pPr>
    </w:p>
    <w:p w:rsidR="003902CE" w:rsidRPr="00CD082B" w:rsidRDefault="003902CE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3902CE" w:rsidRPr="00CD082B" w:rsidRDefault="003902CE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17.05.2013</w:t>
      </w:r>
      <w:r w:rsidRPr="007C7D60">
        <w:rPr>
          <w:rFonts w:ascii="Arial" w:hAnsi="Arial" w:cs="Arial"/>
          <w:sz w:val="22"/>
          <w:szCs w:val="22"/>
        </w:rPr>
        <w:t xml:space="preserve">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333C4C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_Toc356478380 \h </w:instrText>
      </w:r>
      <w:r>
        <w:fldChar w:fldCharType="separate"/>
      </w:r>
      <w:r>
        <w:t>3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_Toc356478381 \h </w:instrText>
      </w:r>
      <w:r>
        <w:fldChar w:fldCharType="separate"/>
      </w:r>
      <w:r>
        <w:t>3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_Toc356478382 \h </w:instrText>
      </w:r>
      <w:r>
        <w:fldChar w:fldCharType="separate"/>
      </w:r>
      <w:r>
        <w:t>3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_Toc356478383 \h </w:instrText>
      </w:r>
      <w:r>
        <w:fldChar w:fldCharType="separate"/>
      </w:r>
      <w:r>
        <w:t>4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_Toc356478384 \h </w:instrText>
      </w:r>
      <w:r>
        <w:fldChar w:fldCharType="separate"/>
      </w:r>
      <w:r>
        <w:t>5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_Toc356478385 \h </w:instrText>
      </w:r>
      <w:r>
        <w:fldChar w:fldCharType="separate"/>
      </w:r>
      <w:r>
        <w:t>6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_Toc356478386 \h </w:instrText>
      </w:r>
      <w:r>
        <w:fldChar w:fldCharType="separate"/>
      </w:r>
      <w:r>
        <w:t>8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_Toc356478387 \h </w:instrText>
      </w:r>
      <w:r>
        <w:fldChar w:fldCharType="separate"/>
      </w:r>
      <w:r>
        <w:t>9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_Toc356478388 \h </w:instrText>
      </w:r>
      <w:r>
        <w:fldChar w:fldCharType="separate"/>
      </w:r>
      <w:r>
        <w:t>10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_Toc356478389 \h </w:instrText>
      </w:r>
      <w:r>
        <w:fldChar w:fldCharType="separate"/>
      </w:r>
      <w:r>
        <w:t>11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_Toc356478390 \h </w:instrText>
      </w:r>
      <w:r>
        <w:fldChar w:fldCharType="separate"/>
      </w:r>
      <w:r>
        <w:t>13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_Toc356478391 \h </w:instrText>
      </w:r>
      <w:r>
        <w:fldChar w:fldCharType="separate"/>
      </w:r>
      <w:r>
        <w:t>13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_Toc356478392 \h </w:instrText>
      </w:r>
      <w:r>
        <w:fldChar w:fldCharType="separate"/>
      </w:r>
      <w:r>
        <w:t>14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_Toc356478393 \h </w:instrText>
      </w:r>
      <w:r>
        <w:fldChar w:fldCharType="separate"/>
      </w:r>
      <w:r>
        <w:t>15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_Toc356478394 \h </w:instrText>
      </w:r>
      <w:r>
        <w:fldChar w:fldCharType="separate"/>
      </w:r>
      <w:r>
        <w:t>16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_Toc356478395 \h </w:instrText>
      </w:r>
      <w:r>
        <w:fldChar w:fldCharType="separate"/>
      </w:r>
      <w:r>
        <w:t>17</w:t>
      </w:r>
      <w:r>
        <w:fldChar w:fldCharType="end"/>
      </w:r>
    </w:p>
    <w:p w:rsidR="003902CE" w:rsidRDefault="003902CE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_Toc356478396 \h </w:instrText>
      </w:r>
      <w:r>
        <w:fldChar w:fldCharType="separate"/>
      </w:r>
      <w:r>
        <w:t>18</w:t>
      </w:r>
      <w:r>
        <w:fldChar w:fldCharType="end"/>
      </w:r>
    </w:p>
    <w:p w:rsidR="003902CE" w:rsidRPr="007764C4" w:rsidRDefault="003902CE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3902CE" w:rsidRPr="00CD082B" w:rsidRDefault="003902CE">
      <w:pPr>
        <w:rPr>
          <w:rFonts w:ascii="Arial" w:hAnsi="Arial" w:cs="Arial"/>
          <w:sz w:val="24"/>
          <w:szCs w:val="24"/>
        </w:rPr>
      </w:pPr>
    </w:p>
    <w:p w:rsidR="003902CE" w:rsidRPr="00CD082B" w:rsidRDefault="003902CE">
      <w:pPr>
        <w:rPr>
          <w:rFonts w:ascii="Arial" w:hAnsi="Arial" w:cs="Arial"/>
          <w:sz w:val="24"/>
          <w:szCs w:val="24"/>
        </w:rPr>
      </w:pPr>
    </w:p>
    <w:p w:rsidR="003902CE" w:rsidRPr="00CD082B" w:rsidRDefault="003902CE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56478380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3902CE" w:rsidRPr="00CD082B" w:rsidRDefault="003902CE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902CE" w:rsidRPr="000B020B" w:rsidRDefault="003902CE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3902CE" w:rsidRPr="000B020B" w:rsidRDefault="003902CE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3902CE" w:rsidRPr="000B020B" w:rsidRDefault="003902CE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7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3902CE" w:rsidRPr="00CD082B" w:rsidRDefault="003902CE" w:rsidP="00FD296D">
      <w:pPr>
        <w:rPr>
          <w:rFonts w:ascii="Arial" w:hAnsi="Arial" w:cs="Arial"/>
          <w:sz w:val="24"/>
          <w:szCs w:val="24"/>
        </w:rPr>
      </w:pPr>
    </w:p>
    <w:p w:rsidR="003902CE" w:rsidRPr="00216103" w:rsidRDefault="003902CE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3902CE" w:rsidRPr="00CD082B" w:rsidRDefault="003902CE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56478381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3902CE" w:rsidRPr="00CD082B" w:rsidRDefault="003902CE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3902CE" w:rsidRPr="00CD082B" w:rsidRDefault="003902CE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3902CE" w:rsidRPr="00CD082B" w:rsidRDefault="003902CE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56478382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3902CE" w:rsidRDefault="003902CE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 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36570E">
        <w:rPr>
          <w:rFonts w:ascii="Arial" w:hAnsi="Arial" w:cs="Arial"/>
          <w:sz w:val="24"/>
          <w:szCs w:val="24"/>
        </w:rPr>
        <w:t>” w skład którego wchodzi następujący zakres prac: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docieplenie budynku,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stolarki drzwiowej i okiennej,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pokrycia dachowego,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nowych schodów wejściowych oraz pochylni zewnętrznej,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schodów zewnętrznych ewakuacyjnych,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remontu pomieszczeń wewnątrz świetlicy,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elektrycznej,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sanitarnej, między innymi rozprowadzenie wody, kanalizacji sanitarnej, oraz wentylacji,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systemu centralnego ogrzewania,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odgromienia budynku,</w:t>
      </w:r>
    </w:p>
    <w:p w:rsidR="003902CE" w:rsidRDefault="003902CE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drogi wewnętrznej i miejsc postojowych,</w:t>
      </w:r>
    </w:p>
    <w:p w:rsidR="003902CE" w:rsidRPr="0036570E" w:rsidRDefault="003902CE" w:rsidP="00BB73F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ukształtowanie i zagospodarowanie terenu wokół świetlicy.</w:t>
      </w:r>
    </w:p>
    <w:p w:rsidR="003902CE" w:rsidRPr="008A46EF" w:rsidRDefault="003902CE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3902CE" w:rsidRPr="00945B37" w:rsidRDefault="003902CE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Szczegółowy Opis Przedmiotu Zamówienia zawarty jest w:</w:t>
      </w:r>
    </w:p>
    <w:p w:rsidR="003902CE" w:rsidRPr="00945B37" w:rsidRDefault="003902CE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Projektach</w:t>
      </w:r>
      <w:r>
        <w:rPr>
          <w:rFonts w:ascii="Arial" w:hAnsi="Arial" w:cs="Arial"/>
          <w:sz w:val="24"/>
          <w:szCs w:val="24"/>
        </w:rPr>
        <w:t>, Projektach Zamiennych</w:t>
      </w:r>
      <w:r w:rsidRPr="00945B37">
        <w:rPr>
          <w:rFonts w:ascii="Arial" w:hAnsi="Arial" w:cs="Arial"/>
          <w:sz w:val="24"/>
          <w:szCs w:val="24"/>
        </w:rPr>
        <w:t xml:space="preserve"> (stanowiących Załączniki Nr 1a do SIWZ) </w:t>
      </w:r>
    </w:p>
    <w:p w:rsidR="003902CE" w:rsidRPr="00945B37" w:rsidRDefault="003902CE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Przedmiarach robót (stanowiących Załączniki Nr 1b do SIWZ)</w:t>
      </w:r>
    </w:p>
    <w:p w:rsidR="003902CE" w:rsidRPr="00945B37" w:rsidRDefault="003902CE" w:rsidP="00BB73FE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Specyfikacje techniczne wykonania i odbioru robót (STWiOR) (stanowiących Załączniki Nr 1c do SIWZ).</w:t>
      </w:r>
    </w:p>
    <w:p w:rsidR="003902CE" w:rsidRPr="008A46EF" w:rsidRDefault="003902CE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Pozostałe warunki dotyczące wykonania zamówienia zostały określone w Projekcie umowy stanowiącym Załącznik Nr 2 do SIWZ.</w:t>
      </w:r>
    </w:p>
    <w:p w:rsidR="003902CE" w:rsidRPr="008A46EF" w:rsidRDefault="003902CE" w:rsidP="00915F56">
      <w:pPr>
        <w:jc w:val="both"/>
        <w:rPr>
          <w:rFonts w:ascii="Arial" w:hAnsi="Arial" w:cs="Arial"/>
          <w:sz w:val="24"/>
          <w:szCs w:val="24"/>
        </w:rPr>
      </w:pPr>
    </w:p>
    <w:p w:rsidR="003902CE" w:rsidRDefault="003902CE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3902CE" w:rsidRDefault="003902CE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Pr="0036570E" w:rsidRDefault="003902CE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45000000-7</w:t>
      </w:r>
      <w:r w:rsidRPr="0036570E">
        <w:rPr>
          <w:rFonts w:ascii="Arial" w:hAnsi="Arial" w:cs="Arial"/>
          <w:sz w:val="24"/>
          <w:szCs w:val="24"/>
        </w:rPr>
        <w:t xml:space="preserve"> roboty budowlane, </w:t>
      </w:r>
      <w:r w:rsidRPr="0036570E">
        <w:rPr>
          <w:rFonts w:ascii="Arial" w:hAnsi="Arial" w:cs="Arial"/>
          <w:b/>
          <w:sz w:val="24"/>
          <w:szCs w:val="24"/>
        </w:rPr>
        <w:t>45400000-1</w:t>
      </w:r>
      <w:r w:rsidRPr="0036570E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36570E">
        <w:rPr>
          <w:rFonts w:ascii="Arial" w:hAnsi="Arial" w:cs="Arial"/>
          <w:b/>
          <w:sz w:val="24"/>
          <w:szCs w:val="24"/>
        </w:rPr>
        <w:t>45300000-0</w:t>
      </w:r>
      <w:r w:rsidRPr="0036570E">
        <w:rPr>
          <w:rFonts w:ascii="Arial" w:hAnsi="Arial" w:cs="Arial"/>
          <w:sz w:val="24"/>
          <w:szCs w:val="24"/>
        </w:rPr>
        <w:t xml:space="preserve"> Roboty instalacyjne w budynkach, </w:t>
      </w:r>
      <w:r w:rsidRPr="0036570E">
        <w:rPr>
          <w:rFonts w:ascii="Arial" w:hAnsi="Arial" w:cs="Arial"/>
          <w:b/>
          <w:sz w:val="24"/>
          <w:szCs w:val="24"/>
        </w:rPr>
        <w:t>45450000-6</w:t>
      </w:r>
      <w:r w:rsidRPr="0036570E">
        <w:rPr>
          <w:rFonts w:ascii="Arial" w:hAnsi="Arial" w:cs="Arial"/>
          <w:sz w:val="24"/>
          <w:szCs w:val="24"/>
        </w:rPr>
        <w:t xml:space="preserve"> Roboty budowlane wykończeniowe, pozostałe, </w:t>
      </w:r>
      <w:r w:rsidRPr="0036570E">
        <w:rPr>
          <w:rFonts w:ascii="Arial" w:hAnsi="Arial" w:cs="Arial"/>
          <w:b/>
          <w:sz w:val="24"/>
          <w:szCs w:val="24"/>
        </w:rPr>
        <w:t>45440000-3</w:t>
      </w:r>
      <w:r w:rsidRPr="0036570E">
        <w:rPr>
          <w:rFonts w:ascii="Arial" w:hAnsi="Arial" w:cs="Arial"/>
          <w:sz w:val="24"/>
          <w:szCs w:val="24"/>
        </w:rPr>
        <w:t xml:space="preserve"> Roboty malarskie i szklarskie, </w:t>
      </w:r>
      <w:r w:rsidRPr="0036570E">
        <w:rPr>
          <w:rFonts w:ascii="Arial" w:hAnsi="Arial" w:cs="Arial"/>
          <w:b/>
          <w:sz w:val="24"/>
          <w:szCs w:val="24"/>
        </w:rPr>
        <w:t>45430000-0</w:t>
      </w:r>
      <w:r w:rsidRPr="0036570E">
        <w:rPr>
          <w:rFonts w:ascii="Arial" w:hAnsi="Arial" w:cs="Arial"/>
          <w:sz w:val="24"/>
          <w:szCs w:val="24"/>
        </w:rPr>
        <w:t xml:space="preserve"> Pokrywanie podług i ścian, </w:t>
      </w:r>
      <w:r w:rsidRPr="0036570E">
        <w:rPr>
          <w:rFonts w:ascii="Arial" w:hAnsi="Arial" w:cs="Arial"/>
          <w:b/>
          <w:sz w:val="24"/>
          <w:szCs w:val="24"/>
        </w:rPr>
        <w:t>45420000-7</w:t>
      </w:r>
      <w:r w:rsidRPr="0036570E">
        <w:rPr>
          <w:rFonts w:ascii="Arial" w:hAnsi="Arial" w:cs="Arial"/>
          <w:sz w:val="24"/>
          <w:szCs w:val="24"/>
        </w:rPr>
        <w:t xml:space="preserve"> Roboty w zakresie zakładania stolarki budowlanej oraz roboty ciesielskie, </w:t>
      </w:r>
      <w:r w:rsidRPr="0036570E">
        <w:rPr>
          <w:rFonts w:ascii="Arial" w:hAnsi="Arial" w:cs="Arial"/>
          <w:b/>
          <w:sz w:val="24"/>
          <w:szCs w:val="24"/>
        </w:rPr>
        <w:t>45330000-9</w:t>
      </w:r>
      <w:r w:rsidRPr="0036570E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36570E">
        <w:rPr>
          <w:rFonts w:ascii="Arial" w:hAnsi="Arial" w:cs="Arial"/>
          <w:b/>
          <w:sz w:val="24"/>
          <w:szCs w:val="24"/>
        </w:rPr>
        <w:t>45310000-3</w:t>
      </w:r>
      <w:r w:rsidRPr="0036570E">
        <w:rPr>
          <w:rFonts w:ascii="Arial" w:hAnsi="Arial" w:cs="Arial"/>
          <w:sz w:val="24"/>
          <w:szCs w:val="24"/>
        </w:rPr>
        <w:t xml:space="preserve"> Roboty instalacyjne elektryczne, </w:t>
      </w:r>
      <w:r w:rsidRPr="0036570E">
        <w:rPr>
          <w:rFonts w:ascii="Arial" w:hAnsi="Arial" w:cs="Arial"/>
          <w:b/>
          <w:sz w:val="24"/>
          <w:szCs w:val="24"/>
        </w:rPr>
        <w:t>45453000-7</w:t>
      </w:r>
      <w:r w:rsidRPr="0036570E">
        <w:rPr>
          <w:rFonts w:ascii="Arial" w:hAnsi="Arial" w:cs="Arial"/>
          <w:sz w:val="24"/>
          <w:szCs w:val="24"/>
        </w:rPr>
        <w:t xml:space="preserve"> Roboty remontowe i renowacyjne, </w:t>
      </w:r>
      <w:r w:rsidRPr="0036570E">
        <w:rPr>
          <w:rFonts w:ascii="Arial" w:hAnsi="Arial" w:cs="Arial"/>
          <w:b/>
          <w:sz w:val="24"/>
          <w:szCs w:val="24"/>
        </w:rPr>
        <w:t>45443000-4</w:t>
      </w:r>
      <w:r w:rsidRPr="0036570E">
        <w:rPr>
          <w:rFonts w:ascii="Arial" w:hAnsi="Arial" w:cs="Arial"/>
          <w:sz w:val="24"/>
          <w:szCs w:val="24"/>
        </w:rPr>
        <w:t xml:space="preserve"> Roboty elewacyjne</w:t>
      </w:r>
      <w:r>
        <w:rPr>
          <w:rFonts w:ascii="Arial" w:hAnsi="Arial" w:cs="Arial"/>
          <w:sz w:val="24"/>
          <w:szCs w:val="24"/>
        </w:rPr>
        <w:t>,</w:t>
      </w:r>
    </w:p>
    <w:p w:rsidR="003902CE" w:rsidRPr="00A87475" w:rsidRDefault="003902CE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3902CE" w:rsidRPr="00A87475" w:rsidRDefault="003902CE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Zamawiający dopuszcza złożenie oferty z powołaniem się na rozwiązania równoważne opisywanym przez zamawiającego.</w:t>
      </w:r>
      <w:r w:rsidRPr="00A87475">
        <w:rPr>
          <w:rFonts w:ascii="Arial" w:hAnsi="Arial Unicode MS"/>
          <w:b/>
          <w:sz w:val="24"/>
          <w:u w:color="0000FF"/>
        </w:rPr>
        <w:t xml:space="preserve"> </w:t>
      </w: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902CE" w:rsidRPr="0073612C" w:rsidRDefault="003902CE" w:rsidP="006C76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Pr="0073612C" w:rsidRDefault="003902CE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Kolorystyka zgodnie z założeniami projektowymi jednak Zamawiający zastrzega możliwość zmiany kolorystyki</w:t>
      </w:r>
      <w:bookmarkStart w:id="11" w:name="_Toc72717328"/>
      <w:bookmarkStart w:id="12" w:name="_Toc95621012"/>
      <w:bookmarkStart w:id="13" w:name="_Toc95621113"/>
      <w:bookmarkStart w:id="14" w:name="_Toc95633496"/>
      <w:r w:rsidRPr="0073612C">
        <w:rPr>
          <w:rFonts w:ascii="Arial" w:hAnsi="Arial" w:cs="Arial"/>
          <w:sz w:val="24"/>
          <w:szCs w:val="24"/>
        </w:rPr>
        <w:t xml:space="preserve"> (ścian, sufitów, posadzek oraz drzwi)  – kolorystykę należy potwierdzić z upoważnionymi przez Zamawiającego osobami podczas realizacji zadania.</w:t>
      </w:r>
    </w:p>
    <w:p w:rsidR="003902CE" w:rsidRPr="0073612C" w:rsidRDefault="003902CE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02CE" w:rsidRPr="0073612C" w:rsidRDefault="003902CE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przypomina, aby przypadki uzgodnień w sprawach zastosowanych materiałów i elementów, o których mówi dokumentacja i niniejsza specyfikacja były sygnalizowane i przeprowadzane przed zastosowaniem - odpowiednio wcześniej tak, aby nie wstrzymywać postępu robót.</w:t>
      </w:r>
    </w:p>
    <w:p w:rsidR="003902CE" w:rsidRPr="0073612C" w:rsidRDefault="003902CE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Pr="0073612C" w:rsidRDefault="003902CE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 licząc od dnia odbioru końcowego (podpisania przez Zamawiającego protokołu odbioru bez uwag).</w:t>
      </w:r>
    </w:p>
    <w:p w:rsidR="003902CE" w:rsidRPr="00C61490" w:rsidRDefault="003902CE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3902CE" w:rsidRDefault="003902CE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wykonawców dokonał oględzin budynku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3902CE" w:rsidRDefault="003902CE" w:rsidP="00CB08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Default="003902CE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08D5">
        <w:rPr>
          <w:rFonts w:ascii="Arial" w:hAnsi="Arial" w:cs="Arial"/>
          <w:sz w:val="24"/>
          <w:szCs w:val="24"/>
        </w:rPr>
        <w:t>Uwaga: Przedmiot zamówienia stanowią projekty z uwzględnieniem zmian zawartych w projektach zamiennych. W garażu OSP nie będzie wykonywana wymiana instalacji elektrycznej uwzględnionej  w projektach.</w:t>
      </w:r>
    </w:p>
    <w:p w:rsidR="003902CE" w:rsidRDefault="003902CE" w:rsidP="001A09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Pr="000008D5" w:rsidRDefault="003902CE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możliwość  udzielenia zamówień uzupełniających o wysokości do 20 % zamówienia podstawowego, jako uzupełnienie zakresu przedmiotu zamówienia podstawowego.</w:t>
      </w:r>
    </w:p>
    <w:p w:rsidR="003902CE" w:rsidRPr="00623E38" w:rsidRDefault="003902CE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02CE" w:rsidRPr="00D1109F" w:rsidRDefault="003902CE" w:rsidP="00D1109F">
      <w:pPr>
        <w:pStyle w:val="Heading2"/>
        <w:rPr>
          <w:sz w:val="24"/>
          <w:szCs w:val="24"/>
        </w:rPr>
      </w:pPr>
      <w:bookmarkStart w:id="15" w:name="_Toc356478383"/>
      <w:r w:rsidRPr="007764C4">
        <w:t>IV. Termin wykonania zamówienia</w:t>
      </w:r>
      <w:bookmarkEnd w:id="11"/>
      <w:bookmarkEnd w:id="12"/>
      <w:bookmarkEnd w:id="13"/>
      <w:bookmarkEnd w:id="14"/>
      <w:bookmarkEnd w:id="15"/>
      <w:r w:rsidRPr="00C61490">
        <w:rPr>
          <w:rFonts w:cs="Arial"/>
        </w:rPr>
        <w:t xml:space="preserve"> </w:t>
      </w:r>
    </w:p>
    <w:p w:rsidR="003902CE" w:rsidRPr="000008D5" w:rsidRDefault="003902CE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</w:pPr>
      <w:r w:rsidRPr="000008D5">
        <w:t>Zakończenie rob</w:t>
      </w:r>
      <w:r>
        <w:t>ót nastąpi najpóźniej do dnia 30</w:t>
      </w:r>
      <w:r w:rsidRPr="000008D5">
        <w:t xml:space="preserve"> październik 2013 r. </w:t>
      </w:r>
    </w:p>
    <w:p w:rsidR="003902CE" w:rsidRPr="00D1109F" w:rsidRDefault="003902CE" w:rsidP="00D1109F"/>
    <w:p w:rsidR="003902CE" w:rsidRPr="00B05F20" w:rsidRDefault="003902CE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56478384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3902CE" w:rsidRPr="00CD082B" w:rsidRDefault="003902CE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3902CE" w:rsidRPr="00CD082B" w:rsidRDefault="003902CE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3902CE" w:rsidRPr="00CD082B" w:rsidRDefault="003902CE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3902CE" w:rsidRPr="00CD082B" w:rsidRDefault="003902CE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3902CE" w:rsidRPr="00607B69" w:rsidRDefault="003902CE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Warunek zostanie spełniony, jeżeli wykonawca wykaże, że w okresie ostatnich pięciu lat przed upływem terminu składania ofert, a jeżeli okres prowadzenia działalności jest krótszy – w tym okresie, </w:t>
      </w:r>
      <w:r w:rsidRPr="00607B69">
        <w:rPr>
          <w:rFonts w:ascii="Arial" w:hAnsi="Arial" w:cs="Arial"/>
          <w:sz w:val="24"/>
          <w:szCs w:val="24"/>
        </w:rPr>
        <w:t xml:space="preserve">wykonał co najmniej 2 roboty o wartości nie mniejszej niż 200.000,00 zł brutto każda, których przedmiotem były budowa, lub remont budynku w zakresie: </w:t>
      </w:r>
    </w:p>
    <w:p w:rsidR="003902CE" w:rsidRPr="00607B69" w:rsidRDefault="003902CE" w:rsidP="00607B69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- docieplenie z wymianą okien,</w:t>
      </w:r>
    </w:p>
    <w:p w:rsidR="003902CE" w:rsidRPr="00607B69" w:rsidRDefault="003902CE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- instalację centralnego ogrzewania i wodno-kanalizacyjne,</w:t>
      </w:r>
    </w:p>
    <w:p w:rsidR="003902CE" w:rsidRPr="00607B69" w:rsidRDefault="003902CE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- remont wnętrz,</w:t>
      </w:r>
    </w:p>
    <w:p w:rsidR="003902CE" w:rsidRPr="00CD082B" w:rsidRDefault="003902CE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3902CE" w:rsidRDefault="003902CE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3902CE" w:rsidRPr="0073612C" w:rsidRDefault="003902CE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Kierownik budowy posiadający uprawnienia do kierowania robotami budowlanymi w specjalności konstrukcyjno-budowlanej bez ograniczeń, który posiada co najmniej 3 lata praktyki na stanowisku kierownika budowy.</w:t>
      </w:r>
    </w:p>
    <w:p w:rsidR="003902CE" w:rsidRPr="00CD082B" w:rsidRDefault="003902CE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3902CE" w:rsidRPr="00607B69" w:rsidRDefault="003902CE" w:rsidP="00F06407">
      <w:pPr>
        <w:pStyle w:val="Standard"/>
        <w:spacing w:before="120"/>
        <w:ind w:left="7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 w:rsidRPr="00607B69">
        <w:rPr>
          <w:rFonts w:ascii="Arial" w:hAnsi="Arial" w:cs="Arial"/>
        </w:rPr>
        <w:t>300.000,00 złotych.</w:t>
      </w:r>
    </w:p>
    <w:p w:rsidR="003902CE" w:rsidRPr="00CD082B" w:rsidRDefault="003902CE" w:rsidP="002E4A8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3902CE" w:rsidRPr="00CD082B" w:rsidRDefault="003902CE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3902CE" w:rsidRPr="00CD082B" w:rsidRDefault="003902CE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3902CE" w:rsidRPr="00CD082B" w:rsidRDefault="003902CE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3902CE" w:rsidRPr="00B67ED9" w:rsidRDefault="003902CE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3902CE" w:rsidRPr="00CD082B" w:rsidRDefault="003902CE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3902CE" w:rsidRPr="00CD082B" w:rsidRDefault="003902CE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56478385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3902CE" w:rsidRPr="00CD082B" w:rsidRDefault="003902CE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3902CE" w:rsidRPr="00CD082B" w:rsidRDefault="003902CE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>– sporządzone według wzoru stanowiącego Załącznik Nr 3 do SIWZ;</w:t>
      </w:r>
    </w:p>
    <w:p w:rsidR="003902CE" w:rsidRPr="00607B69" w:rsidRDefault="003902CE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Wykaz robót budowlanych w </w:t>
      </w:r>
      <w:r w:rsidRPr="00607B69">
        <w:rPr>
          <w:rFonts w:ascii="Arial" w:hAnsi="Arial" w:cs="Arial"/>
          <w:b/>
          <w:sz w:val="24"/>
          <w:szCs w:val="24"/>
        </w:rPr>
        <w:t>zakresie spełnienia warunku określonego w rozdziale V pkt. 1.2</w:t>
      </w:r>
      <w:r w:rsidRPr="00607B69">
        <w:rPr>
          <w:rFonts w:ascii="Arial" w:hAnsi="Arial" w:cs="Arial"/>
          <w:sz w:val="24"/>
          <w:szCs w:val="24"/>
        </w:rPr>
        <w:t xml:space="preserve">, wykonanych w okresie ostatnich pięciu lat przed upływem terminu składania ofert, a jeżeli okres prowadzenia działalności jest krótszy – w tym okresie, z podaniem ich rodzaju i wartości, daty i miejsca wykonania oraz załącza dowody – poświadczenia dotyczące tych robót, lub inne dokumenty – jeżeli z uzasadnionych przyczyn o obiektywnym charakterze wykonawca nie jest w stanie uzyskać poświadczeń, określających czy roboty zostały wykonane w sposób należyty oraz wskazujących czy zostały wykonane zgodnie z zasadami sztuki budowlanej i prawidłowo ukończone.   </w:t>
      </w:r>
    </w:p>
    <w:p w:rsidR="003902CE" w:rsidRPr="00607B69" w:rsidRDefault="003902CE" w:rsidP="008F24BE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i/>
          <w:sz w:val="24"/>
          <w:szCs w:val="24"/>
        </w:rPr>
      </w:pPr>
      <w:r w:rsidRPr="00607B69">
        <w:rPr>
          <w:rFonts w:ascii="Arial" w:hAnsi="Arial" w:cs="Arial"/>
          <w:i/>
          <w:sz w:val="24"/>
          <w:szCs w:val="24"/>
        </w:rPr>
        <w:t>Uwaga: w przypadku niniejszego postępowania o udzielenie zamówienia publicznego, Wykonawca może zamiast wymienionych wyżej poświadczeń, złożyć dokumenty potwierdzające, że roboty zostały wykonane zgodnie z zasadami sztuki budowlanej i prawidłowo ukończone. (Podstawa prawna §9 ust.2 Rozporządzenia Prezesa Rady Ministrów z dnia 19.02.2013 r. w sprawie rodzajów dokumentów, jakich może żądać zamawiający od wykonawcy, oraz form, w jakich te dokumenty mogą być składane.)</w:t>
      </w:r>
    </w:p>
    <w:p w:rsidR="003902CE" w:rsidRPr="00CD082B" w:rsidRDefault="003902CE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4 do SIWZ.</w:t>
      </w:r>
    </w:p>
    <w:p w:rsidR="003902CE" w:rsidRPr="00CD082B" w:rsidRDefault="003902CE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3902CE" w:rsidRPr="00CD082B" w:rsidRDefault="003902CE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5 do SIWZ.</w:t>
      </w:r>
    </w:p>
    <w:p w:rsidR="003902CE" w:rsidRPr="00CD082B" w:rsidRDefault="003902CE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uprawnienia;</w:t>
      </w:r>
    </w:p>
    <w:p w:rsidR="003902CE" w:rsidRPr="00CD082B" w:rsidRDefault="003902CE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Oświadczenie należy sporządzić według wzoru stanowiącego Załącznik Nr 5a do</w:t>
      </w:r>
      <w:r w:rsidRPr="00CD082B">
        <w:rPr>
          <w:rFonts w:ascii="Arial" w:hAnsi="Arial" w:cs="Arial"/>
          <w:sz w:val="24"/>
          <w:szCs w:val="24"/>
        </w:rPr>
        <w:t xml:space="preserve"> SIWZ.</w:t>
      </w:r>
    </w:p>
    <w:p w:rsidR="003902CE" w:rsidRDefault="003902CE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>kredytową W</w:t>
      </w:r>
      <w:r w:rsidRPr="00CD082B">
        <w:rPr>
          <w:rFonts w:ascii="Arial" w:hAnsi="Arial" w:cs="Arial"/>
          <w:sz w:val="24"/>
          <w:szCs w:val="24"/>
        </w:rPr>
        <w:t xml:space="preserve">ykonawcy, wystawioną nie wcześniej niż 3 miesiące przed upływem terminu składania ofert. </w:t>
      </w:r>
    </w:p>
    <w:p w:rsidR="003902CE" w:rsidRPr="00CD082B" w:rsidRDefault="003902CE" w:rsidP="008527E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3902CE" w:rsidRPr="00CD082B" w:rsidRDefault="003902CE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3902CE" w:rsidRPr="00CD082B" w:rsidRDefault="003902CE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3902CE" w:rsidRDefault="003902CE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>owiącego Załącznik Nr 3 do SIWZ</w:t>
      </w:r>
      <w:r w:rsidRPr="00B67ED9">
        <w:rPr>
          <w:rFonts w:ascii="Arial" w:hAnsi="Arial" w:cs="Arial"/>
          <w:sz w:val="24"/>
          <w:szCs w:val="24"/>
        </w:rPr>
        <w:t xml:space="preserve">. </w:t>
      </w:r>
    </w:p>
    <w:p w:rsidR="003902CE" w:rsidRPr="00F24D74" w:rsidRDefault="003902CE" w:rsidP="000475CD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Listę podmiotów należących do tej samej grupy kapitałowej w rozumieniu ustawy z dnia z dnia 16 lutego 2007 r. o ochronie konkurencji i konsumentów (Dz.U. Nr 50, poz. 331, z późn. zm.), a w przypadku wykonawców nie należących do grupy kapitałowej oświadczenie o braku takiej przynależności sporządzone wg wzoru stanowiącego załącznik Nr  3a do SIWZ.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3902CE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3902CE" w:rsidRPr="00F24D74" w:rsidRDefault="003902CE" w:rsidP="00F5063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24D74">
        <w:rPr>
          <w:rFonts w:ascii="Arial" w:hAnsi="Arial" w:cs="Arial"/>
          <w:sz w:val="24"/>
          <w:szCs w:val="24"/>
        </w:rPr>
        <w:t xml:space="preserve">1 Jeżeli wykonawca, wykazując spełnianie warunków, o których mowa w art. 22 ust. 1 pkt. 2 i 3 ustawy, polega na zasobach innych podmiotów na zasadach określonych w pkt. 4. Zamawiający, w celu oceny, czy wykonawca będzie dysponował zasobami innych podmiotów w stopniu niezbędnym do należytego wykonywania zamówienia oraz oceny, czy stosunek łączący wykonawcę z tymi podmiotami gwarantuje rzeczywisty dostęp do ich zasobów, żąda złożenia dokumentów dotyczących: </w:t>
      </w:r>
    </w:p>
    <w:p w:rsidR="003902CE" w:rsidRPr="00F24D74" w:rsidRDefault="003902CE" w:rsidP="005B3C58">
      <w:pPr>
        <w:tabs>
          <w:tab w:val="left" w:pos="680"/>
        </w:tabs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a)</w:t>
      </w:r>
      <w:r w:rsidRPr="00F24D74">
        <w:rPr>
          <w:rFonts w:ascii="Arial" w:hAnsi="Arial" w:cs="Arial"/>
          <w:sz w:val="24"/>
          <w:szCs w:val="24"/>
        </w:rPr>
        <w:tab/>
        <w:t>zakresu dostępnych wykonawcy zasobów innego podmiotu,</w:t>
      </w:r>
    </w:p>
    <w:p w:rsidR="003902CE" w:rsidRPr="00F24D74" w:rsidRDefault="003902CE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b)</w:t>
      </w:r>
      <w:r w:rsidRPr="00F24D74">
        <w:rPr>
          <w:rFonts w:ascii="Arial" w:hAnsi="Arial" w:cs="Arial"/>
          <w:sz w:val="24"/>
          <w:szCs w:val="24"/>
        </w:rPr>
        <w:tab/>
        <w:t>sposobu wykorzystania zasobów innego podmiotu, przez wykonawcę, przy wykonywaniu zamówienia,</w:t>
      </w:r>
    </w:p>
    <w:p w:rsidR="003902CE" w:rsidRPr="00F24D74" w:rsidRDefault="003902CE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c)</w:t>
      </w:r>
      <w:r w:rsidRPr="00F24D74">
        <w:rPr>
          <w:rFonts w:ascii="Arial" w:hAnsi="Arial" w:cs="Arial"/>
          <w:sz w:val="24"/>
          <w:szCs w:val="24"/>
        </w:rPr>
        <w:tab/>
        <w:t>charakteru stosunku, jaki będzie łączył wykonawcę z innym podmiotem,</w:t>
      </w:r>
    </w:p>
    <w:p w:rsidR="003902CE" w:rsidRPr="00F24D74" w:rsidRDefault="003902CE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d)</w:t>
      </w:r>
      <w:r w:rsidRPr="00F24D74">
        <w:rPr>
          <w:rFonts w:ascii="Arial" w:hAnsi="Arial" w:cs="Arial"/>
          <w:sz w:val="24"/>
          <w:szCs w:val="24"/>
        </w:rPr>
        <w:tab/>
        <w:t>zakresu i okresu udziału innego podmiotu przy wykonywaniu zamówienia.</w:t>
      </w:r>
    </w:p>
    <w:p w:rsidR="003902CE" w:rsidRPr="00F24D74" w:rsidRDefault="003902CE" w:rsidP="005B3C58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4.2 Jeżeli wykonawca, wykazując spełnianie warunków, o których mowa w art. 22 ust. 1 pkt. 4 ustawy, polega na zasobach finansowych innych podmiotów na zasadach określonych w art. 26 ust. 2b ustawy, Zamawiający wymaga przedłożenia informacji o której mowa w pkt. 1.5 rozdziału VI, dotyczącej tych podmiotów.</w:t>
      </w:r>
    </w:p>
    <w:p w:rsidR="003902CE" w:rsidRPr="00CD082B" w:rsidRDefault="003902CE" w:rsidP="00F5063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</w:t>
      </w:r>
      <w:r w:rsidRPr="00F24D74">
        <w:rPr>
          <w:rFonts w:ascii="Arial" w:hAnsi="Arial" w:cs="Arial"/>
          <w:sz w:val="24"/>
          <w:szCs w:val="24"/>
        </w:rPr>
        <w:t>. i 2.2,</w:t>
      </w:r>
      <w:r w:rsidRPr="00CD082B">
        <w:rPr>
          <w:rFonts w:ascii="Arial" w:hAnsi="Arial" w:cs="Arial"/>
          <w:sz w:val="24"/>
          <w:szCs w:val="24"/>
        </w:rPr>
        <w:t xml:space="preserve"> należy złożyć w oryginale lub kopii poświadczonej za zgodno</w:t>
      </w:r>
      <w:r>
        <w:rPr>
          <w:rFonts w:ascii="Arial" w:hAnsi="Arial" w:cs="Arial"/>
          <w:sz w:val="24"/>
          <w:szCs w:val="24"/>
        </w:rPr>
        <w:t>ść z oryginałem przez Wykonawcę.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</w:t>
      </w:r>
      <w:r w:rsidRPr="002522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6AEB">
        <w:rPr>
          <w:rFonts w:ascii="Arial" w:hAnsi="Arial" w:cs="Arial"/>
          <w:sz w:val="24"/>
          <w:szCs w:val="24"/>
        </w:rPr>
        <w:t xml:space="preserve">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3902CE" w:rsidRPr="00CD082B" w:rsidRDefault="003902CE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3902CE" w:rsidRPr="00CD082B" w:rsidRDefault="003902CE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3902CE" w:rsidRPr="00CD082B" w:rsidRDefault="003902CE" w:rsidP="00FB7759">
      <w:pPr>
        <w:pStyle w:val="Heading2"/>
        <w:rPr>
          <w:rFonts w:cs="Arial"/>
          <w:sz w:val="24"/>
          <w:szCs w:val="24"/>
        </w:rPr>
      </w:pPr>
      <w:bookmarkStart w:id="30" w:name="_Toc356478386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3902CE" w:rsidRPr="00CD082B" w:rsidRDefault="003902CE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3902CE" w:rsidRPr="00CD082B" w:rsidRDefault="003902CE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3902CE" w:rsidRPr="00CD082B" w:rsidRDefault="003902CE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3902CE" w:rsidRPr="0073612C" w:rsidRDefault="003902CE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902CE" w:rsidRPr="00CD082B" w:rsidRDefault="003902CE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3902CE" w:rsidRPr="00CD082B" w:rsidRDefault="003902CE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3902CE" w:rsidRPr="00CD082B" w:rsidRDefault="003902CE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3902CE" w:rsidRPr="00CD082B" w:rsidRDefault="003902CE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3902CE" w:rsidRPr="00546394" w:rsidRDefault="003902CE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3902CE" w:rsidRPr="00CD082B" w:rsidRDefault="003902CE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3902CE" w:rsidRPr="00CD082B" w:rsidRDefault="003902CE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9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0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1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3902CE" w:rsidRPr="00CD082B" w:rsidRDefault="003902CE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3902CE" w:rsidRDefault="003902CE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56478387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3902CE" w:rsidRPr="00CD082B" w:rsidRDefault="003902CE" w:rsidP="00A874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>Zamawiający żąda od Wykonawców wniesienia wadium w wysokości</w:t>
      </w:r>
      <w:r w:rsidRPr="0073612C">
        <w:rPr>
          <w:rFonts w:ascii="Arial" w:hAnsi="Arial" w:cs="Arial"/>
          <w:sz w:val="24"/>
          <w:szCs w:val="24"/>
        </w:rPr>
        <w:t xml:space="preserve">:  </w:t>
      </w:r>
      <w:r w:rsidRPr="0073612C">
        <w:rPr>
          <w:rFonts w:ascii="Arial" w:hAnsi="Arial" w:cs="Arial"/>
          <w:b/>
          <w:sz w:val="24"/>
          <w:szCs w:val="24"/>
        </w:rPr>
        <w:t>5.000,00PLN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3902CE" w:rsidRPr="00CD082B" w:rsidRDefault="003902CE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3902CE" w:rsidRPr="00CD082B" w:rsidRDefault="003902CE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3902CE" w:rsidRPr="00CD082B" w:rsidRDefault="003902CE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3902CE" w:rsidRPr="00CD082B" w:rsidRDefault="003902CE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3902CE" w:rsidRPr="00CD082B" w:rsidRDefault="003902CE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3902CE" w:rsidRPr="00CD082B" w:rsidRDefault="003902CE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3902CE" w:rsidRPr="00CD082B" w:rsidRDefault="003902CE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3902CE" w:rsidRPr="00CD082B" w:rsidRDefault="003902CE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3902CE" w:rsidRPr="00CD082B" w:rsidRDefault="003902CE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56478388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3902CE" w:rsidRPr="00CD082B" w:rsidRDefault="003902CE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3902CE" w:rsidRPr="00CD082B" w:rsidRDefault="003902CE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3902CE" w:rsidRPr="00CD082B" w:rsidRDefault="003902CE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3902CE" w:rsidRPr="00CD082B" w:rsidRDefault="003902CE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56478389"/>
      <w:r w:rsidRPr="00A87475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3902CE" w:rsidRPr="00CD082B" w:rsidRDefault="003902CE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3902CE" w:rsidRPr="00CD082B" w:rsidRDefault="003902CE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3902CE" w:rsidRPr="00CD082B" w:rsidRDefault="003902CE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3902CE" w:rsidRPr="00CD082B" w:rsidRDefault="003902CE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3902CE" w:rsidRPr="00CD082B" w:rsidRDefault="003902CE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3902CE" w:rsidRPr="00CD082B" w:rsidRDefault="003902CE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3902CE" w:rsidRPr="00CD082B" w:rsidRDefault="003902CE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3902CE" w:rsidRPr="00CD082B" w:rsidRDefault="003902CE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3902CE" w:rsidRPr="00CD082B" w:rsidRDefault="003902CE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3902CE" w:rsidRPr="00CD082B" w:rsidRDefault="003902CE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02CE" w:rsidRDefault="003902CE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>[sporządzony według wzoru stanowiącego Załącznik nr 6 do SIWZ</w:t>
      </w:r>
      <w:r>
        <w:rPr>
          <w:rFonts w:ascii="Arial" w:hAnsi="Arial" w:cs="Arial"/>
          <w:sz w:val="24"/>
          <w:szCs w:val="24"/>
        </w:rPr>
        <w:t>];</w:t>
      </w:r>
    </w:p>
    <w:p w:rsidR="003902CE" w:rsidRPr="00607B69" w:rsidRDefault="003902CE" w:rsidP="00B6450C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Kosztorys ofertowy sporządzony metodą uproszczoną z wyszczególnieniem: opisu robót, ilości przedmiarowej i jednostki miary robót, ceny jednostkowej robót oraz wartości roboty. Do kosztorysu ofertowego sporządzonego metodą kalkulacji uproszczonej należy załączyć zestawienia:</w:t>
      </w:r>
    </w:p>
    <w:p w:rsidR="003902CE" w:rsidRPr="00607B69" w:rsidRDefault="003902CE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materiałowe, </w:t>
      </w:r>
    </w:p>
    <w:p w:rsidR="003902CE" w:rsidRPr="00607B69" w:rsidRDefault="003902CE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robocizny, </w:t>
      </w:r>
    </w:p>
    <w:p w:rsidR="003902CE" w:rsidRPr="00607B69" w:rsidRDefault="003902CE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sprzętu, </w:t>
      </w:r>
    </w:p>
    <w:p w:rsidR="003902CE" w:rsidRPr="00607B69" w:rsidRDefault="003902CE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tabelę elementów scalonych.</w:t>
      </w:r>
    </w:p>
    <w:p w:rsidR="003902CE" w:rsidRPr="00607B69" w:rsidRDefault="003902CE" w:rsidP="00B6450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oraz określić poziom zastosowanych wskaźników narzutów. Poziom agregacji robót ustala się na poziomie robót prostych, w rozumieniu pkt. 2.15. podpunkt 1 ’’Polskich standardów kosztorysowania robót budowlanych’’ (</w:t>
      </w:r>
      <w:r w:rsidRPr="00607B69">
        <w:rPr>
          <w:rFonts w:ascii="Arial" w:hAnsi="Arial" w:cs="Arial"/>
          <w:bCs/>
          <w:sz w:val="24"/>
          <w:szCs w:val="24"/>
        </w:rPr>
        <w:t xml:space="preserve">Autor: </w:t>
      </w:r>
      <w:r w:rsidRPr="00607B69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607B69">
        <w:rPr>
          <w:rFonts w:ascii="Arial" w:hAnsi="Arial" w:cs="Arial"/>
          <w:bCs/>
          <w:sz w:val="24"/>
          <w:szCs w:val="24"/>
        </w:rPr>
        <w:t xml:space="preserve">Wydawnictwo: </w:t>
      </w:r>
      <w:r w:rsidRPr="00607B69">
        <w:rPr>
          <w:rFonts w:ascii="Arial" w:hAnsi="Arial" w:cs="Arial"/>
          <w:sz w:val="24"/>
          <w:szCs w:val="24"/>
        </w:rPr>
        <w:t>WACETOB, 2005 r.)</w:t>
      </w:r>
    </w:p>
    <w:p w:rsidR="003902CE" w:rsidRPr="00607B69" w:rsidRDefault="003902CE" w:rsidP="00B6450C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b/>
          <w:sz w:val="24"/>
          <w:szCs w:val="24"/>
        </w:rPr>
        <w:t xml:space="preserve">Kosztorys ofertowy należy sporządzać </w:t>
      </w:r>
      <w:r w:rsidRPr="00607B69">
        <w:rPr>
          <w:rFonts w:ascii="Arial" w:hAnsi="Arial" w:cs="Arial"/>
          <w:b/>
          <w:bCs/>
          <w:sz w:val="24"/>
          <w:szCs w:val="24"/>
        </w:rPr>
        <w:t>w układzie otrzymanego przedmiaru robót</w:t>
      </w:r>
      <w:r w:rsidRPr="00607B6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607B69">
        <w:rPr>
          <w:rFonts w:ascii="Arial" w:hAnsi="Arial" w:cs="Arial"/>
          <w:b/>
          <w:bCs/>
          <w:sz w:val="24"/>
          <w:szCs w:val="24"/>
        </w:rPr>
        <w:t>(</w:t>
      </w:r>
      <w:r w:rsidRPr="00607B69">
        <w:rPr>
          <w:rFonts w:ascii="Arial" w:hAnsi="Arial" w:cs="Arial"/>
          <w:b/>
          <w:sz w:val="24"/>
          <w:szCs w:val="24"/>
        </w:rPr>
        <w:t>stanowiącego Załącznik Nr 1b do SIWZ)</w:t>
      </w:r>
      <w:r w:rsidRPr="00607B69">
        <w:rPr>
          <w:rFonts w:ascii="Arial" w:hAnsi="Arial" w:cs="Arial"/>
          <w:sz w:val="24"/>
          <w:szCs w:val="24"/>
        </w:rPr>
        <w:t xml:space="preserve"> </w:t>
      </w:r>
    </w:p>
    <w:p w:rsidR="003902CE" w:rsidRPr="00F47C62" w:rsidRDefault="003902CE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uwzględnić w Formularzu Ofertowym</w:t>
      </w:r>
      <w:r w:rsidRPr="00F47C6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3902CE" w:rsidRDefault="003902CE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3902CE" w:rsidRPr="00A87475" w:rsidRDefault="003902CE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902CE" w:rsidRPr="00CD082B" w:rsidRDefault="003902CE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3902CE" w:rsidRPr="00CD082B" w:rsidRDefault="003902CE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902CE" w:rsidRPr="00CD082B" w:rsidRDefault="003902CE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3902CE" w:rsidRPr="00CD082B" w:rsidRDefault="003902CE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3902CE" w:rsidRPr="00CD082B" w:rsidRDefault="003902CE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3902CE" w:rsidRPr="00CD082B" w:rsidRDefault="003902CE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3902CE" w:rsidRPr="00CD082B" w:rsidRDefault="003902CE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3902CE" w:rsidRPr="00CD082B" w:rsidRDefault="003902CE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3902CE" w:rsidRPr="00CD082B" w:rsidRDefault="003902CE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3902CE" w:rsidRPr="00CD082B" w:rsidRDefault="003902CE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3902CE" w:rsidRPr="00CD082B" w:rsidRDefault="003902CE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3902CE" w:rsidRPr="00873CCC" w:rsidRDefault="003902CE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wykonanie robót budowlanych w ramach zadania inwestycyjnego pod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nazwą </w:t>
      </w: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73612C">
        <w:rPr>
          <w:rFonts w:ascii="Arial" w:hAnsi="Arial" w:cs="Arial"/>
          <w:sz w:val="24"/>
          <w:szCs w:val="24"/>
        </w:rPr>
        <w:t>”</w:t>
      </w:r>
    </w:p>
    <w:p w:rsidR="003902CE" w:rsidRPr="00F02ABB" w:rsidRDefault="003902CE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F02ABB">
        <w:rPr>
          <w:rFonts w:ascii="Arial" w:hAnsi="Arial" w:cs="Arial"/>
          <w:bCs/>
          <w:sz w:val="24"/>
          <w:szCs w:val="24"/>
        </w:rPr>
        <w:t>Nie otwiera</w:t>
      </w:r>
      <w:r w:rsidRPr="00F02ABB">
        <w:rPr>
          <w:rFonts w:ascii="Arial" w:hAnsi="Arial" w:cs="Arial"/>
          <w:sz w:val="24"/>
          <w:szCs w:val="24"/>
        </w:rPr>
        <w:t xml:space="preserve">ć </w:t>
      </w:r>
      <w:r w:rsidRPr="00F02ABB">
        <w:rPr>
          <w:rFonts w:ascii="Arial" w:hAnsi="Arial" w:cs="Arial"/>
          <w:bCs/>
          <w:sz w:val="24"/>
          <w:szCs w:val="24"/>
        </w:rPr>
        <w:t>przed dniem 06.06.2013 do godz.</w:t>
      </w:r>
      <w:r w:rsidRPr="00F02ABB">
        <w:rPr>
          <w:rFonts w:ascii="Arial" w:hAnsi="Arial" w:cs="Arial"/>
          <w:sz w:val="24"/>
          <w:szCs w:val="24"/>
        </w:rPr>
        <w:t xml:space="preserve"> 10:30</w:t>
      </w:r>
    </w:p>
    <w:p w:rsidR="003902CE" w:rsidRPr="00F36AE2" w:rsidRDefault="003902CE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56478390"/>
      <w:r w:rsidRPr="00F36AE2">
        <w:rPr>
          <w:rFonts w:cs="Arial"/>
          <w:sz w:val="24"/>
          <w:szCs w:val="24"/>
        </w:rPr>
        <w:t>XI. Miejsce oraz termin składania i otwarcia ofert</w:t>
      </w:r>
      <w:bookmarkEnd w:id="46"/>
      <w:bookmarkEnd w:id="47"/>
      <w:bookmarkEnd w:id="48"/>
      <w:bookmarkEnd w:id="49"/>
      <w:bookmarkEnd w:id="50"/>
    </w:p>
    <w:p w:rsidR="003902CE" w:rsidRPr="00F02ABB" w:rsidRDefault="003902CE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wraz z wymaganymi oświadczeniami i dokumentami należy złożyć w</w:t>
      </w:r>
      <w:r w:rsidRPr="0073612C">
        <w:rPr>
          <w:rFonts w:ascii="Arial" w:hAnsi="Arial" w:cs="Arial"/>
          <w:sz w:val="24"/>
          <w:szCs w:val="24"/>
        </w:rPr>
        <w:t xml:space="preserve">: siedzibie Gminy </w:t>
      </w:r>
      <w:r w:rsidRPr="00F02ABB">
        <w:rPr>
          <w:rFonts w:ascii="Arial" w:hAnsi="Arial" w:cs="Arial"/>
          <w:sz w:val="24"/>
          <w:szCs w:val="24"/>
        </w:rPr>
        <w:t>Kobylin-Borzymy ul. Główna 11, 18-204 Kobylin-Borzymy</w:t>
      </w:r>
      <w:r w:rsidRPr="00F02ABB">
        <w:rPr>
          <w:rFonts w:ascii="Arial" w:hAnsi="Arial" w:cs="Arial"/>
          <w:bCs/>
          <w:sz w:val="24"/>
          <w:szCs w:val="24"/>
        </w:rPr>
        <w:t xml:space="preserve">, </w:t>
      </w:r>
      <w:r w:rsidRPr="00F02ABB">
        <w:rPr>
          <w:rFonts w:ascii="Arial" w:hAnsi="Arial" w:cs="Arial"/>
          <w:sz w:val="24"/>
          <w:szCs w:val="24"/>
        </w:rPr>
        <w:t xml:space="preserve">w terminie najpóźniej do dnia </w:t>
      </w:r>
      <w:r w:rsidRPr="00F02ABB">
        <w:rPr>
          <w:rFonts w:ascii="Arial" w:hAnsi="Arial" w:cs="Arial"/>
          <w:b/>
          <w:sz w:val="24"/>
          <w:szCs w:val="24"/>
        </w:rPr>
        <w:t>06.06.2013, do godz. 10:00</w:t>
      </w:r>
      <w:r w:rsidRPr="00F02ABB"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niezwłocznie </w:t>
      </w:r>
      <w:r>
        <w:rPr>
          <w:rFonts w:ascii="Arial" w:hAnsi="Arial" w:cs="Arial"/>
          <w:sz w:val="24"/>
          <w:szCs w:val="24"/>
        </w:rPr>
        <w:t xml:space="preserve">zwraca ofertę, która została złożona po </w:t>
      </w:r>
      <w:r w:rsidRPr="00CD082B">
        <w:rPr>
          <w:rFonts w:ascii="Arial" w:hAnsi="Arial" w:cs="Arial"/>
          <w:sz w:val="24"/>
          <w:szCs w:val="24"/>
        </w:rPr>
        <w:t>terminie.</w:t>
      </w:r>
    </w:p>
    <w:p w:rsidR="003902CE" w:rsidRPr="0073612C" w:rsidRDefault="003902CE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</w:t>
      </w:r>
      <w:r w:rsidRPr="00F02ABB">
        <w:rPr>
          <w:rFonts w:ascii="Arial" w:hAnsi="Arial" w:cs="Arial"/>
          <w:sz w:val="24"/>
          <w:szCs w:val="24"/>
        </w:rPr>
        <w:t>nastąpi w dniu 06.06.2013 r,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konferencyjna </w:t>
      </w:r>
      <w:r w:rsidRPr="0073612C">
        <w:rPr>
          <w:rFonts w:ascii="Arial" w:hAnsi="Arial" w:cs="Arial"/>
          <w:sz w:val="24"/>
          <w:szCs w:val="24"/>
        </w:rPr>
        <w:t>, o godzinie 10:30</w:t>
      </w:r>
      <w:r w:rsidRPr="0073612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3902CE" w:rsidRPr="00CD082B" w:rsidRDefault="003902CE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3902CE" w:rsidRPr="00CD082B" w:rsidRDefault="003902CE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3902CE" w:rsidRDefault="003902CE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  <w:bookmarkStart w:id="55" w:name="_Toc356478391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3902CE" w:rsidRPr="00CD082B" w:rsidRDefault="003902CE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cenę oferty w Formularzu Ofertowym sporządzonym według wzoru stanowiącego Załącznik Nr 6 do SIWZ.</w:t>
      </w:r>
    </w:p>
    <w:p w:rsidR="003902CE" w:rsidRPr="00A87475" w:rsidRDefault="003902CE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Cenę  oferty należy skalkulować na podstawie kosztorysu ofertowego wykonanego w oparciu o przedmiary robót  z uwzględnieniem wszelkich innych kosztów wynikających chociażby z niniejszej SIWZ.</w:t>
      </w:r>
    </w:p>
    <w:p w:rsidR="003902CE" w:rsidRPr="00637FC7" w:rsidRDefault="003902CE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3902CE" w:rsidRDefault="003902CE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3902CE" w:rsidRDefault="003902CE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3902CE" w:rsidRPr="0073612C" w:rsidRDefault="003902CE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  Projekcie umowy stanowiącym Załącznik Nr 2 do SIWZ.</w:t>
      </w:r>
      <w:r w:rsidRPr="00CF6AB1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 xml:space="preserve">Ponadto w cenie oferty należy uwzględnić koszty związane z: pełną obsługą geodezyjną (w tym sporządzeniem inwentaryzacji powykonawczej w 5 egz.), sporządzeniem dokumentacji powykonawczej, </w:t>
      </w:r>
      <w:r>
        <w:rPr>
          <w:rFonts w:ascii="Arial" w:hAnsi="Arial" w:cs="Arial"/>
          <w:sz w:val="24"/>
          <w:szCs w:val="24"/>
        </w:rPr>
        <w:t xml:space="preserve">sporządzenia świadectwa energetycznego obiektu, </w:t>
      </w:r>
      <w:r w:rsidRPr="0073612C">
        <w:rPr>
          <w:rFonts w:ascii="Arial" w:hAnsi="Arial" w:cs="Arial"/>
          <w:sz w:val="24"/>
          <w:szCs w:val="24"/>
        </w:rPr>
        <w:t>niezbędnych badań i uzgodnień, czynności niezbędnych do przekazania inwestycji inwestorowi jako środka trwałego.</w:t>
      </w:r>
    </w:p>
    <w:p w:rsidR="003902CE" w:rsidRPr="00A87475" w:rsidRDefault="003902CE" w:rsidP="00812FD7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 xml:space="preserve">W przypadku rozbieżności pomiędzy ceną podaną cyfrowo a słownie, jako wartość właściwa zostanie przyjęta cena podana słownie.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02CE" w:rsidRPr="00A87475" w:rsidRDefault="003902CE" w:rsidP="00E07C91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 Rozliczenie końcowe nastąpi na podstawie kosztorysu powykonawczego z zastosowaniem czynników cenotwórczych wskazanych w kosztorysach ofertowych.</w:t>
      </w:r>
    </w:p>
    <w:p w:rsidR="003902CE" w:rsidRPr="00B6450C" w:rsidRDefault="003902CE" w:rsidP="00812FD7">
      <w:pPr>
        <w:spacing w:line="260" w:lineRule="atLeast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B6450C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3902CE" w:rsidRPr="00CD082B" w:rsidRDefault="003902CE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6" w:name="_Toc72717339"/>
      <w:bookmarkStart w:id="57" w:name="_Toc95621023"/>
      <w:bookmarkStart w:id="58" w:name="_Toc95621124"/>
      <w:bookmarkStart w:id="59" w:name="_Toc95633507"/>
      <w:bookmarkStart w:id="60" w:name="_Toc356478392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6"/>
      <w:bookmarkEnd w:id="57"/>
      <w:bookmarkEnd w:id="58"/>
      <w:bookmarkEnd w:id="59"/>
      <w:bookmarkEnd w:id="60"/>
    </w:p>
    <w:p w:rsidR="003902CE" w:rsidRDefault="003902CE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3902CE" w:rsidRPr="00433CD0" w:rsidRDefault="003902CE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3902CE" w:rsidRPr="00433CD0" w:rsidRDefault="003902CE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3902CE" w:rsidRPr="00433CD0" w:rsidRDefault="003902CE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3902CE" w:rsidRPr="00433CD0" w:rsidRDefault="003902CE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3902CE" w:rsidRPr="00433CD0" w:rsidRDefault="003902CE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3902CE" w:rsidRPr="00433CD0" w:rsidRDefault="003902CE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3902CE" w:rsidRPr="00433CD0" w:rsidRDefault="003902CE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3902CE" w:rsidRPr="00433CD0" w:rsidRDefault="003902CE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3902CE" w:rsidRPr="00433CD0" w:rsidRDefault="003902CE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3902CE" w:rsidRPr="00433CD0" w:rsidRDefault="003902CE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3902CE" w:rsidRPr="00C51717" w:rsidRDefault="003902CE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3902CE" w:rsidRPr="00C109E4" w:rsidRDefault="003902CE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902CE" w:rsidRPr="00CD082B" w:rsidRDefault="003902CE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3902CE" w:rsidRPr="00CD082B" w:rsidRDefault="003902CE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3902CE" w:rsidRPr="00CD082B" w:rsidRDefault="003902CE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3902CE" w:rsidRPr="00CD082B" w:rsidRDefault="003902CE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3902CE" w:rsidRPr="00CD082B" w:rsidRDefault="003902CE" w:rsidP="005B7AF3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3902CE" w:rsidRPr="00CD082B" w:rsidRDefault="003902CE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1" w:name="_Toc72717340"/>
      <w:bookmarkStart w:id="62" w:name="_Toc95621024"/>
      <w:bookmarkStart w:id="63" w:name="_Toc95621125"/>
      <w:bookmarkStart w:id="64" w:name="_Toc95633508"/>
      <w:bookmarkStart w:id="65" w:name="_Toc356478393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1"/>
      <w:bookmarkEnd w:id="62"/>
      <w:bookmarkEnd w:id="63"/>
      <w:bookmarkEnd w:id="64"/>
      <w:bookmarkEnd w:id="65"/>
    </w:p>
    <w:p w:rsidR="003902CE" w:rsidRPr="00CD082B" w:rsidRDefault="003902CE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3902CE" w:rsidRPr="00CD082B" w:rsidRDefault="003902CE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2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3902CE" w:rsidRPr="00CD082B" w:rsidRDefault="003902CE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902CE" w:rsidRPr="00CD082B" w:rsidRDefault="003902CE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3902CE" w:rsidRPr="00CD082B" w:rsidRDefault="003902CE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umowy, który stanowi Załącznik Nr 2 do SIWZ. Jednocześnie zobowiązany jest niezwłocznie przekazać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3902CE" w:rsidRPr="00CD082B" w:rsidRDefault="003902CE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3902CE" w:rsidRPr="00CD082B" w:rsidRDefault="003902CE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3902CE" w:rsidRPr="00CD082B" w:rsidRDefault="003902CE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3902CE" w:rsidRPr="00CD082B" w:rsidRDefault="003902CE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3902CE" w:rsidRPr="00CD082B" w:rsidRDefault="003902CE" w:rsidP="00100CA9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</w:t>
      </w:r>
      <w:r w:rsidRPr="00D1109F">
        <w:rPr>
          <w:rFonts w:ascii="Arial" w:hAnsi="Arial" w:cs="Arial"/>
          <w:color w:val="0000FF"/>
          <w:sz w:val="24"/>
          <w:szCs w:val="24"/>
        </w:rPr>
        <w:t>.</w:t>
      </w:r>
    </w:p>
    <w:p w:rsidR="003902CE" w:rsidRPr="00CD082B" w:rsidRDefault="003902CE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3902CE" w:rsidRDefault="003902CE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6" w:name="_Toc72717341"/>
      <w:bookmarkStart w:id="67" w:name="_Toc95621025"/>
      <w:bookmarkStart w:id="68" w:name="_Toc95621126"/>
      <w:bookmarkStart w:id="69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6"/>
      <w:bookmarkEnd w:id="67"/>
      <w:bookmarkEnd w:id="68"/>
      <w:bookmarkEnd w:id="69"/>
    </w:p>
    <w:p w:rsidR="003902CE" w:rsidRPr="00CD082B" w:rsidRDefault="003902CE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 w:rsidRPr="00607B69">
        <w:rPr>
          <w:rFonts w:ascii="Arial" w:hAnsi="Arial" w:cs="Arial"/>
          <w:color w:val="auto"/>
        </w:rPr>
        <w:t>wysokości 7  %</w:t>
      </w:r>
      <w:r w:rsidRPr="0073612C">
        <w:rPr>
          <w:rFonts w:ascii="Arial" w:hAnsi="Arial" w:cs="Arial"/>
          <w:color w:val="auto"/>
        </w:rPr>
        <w:t xml:space="preserve"> ceny</w:t>
      </w:r>
      <w:r w:rsidRPr="00CD082B">
        <w:rPr>
          <w:rFonts w:ascii="Arial" w:hAnsi="Arial" w:cs="Arial"/>
        </w:rPr>
        <w:t xml:space="preserve"> ofertowej brutto. </w:t>
      </w:r>
    </w:p>
    <w:p w:rsidR="003902CE" w:rsidRPr="00CD082B" w:rsidRDefault="003902CE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3902CE" w:rsidRPr="00CD082B" w:rsidRDefault="003902CE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3902CE" w:rsidRPr="00CD082B" w:rsidRDefault="003902CE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3902CE" w:rsidRPr="00CD082B" w:rsidRDefault="003902CE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3902CE" w:rsidRPr="00CD082B" w:rsidRDefault="003902CE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3902CE" w:rsidRPr="00CD082B" w:rsidRDefault="003902CE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3902CE" w:rsidRPr="0073612C" w:rsidRDefault="003902CE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3902CE" w:rsidRPr="00CD082B" w:rsidRDefault="003902CE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3902CE" w:rsidRPr="00CD082B" w:rsidRDefault="003902CE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Załącznik nr 2 do SIWZ. </w:t>
      </w:r>
    </w:p>
    <w:p w:rsidR="003902CE" w:rsidRPr="00CD082B" w:rsidRDefault="003902CE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0" w:name="_Toc356478394"/>
      <w:bookmarkStart w:id="71" w:name="_Toc72717342"/>
      <w:bookmarkStart w:id="72" w:name="_Toc95621026"/>
      <w:bookmarkStart w:id="73" w:name="_Toc95621127"/>
      <w:bookmarkStart w:id="74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0"/>
    </w:p>
    <w:p w:rsidR="003902CE" w:rsidRDefault="003902CE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 xml:space="preserve"> nr 2 do SIWZ. </w:t>
      </w:r>
    </w:p>
    <w:p w:rsidR="003902CE" w:rsidRPr="00CD082B" w:rsidRDefault="003902CE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3902CE" w:rsidRDefault="003902CE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3902CE" w:rsidRDefault="003902CE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wynagrodzenia:</w:t>
      </w:r>
    </w:p>
    <w:p w:rsidR="003902CE" w:rsidRDefault="003902CE" w:rsidP="00A65774">
      <w:pPr>
        <w:numPr>
          <w:ilvl w:val="3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podatku,</w:t>
      </w:r>
    </w:p>
    <w:p w:rsidR="003902CE" w:rsidRPr="00607B69" w:rsidRDefault="003902CE" w:rsidP="00A65774">
      <w:pPr>
        <w:numPr>
          <w:ilvl w:val="3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po dokonaniu obmiaru faktycznie wykonanych robót i sporządzeniu kosztorysu powykonawczego zatwierdzonego przez inspektora nadzoru – w przypadku różnicy  wartości wynagrodzenia ustalonego kosztorysem ofertowym a kosztorysem powykonawczym. </w:t>
      </w:r>
    </w:p>
    <w:p w:rsidR="003902CE" w:rsidRPr="005C4E61" w:rsidRDefault="003902CE" w:rsidP="00100CA9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3902CE" w:rsidRPr="005C4E61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3902CE" w:rsidRPr="005C4E61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wody czy innych mediów niezbędnych do wykonania przedmiotu umowy) - przesunięcie terminu może nastąpić wyłącznie o czas równy ilości dni trwania awarii powodującej brak dostępu do mediów;</w:t>
      </w:r>
    </w:p>
    <w:p w:rsidR="003902CE" w:rsidRPr="00AD394D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3902CE" w:rsidRPr="005C4E61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3902CE" w:rsidRPr="005C4E61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3902CE" w:rsidRPr="005C4E61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3902CE" w:rsidRPr="006E2D88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3902CE" w:rsidRPr="00F24D74" w:rsidRDefault="003902CE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z powodu  zwiększenia  ilości robót do wykonania niż wynikało to z przedmiarów, o czas niezbędny na wykonanie zwiększenia tego zakresu.</w:t>
      </w:r>
    </w:p>
    <w:p w:rsidR="003902CE" w:rsidRPr="005C4E61" w:rsidRDefault="003902CE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3902CE" w:rsidRPr="009D05F9" w:rsidRDefault="003902CE" w:rsidP="00040DE7">
      <w:pPr>
        <w:ind w:left="720" w:right="-290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</w:t>
      </w:r>
      <w:r>
        <w:rPr>
          <w:rFonts w:ascii="Arial" w:hAnsi="Arial" w:cs="Arial"/>
          <w:sz w:val="24"/>
          <w:szCs w:val="24"/>
        </w:rPr>
        <w:t>jest poinformować Zamawiającego.</w:t>
      </w:r>
    </w:p>
    <w:p w:rsidR="003902CE" w:rsidRPr="009D05F9" w:rsidRDefault="003902CE" w:rsidP="00040DE7">
      <w:pPr>
        <w:spacing w:before="120"/>
        <w:ind w:left="720" w:right="-289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3902CE" w:rsidRDefault="003902CE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902CE" w:rsidRPr="009D05F9" w:rsidRDefault="003902CE" w:rsidP="00100CA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podmiotowych Zamawiającego i Wykonawcy.</w:t>
      </w:r>
    </w:p>
    <w:p w:rsidR="003902CE" w:rsidRPr="00CD082B" w:rsidRDefault="003902CE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5" w:name="_Toc356478395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1"/>
      <w:bookmarkEnd w:id="72"/>
      <w:bookmarkEnd w:id="73"/>
      <w:bookmarkEnd w:id="74"/>
      <w:bookmarkEnd w:id="75"/>
    </w:p>
    <w:p w:rsidR="003902CE" w:rsidRPr="00CD082B" w:rsidRDefault="003902CE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3902CE" w:rsidRPr="0076346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3902CE" w:rsidRPr="0076346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3902CE" w:rsidRPr="0076346B" w:rsidRDefault="003902CE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3902CE" w:rsidRPr="0076346B" w:rsidRDefault="003902CE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3902CE" w:rsidRPr="0076346B" w:rsidRDefault="003902CE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3902CE" w:rsidRDefault="003902CE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3902CE" w:rsidRPr="00CD082B" w:rsidRDefault="003902CE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3902CE" w:rsidRPr="00CD082B" w:rsidRDefault="003902CE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3902CE" w:rsidRPr="00CD082B" w:rsidRDefault="003902CE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6" w:name="_Toc356478396"/>
      <w:r w:rsidRPr="00CD082B">
        <w:rPr>
          <w:rFonts w:cs="Arial"/>
          <w:sz w:val="24"/>
          <w:szCs w:val="24"/>
        </w:rPr>
        <w:t>XVIII. Załączniki do SIWZ</w:t>
      </w:r>
      <w:bookmarkEnd w:id="76"/>
    </w:p>
    <w:p w:rsidR="003902CE" w:rsidRDefault="003902CE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3902CE" w:rsidRPr="00A87475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Projekty</w:t>
      </w:r>
      <w:r>
        <w:rPr>
          <w:rFonts w:ascii="Arial" w:hAnsi="Arial" w:cs="Arial"/>
          <w:sz w:val="24"/>
          <w:szCs w:val="24"/>
        </w:rPr>
        <w:t>, Projekty Zamienne</w:t>
      </w:r>
      <w:r w:rsidRPr="00A87475">
        <w:rPr>
          <w:rFonts w:ascii="Arial" w:hAnsi="Arial" w:cs="Arial"/>
          <w:sz w:val="24"/>
          <w:szCs w:val="24"/>
        </w:rPr>
        <w:t xml:space="preserve"> - Załącznik Nr 1a;</w:t>
      </w:r>
    </w:p>
    <w:p w:rsidR="003902CE" w:rsidRPr="00A87475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Przedmiary robót - Załącznik Nr 1b;</w:t>
      </w:r>
    </w:p>
    <w:p w:rsidR="003902CE" w:rsidRPr="00A87475" w:rsidRDefault="003902CE" w:rsidP="00CB1AE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Specyfikacje techniczne wykonania i odbioru robót - Załącznik Nr 1c;</w:t>
      </w:r>
    </w:p>
    <w:p w:rsidR="003902CE" w:rsidRPr="00A87475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 umowy - Załącznik Nr 2;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 przynależności do grupy kapitałowej – Załącznik Nr 3a;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3902CE" w:rsidRDefault="003902CE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</w:t>
      </w:r>
      <w:r>
        <w:rPr>
          <w:rFonts w:ascii="Arial" w:hAnsi="Arial" w:cs="Arial"/>
          <w:sz w:val="24"/>
          <w:szCs w:val="24"/>
        </w:rPr>
        <w:t>a</w:t>
      </w:r>
      <w:r w:rsidRPr="00C163F4">
        <w:rPr>
          <w:rFonts w:ascii="Arial" w:hAnsi="Arial" w:cs="Arial"/>
          <w:sz w:val="24"/>
          <w:szCs w:val="24"/>
        </w:rPr>
        <w:t>;</w:t>
      </w:r>
    </w:p>
    <w:p w:rsidR="003902CE" w:rsidRDefault="003902CE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3902CE" w:rsidSect="009164C0">
      <w:footerReference w:type="default" r:id="rId13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CE" w:rsidRDefault="003902CE">
      <w:r>
        <w:separator/>
      </w:r>
    </w:p>
  </w:endnote>
  <w:endnote w:type="continuationSeparator" w:id="0">
    <w:p w:rsidR="003902CE" w:rsidRDefault="0039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CE" w:rsidRPr="00A47E0F" w:rsidRDefault="003902CE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CE" w:rsidRDefault="003902CE">
      <w:r>
        <w:separator/>
      </w:r>
    </w:p>
  </w:footnote>
  <w:footnote w:type="continuationSeparator" w:id="0">
    <w:p w:rsidR="003902CE" w:rsidRDefault="0039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8272F156"/>
    <w:lvl w:ilvl="0" w:tplc="0FB05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37"/>
  </w:num>
  <w:num w:numId="8">
    <w:abstractNumId w:val="4"/>
  </w:num>
  <w:num w:numId="9">
    <w:abstractNumId w:val="38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35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14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"/>
  </w:num>
  <w:num w:numId="26">
    <w:abstractNumId w:val="34"/>
  </w:num>
  <w:num w:numId="27">
    <w:abstractNumId w:val="9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36"/>
  </w:num>
  <w:num w:numId="37">
    <w:abstractNumId w:val="15"/>
  </w:num>
  <w:num w:numId="38">
    <w:abstractNumId w:val="27"/>
  </w:num>
  <w:num w:numId="39">
    <w:abstractNumId w:val="29"/>
  </w:num>
  <w:num w:numId="4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08D5"/>
    <w:rsid w:val="000034AD"/>
    <w:rsid w:val="00003586"/>
    <w:rsid w:val="000135D2"/>
    <w:rsid w:val="0001384B"/>
    <w:rsid w:val="00017C41"/>
    <w:rsid w:val="00021110"/>
    <w:rsid w:val="00033226"/>
    <w:rsid w:val="00034535"/>
    <w:rsid w:val="00034EDA"/>
    <w:rsid w:val="00035151"/>
    <w:rsid w:val="000402F5"/>
    <w:rsid w:val="00040DE7"/>
    <w:rsid w:val="000447F9"/>
    <w:rsid w:val="000475CD"/>
    <w:rsid w:val="000509CC"/>
    <w:rsid w:val="00051CBC"/>
    <w:rsid w:val="00052551"/>
    <w:rsid w:val="00052A86"/>
    <w:rsid w:val="00056268"/>
    <w:rsid w:val="0005707A"/>
    <w:rsid w:val="0005766F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2CC"/>
    <w:rsid w:val="00072CFC"/>
    <w:rsid w:val="0007330A"/>
    <w:rsid w:val="000764CB"/>
    <w:rsid w:val="00077A7E"/>
    <w:rsid w:val="000805FF"/>
    <w:rsid w:val="00081B9B"/>
    <w:rsid w:val="00081EC1"/>
    <w:rsid w:val="00092CB9"/>
    <w:rsid w:val="00092DA6"/>
    <w:rsid w:val="00094C53"/>
    <w:rsid w:val="000A634B"/>
    <w:rsid w:val="000A6CC0"/>
    <w:rsid w:val="000B020B"/>
    <w:rsid w:val="000B3A7F"/>
    <w:rsid w:val="000B3E1B"/>
    <w:rsid w:val="000C26C2"/>
    <w:rsid w:val="000D15E3"/>
    <w:rsid w:val="000D1D42"/>
    <w:rsid w:val="000D33EA"/>
    <w:rsid w:val="000D3C1D"/>
    <w:rsid w:val="000D3F87"/>
    <w:rsid w:val="000D4870"/>
    <w:rsid w:val="000D4E32"/>
    <w:rsid w:val="000E132F"/>
    <w:rsid w:val="000E3BB0"/>
    <w:rsid w:val="000F1455"/>
    <w:rsid w:val="000F1578"/>
    <w:rsid w:val="000F26EF"/>
    <w:rsid w:val="000F3214"/>
    <w:rsid w:val="000F33A4"/>
    <w:rsid w:val="000F4D16"/>
    <w:rsid w:val="001008F0"/>
    <w:rsid w:val="00100CA9"/>
    <w:rsid w:val="00101683"/>
    <w:rsid w:val="001024AA"/>
    <w:rsid w:val="001045A9"/>
    <w:rsid w:val="00107865"/>
    <w:rsid w:val="00110811"/>
    <w:rsid w:val="0011231F"/>
    <w:rsid w:val="00113F39"/>
    <w:rsid w:val="00114DF5"/>
    <w:rsid w:val="00116942"/>
    <w:rsid w:val="001216E1"/>
    <w:rsid w:val="00122269"/>
    <w:rsid w:val="0012441A"/>
    <w:rsid w:val="00126535"/>
    <w:rsid w:val="00126833"/>
    <w:rsid w:val="00126979"/>
    <w:rsid w:val="001304B7"/>
    <w:rsid w:val="00132574"/>
    <w:rsid w:val="00132779"/>
    <w:rsid w:val="0013425C"/>
    <w:rsid w:val="00135940"/>
    <w:rsid w:val="001374DD"/>
    <w:rsid w:val="00137973"/>
    <w:rsid w:val="001408E0"/>
    <w:rsid w:val="00140BBD"/>
    <w:rsid w:val="001429A4"/>
    <w:rsid w:val="00142CE2"/>
    <w:rsid w:val="001433EC"/>
    <w:rsid w:val="0014361D"/>
    <w:rsid w:val="0014490C"/>
    <w:rsid w:val="0014598D"/>
    <w:rsid w:val="00147A30"/>
    <w:rsid w:val="00150C71"/>
    <w:rsid w:val="00152A48"/>
    <w:rsid w:val="00153CA6"/>
    <w:rsid w:val="00154413"/>
    <w:rsid w:val="001555D4"/>
    <w:rsid w:val="0015576B"/>
    <w:rsid w:val="00155B0E"/>
    <w:rsid w:val="00156B58"/>
    <w:rsid w:val="00157B2F"/>
    <w:rsid w:val="0016191B"/>
    <w:rsid w:val="00161E3F"/>
    <w:rsid w:val="00163049"/>
    <w:rsid w:val="00165D36"/>
    <w:rsid w:val="00165F21"/>
    <w:rsid w:val="001679C3"/>
    <w:rsid w:val="00170213"/>
    <w:rsid w:val="0017079E"/>
    <w:rsid w:val="00173B0E"/>
    <w:rsid w:val="00173D16"/>
    <w:rsid w:val="001754B6"/>
    <w:rsid w:val="001756DD"/>
    <w:rsid w:val="00175D3B"/>
    <w:rsid w:val="00175DD2"/>
    <w:rsid w:val="001776BF"/>
    <w:rsid w:val="00181CFE"/>
    <w:rsid w:val="0018225F"/>
    <w:rsid w:val="00186415"/>
    <w:rsid w:val="00186764"/>
    <w:rsid w:val="001868C7"/>
    <w:rsid w:val="0018761A"/>
    <w:rsid w:val="001923C4"/>
    <w:rsid w:val="0019442D"/>
    <w:rsid w:val="00194A46"/>
    <w:rsid w:val="001974B6"/>
    <w:rsid w:val="001A090A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289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0B3E"/>
    <w:rsid w:val="001E13E9"/>
    <w:rsid w:val="001E28BB"/>
    <w:rsid w:val="001E34C9"/>
    <w:rsid w:val="001E3574"/>
    <w:rsid w:val="001E4100"/>
    <w:rsid w:val="001E7EB4"/>
    <w:rsid w:val="001F07E6"/>
    <w:rsid w:val="001F137A"/>
    <w:rsid w:val="001F24EB"/>
    <w:rsid w:val="001F3A0E"/>
    <w:rsid w:val="001F4B30"/>
    <w:rsid w:val="001F6677"/>
    <w:rsid w:val="00201B88"/>
    <w:rsid w:val="00204E5F"/>
    <w:rsid w:val="002057B7"/>
    <w:rsid w:val="00206136"/>
    <w:rsid w:val="00207E27"/>
    <w:rsid w:val="0021181A"/>
    <w:rsid w:val="0021295A"/>
    <w:rsid w:val="00214D25"/>
    <w:rsid w:val="00215494"/>
    <w:rsid w:val="00216103"/>
    <w:rsid w:val="002220DE"/>
    <w:rsid w:val="00222A18"/>
    <w:rsid w:val="002231BC"/>
    <w:rsid w:val="002238D7"/>
    <w:rsid w:val="00224336"/>
    <w:rsid w:val="00224E03"/>
    <w:rsid w:val="00225979"/>
    <w:rsid w:val="00227B15"/>
    <w:rsid w:val="002328E1"/>
    <w:rsid w:val="00235BCC"/>
    <w:rsid w:val="002373B4"/>
    <w:rsid w:val="00237A8A"/>
    <w:rsid w:val="00237DFF"/>
    <w:rsid w:val="00240396"/>
    <w:rsid w:val="00240D1F"/>
    <w:rsid w:val="00243B18"/>
    <w:rsid w:val="00247CD6"/>
    <w:rsid w:val="00250298"/>
    <w:rsid w:val="0025040F"/>
    <w:rsid w:val="0025058D"/>
    <w:rsid w:val="00250A49"/>
    <w:rsid w:val="00252204"/>
    <w:rsid w:val="00254B57"/>
    <w:rsid w:val="0025614F"/>
    <w:rsid w:val="00256AF9"/>
    <w:rsid w:val="00256E85"/>
    <w:rsid w:val="0026171B"/>
    <w:rsid w:val="00262958"/>
    <w:rsid w:val="0027017B"/>
    <w:rsid w:val="00271396"/>
    <w:rsid w:val="00274DE4"/>
    <w:rsid w:val="002752D2"/>
    <w:rsid w:val="00276ED9"/>
    <w:rsid w:val="00277F66"/>
    <w:rsid w:val="00285FFA"/>
    <w:rsid w:val="002900C6"/>
    <w:rsid w:val="00291B76"/>
    <w:rsid w:val="002A542C"/>
    <w:rsid w:val="002A592F"/>
    <w:rsid w:val="002A6E1B"/>
    <w:rsid w:val="002A75FB"/>
    <w:rsid w:val="002A76E9"/>
    <w:rsid w:val="002B5994"/>
    <w:rsid w:val="002B67D2"/>
    <w:rsid w:val="002B78A4"/>
    <w:rsid w:val="002C058B"/>
    <w:rsid w:val="002C1B63"/>
    <w:rsid w:val="002D0C97"/>
    <w:rsid w:val="002D3465"/>
    <w:rsid w:val="002D37AF"/>
    <w:rsid w:val="002D4246"/>
    <w:rsid w:val="002D623D"/>
    <w:rsid w:val="002D6B60"/>
    <w:rsid w:val="002E000E"/>
    <w:rsid w:val="002E0427"/>
    <w:rsid w:val="002E0FBD"/>
    <w:rsid w:val="002E3325"/>
    <w:rsid w:val="002E4A87"/>
    <w:rsid w:val="002E713E"/>
    <w:rsid w:val="002E757C"/>
    <w:rsid w:val="002E7D9C"/>
    <w:rsid w:val="002F1830"/>
    <w:rsid w:val="002F3525"/>
    <w:rsid w:val="002F3C44"/>
    <w:rsid w:val="002F4283"/>
    <w:rsid w:val="002F58B6"/>
    <w:rsid w:val="002F5BFA"/>
    <w:rsid w:val="00300747"/>
    <w:rsid w:val="0030106A"/>
    <w:rsid w:val="003037BF"/>
    <w:rsid w:val="003138C9"/>
    <w:rsid w:val="003152BD"/>
    <w:rsid w:val="003153DA"/>
    <w:rsid w:val="00317F14"/>
    <w:rsid w:val="0032016D"/>
    <w:rsid w:val="00320A19"/>
    <w:rsid w:val="00325805"/>
    <w:rsid w:val="00327B8B"/>
    <w:rsid w:val="00330660"/>
    <w:rsid w:val="00331239"/>
    <w:rsid w:val="0033173D"/>
    <w:rsid w:val="0033277A"/>
    <w:rsid w:val="003330C2"/>
    <w:rsid w:val="00333C4C"/>
    <w:rsid w:val="00334EE1"/>
    <w:rsid w:val="0033624D"/>
    <w:rsid w:val="0033749B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997"/>
    <w:rsid w:val="003638B3"/>
    <w:rsid w:val="00364820"/>
    <w:rsid w:val="0036526A"/>
    <w:rsid w:val="0036570E"/>
    <w:rsid w:val="00365A3F"/>
    <w:rsid w:val="00365B05"/>
    <w:rsid w:val="00366CB6"/>
    <w:rsid w:val="00370060"/>
    <w:rsid w:val="00370E72"/>
    <w:rsid w:val="003726E6"/>
    <w:rsid w:val="003730E1"/>
    <w:rsid w:val="00373D1F"/>
    <w:rsid w:val="003823E1"/>
    <w:rsid w:val="00386019"/>
    <w:rsid w:val="00386980"/>
    <w:rsid w:val="00387469"/>
    <w:rsid w:val="003902CE"/>
    <w:rsid w:val="00391AE3"/>
    <w:rsid w:val="003933C9"/>
    <w:rsid w:val="003944EE"/>
    <w:rsid w:val="003950E5"/>
    <w:rsid w:val="003A3ACF"/>
    <w:rsid w:val="003A3B27"/>
    <w:rsid w:val="003A4232"/>
    <w:rsid w:val="003B03CA"/>
    <w:rsid w:val="003B17AF"/>
    <w:rsid w:val="003B31D9"/>
    <w:rsid w:val="003B46EA"/>
    <w:rsid w:val="003B6895"/>
    <w:rsid w:val="003C14A8"/>
    <w:rsid w:val="003C1CB9"/>
    <w:rsid w:val="003C4C97"/>
    <w:rsid w:val="003C6139"/>
    <w:rsid w:val="003C72B1"/>
    <w:rsid w:val="003C73C5"/>
    <w:rsid w:val="003D03DC"/>
    <w:rsid w:val="003D42A0"/>
    <w:rsid w:val="003D464B"/>
    <w:rsid w:val="003E43C3"/>
    <w:rsid w:val="003E7C9C"/>
    <w:rsid w:val="003F1E7A"/>
    <w:rsid w:val="003F22F1"/>
    <w:rsid w:val="003F61F4"/>
    <w:rsid w:val="003F6DFB"/>
    <w:rsid w:val="00401277"/>
    <w:rsid w:val="00407EE8"/>
    <w:rsid w:val="0041100E"/>
    <w:rsid w:val="004116DB"/>
    <w:rsid w:val="00411987"/>
    <w:rsid w:val="0041248A"/>
    <w:rsid w:val="004140B8"/>
    <w:rsid w:val="00415CE9"/>
    <w:rsid w:val="00416024"/>
    <w:rsid w:val="00417CD8"/>
    <w:rsid w:val="00420E33"/>
    <w:rsid w:val="00422E0D"/>
    <w:rsid w:val="00423D54"/>
    <w:rsid w:val="00425E8C"/>
    <w:rsid w:val="00430220"/>
    <w:rsid w:val="004316B2"/>
    <w:rsid w:val="00431F53"/>
    <w:rsid w:val="00433CD0"/>
    <w:rsid w:val="00434C22"/>
    <w:rsid w:val="00441FD3"/>
    <w:rsid w:val="00443064"/>
    <w:rsid w:val="004437FD"/>
    <w:rsid w:val="004456DA"/>
    <w:rsid w:val="00450635"/>
    <w:rsid w:val="00450E74"/>
    <w:rsid w:val="00452625"/>
    <w:rsid w:val="0045505D"/>
    <w:rsid w:val="00456A7C"/>
    <w:rsid w:val="00457104"/>
    <w:rsid w:val="004614E4"/>
    <w:rsid w:val="00462FFD"/>
    <w:rsid w:val="00463E09"/>
    <w:rsid w:val="00464783"/>
    <w:rsid w:val="00465D8C"/>
    <w:rsid w:val="00467649"/>
    <w:rsid w:val="00472D1B"/>
    <w:rsid w:val="004731B0"/>
    <w:rsid w:val="00473C43"/>
    <w:rsid w:val="00476F2E"/>
    <w:rsid w:val="004778E6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0FF"/>
    <w:rsid w:val="004932D8"/>
    <w:rsid w:val="00494A0B"/>
    <w:rsid w:val="00494D67"/>
    <w:rsid w:val="0049758E"/>
    <w:rsid w:val="004A3035"/>
    <w:rsid w:val="004A7B34"/>
    <w:rsid w:val="004B08C4"/>
    <w:rsid w:val="004B0E43"/>
    <w:rsid w:val="004B1117"/>
    <w:rsid w:val="004B49C4"/>
    <w:rsid w:val="004B4F31"/>
    <w:rsid w:val="004B5549"/>
    <w:rsid w:val="004B787C"/>
    <w:rsid w:val="004B7AF5"/>
    <w:rsid w:val="004C0243"/>
    <w:rsid w:val="004C0AA5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5A5"/>
    <w:rsid w:val="00501167"/>
    <w:rsid w:val="00504D48"/>
    <w:rsid w:val="00505827"/>
    <w:rsid w:val="00506022"/>
    <w:rsid w:val="00510C81"/>
    <w:rsid w:val="00511BB9"/>
    <w:rsid w:val="00515849"/>
    <w:rsid w:val="00516715"/>
    <w:rsid w:val="0052282C"/>
    <w:rsid w:val="00522C25"/>
    <w:rsid w:val="00522F8B"/>
    <w:rsid w:val="005231A7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6153B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A153E"/>
    <w:rsid w:val="005A3CBE"/>
    <w:rsid w:val="005A6071"/>
    <w:rsid w:val="005A686A"/>
    <w:rsid w:val="005A694E"/>
    <w:rsid w:val="005A7096"/>
    <w:rsid w:val="005A7818"/>
    <w:rsid w:val="005B3C58"/>
    <w:rsid w:val="005B3D6D"/>
    <w:rsid w:val="005B57CD"/>
    <w:rsid w:val="005B5AC8"/>
    <w:rsid w:val="005B7AF3"/>
    <w:rsid w:val="005C491B"/>
    <w:rsid w:val="005C4E61"/>
    <w:rsid w:val="005C7707"/>
    <w:rsid w:val="005D08AE"/>
    <w:rsid w:val="005D0A63"/>
    <w:rsid w:val="005D1D2C"/>
    <w:rsid w:val="005D35BB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06B3"/>
    <w:rsid w:val="005F3D29"/>
    <w:rsid w:val="005F4A5E"/>
    <w:rsid w:val="005F4EAA"/>
    <w:rsid w:val="005F5998"/>
    <w:rsid w:val="005F69AA"/>
    <w:rsid w:val="005F74D5"/>
    <w:rsid w:val="00601B1A"/>
    <w:rsid w:val="006031E6"/>
    <w:rsid w:val="006046D3"/>
    <w:rsid w:val="00606A60"/>
    <w:rsid w:val="00607B69"/>
    <w:rsid w:val="006133CE"/>
    <w:rsid w:val="00615D7A"/>
    <w:rsid w:val="00616D5B"/>
    <w:rsid w:val="00616DD8"/>
    <w:rsid w:val="00621FDF"/>
    <w:rsid w:val="006223E0"/>
    <w:rsid w:val="00622D5E"/>
    <w:rsid w:val="00623DD0"/>
    <w:rsid w:val="00623E38"/>
    <w:rsid w:val="00626CA8"/>
    <w:rsid w:val="00626F31"/>
    <w:rsid w:val="0062741F"/>
    <w:rsid w:val="00627434"/>
    <w:rsid w:val="0063254A"/>
    <w:rsid w:val="006339B3"/>
    <w:rsid w:val="00633AEA"/>
    <w:rsid w:val="0063548F"/>
    <w:rsid w:val="00636730"/>
    <w:rsid w:val="00636B38"/>
    <w:rsid w:val="00637FC7"/>
    <w:rsid w:val="00641C0B"/>
    <w:rsid w:val="00641D13"/>
    <w:rsid w:val="00641E91"/>
    <w:rsid w:val="0064435D"/>
    <w:rsid w:val="00646205"/>
    <w:rsid w:val="00646FB3"/>
    <w:rsid w:val="00654750"/>
    <w:rsid w:val="00655D10"/>
    <w:rsid w:val="00655FDE"/>
    <w:rsid w:val="00663A45"/>
    <w:rsid w:val="00666DB2"/>
    <w:rsid w:val="00672206"/>
    <w:rsid w:val="00673787"/>
    <w:rsid w:val="00674B39"/>
    <w:rsid w:val="00674F11"/>
    <w:rsid w:val="0067601E"/>
    <w:rsid w:val="0067738B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B7EAB"/>
    <w:rsid w:val="006C00C3"/>
    <w:rsid w:val="006C269E"/>
    <w:rsid w:val="006C2B3A"/>
    <w:rsid w:val="006C545D"/>
    <w:rsid w:val="006C76EC"/>
    <w:rsid w:val="006D7143"/>
    <w:rsid w:val="006E1197"/>
    <w:rsid w:val="006E12AA"/>
    <w:rsid w:val="006E2621"/>
    <w:rsid w:val="006E297E"/>
    <w:rsid w:val="006E2D88"/>
    <w:rsid w:val="006E30C5"/>
    <w:rsid w:val="006F0FAC"/>
    <w:rsid w:val="006F1C4E"/>
    <w:rsid w:val="006F21E2"/>
    <w:rsid w:val="006F2EE7"/>
    <w:rsid w:val="006F4076"/>
    <w:rsid w:val="006F58F6"/>
    <w:rsid w:val="006F6D7C"/>
    <w:rsid w:val="006F7B6E"/>
    <w:rsid w:val="00701FA8"/>
    <w:rsid w:val="007026E6"/>
    <w:rsid w:val="00704977"/>
    <w:rsid w:val="007065DF"/>
    <w:rsid w:val="007143C6"/>
    <w:rsid w:val="00716F0E"/>
    <w:rsid w:val="0071748B"/>
    <w:rsid w:val="0072086F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5D31"/>
    <w:rsid w:val="007464C0"/>
    <w:rsid w:val="00751E2F"/>
    <w:rsid w:val="0075383D"/>
    <w:rsid w:val="00754330"/>
    <w:rsid w:val="00755760"/>
    <w:rsid w:val="007572EF"/>
    <w:rsid w:val="0075763B"/>
    <w:rsid w:val="0076346B"/>
    <w:rsid w:val="00764331"/>
    <w:rsid w:val="0076493C"/>
    <w:rsid w:val="00765023"/>
    <w:rsid w:val="00765B2C"/>
    <w:rsid w:val="00765C7E"/>
    <w:rsid w:val="0077055B"/>
    <w:rsid w:val="007721D0"/>
    <w:rsid w:val="00774253"/>
    <w:rsid w:val="007764C4"/>
    <w:rsid w:val="00780F7C"/>
    <w:rsid w:val="0078170B"/>
    <w:rsid w:val="00787A06"/>
    <w:rsid w:val="00793766"/>
    <w:rsid w:val="007941B6"/>
    <w:rsid w:val="00794ADD"/>
    <w:rsid w:val="00795A1C"/>
    <w:rsid w:val="00795CDE"/>
    <w:rsid w:val="007A1ABF"/>
    <w:rsid w:val="007A1FB3"/>
    <w:rsid w:val="007A34A8"/>
    <w:rsid w:val="007A459F"/>
    <w:rsid w:val="007A4CBE"/>
    <w:rsid w:val="007A5E2C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1B72"/>
    <w:rsid w:val="007D25B6"/>
    <w:rsid w:val="007D2704"/>
    <w:rsid w:val="007D7744"/>
    <w:rsid w:val="007E29B9"/>
    <w:rsid w:val="007E4496"/>
    <w:rsid w:val="007F18B2"/>
    <w:rsid w:val="007F4265"/>
    <w:rsid w:val="007F5661"/>
    <w:rsid w:val="007F5B65"/>
    <w:rsid w:val="007F7041"/>
    <w:rsid w:val="00800A1E"/>
    <w:rsid w:val="00804BA6"/>
    <w:rsid w:val="00807166"/>
    <w:rsid w:val="00812FD7"/>
    <w:rsid w:val="00813934"/>
    <w:rsid w:val="008155EC"/>
    <w:rsid w:val="0081566B"/>
    <w:rsid w:val="008171FE"/>
    <w:rsid w:val="00820740"/>
    <w:rsid w:val="00821E44"/>
    <w:rsid w:val="0082718D"/>
    <w:rsid w:val="00827B8D"/>
    <w:rsid w:val="00831090"/>
    <w:rsid w:val="00834609"/>
    <w:rsid w:val="00834FEF"/>
    <w:rsid w:val="008350FA"/>
    <w:rsid w:val="00840657"/>
    <w:rsid w:val="0084237D"/>
    <w:rsid w:val="00844408"/>
    <w:rsid w:val="008445EA"/>
    <w:rsid w:val="00845214"/>
    <w:rsid w:val="00846680"/>
    <w:rsid w:val="00846AEB"/>
    <w:rsid w:val="00847314"/>
    <w:rsid w:val="00851E14"/>
    <w:rsid w:val="008527ED"/>
    <w:rsid w:val="00860799"/>
    <w:rsid w:val="00860B70"/>
    <w:rsid w:val="00860EAC"/>
    <w:rsid w:val="008621DF"/>
    <w:rsid w:val="0087232B"/>
    <w:rsid w:val="0087244C"/>
    <w:rsid w:val="008736C3"/>
    <w:rsid w:val="00873CCC"/>
    <w:rsid w:val="00874036"/>
    <w:rsid w:val="0087520E"/>
    <w:rsid w:val="008766A9"/>
    <w:rsid w:val="008776D8"/>
    <w:rsid w:val="00882FCB"/>
    <w:rsid w:val="00884A04"/>
    <w:rsid w:val="00885C1F"/>
    <w:rsid w:val="00893793"/>
    <w:rsid w:val="00894EFB"/>
    <w:rsid w:val="008975DE"/>
    <w:rsid w:val="0089769E"/>
    <w:rsid w:val="008A0BED"/>
    <w:rsid w:val="008A46EF"/>
    <w:rsid w:val="008A4E5E"/>
    <w:rsid w:val="008A73A7"/>
    <w:rsid w:val="008B31AB"/>
    <w:rsid w:val="008B5D6A"/>
    <w:rsid w:val="008B7E7D"/>
    <w:rsid w:val="008C155A"/>
    <w:rsid w:val="008C2EFB"/>
    <w:rsid w:val="008C363E"/>
    <w:rsid w:val="008D04F9"/>
    <w:rsid w:val="008D0886"/>
    <w:rsid w:val="008D1B96"/>
    <w:rsid w:val="008D3F2F"/>
    <w:rsid w:val="008D40DD"/>
    <w:rsid w:val="008D6B50"/>
    <w:rsid w:val="008E1BE7"/>
    <w:rsid w:val="008E442B"/>
    <w:rsid w:val="008E5533"/>
    <w:rsid w:val="008E576E"/>
    <w:rsid w:val="008E6501"/>
    <w:rsid w:val="008E7464"/>
    <w:rsid w:val="008F134D"/>
    <w:rsid w:val="008F24BE"/>
    <w:rsid w:val="008F35C4"/>
    <w:rsid w:val="008F4455"/>
    <w:rsid w:val="008F447F"/>
    <w:rsid w:val="008F4D67"/>
    <w:rsid w:val="008F59CA"/>
    <w:rsid w:val="008F5B35"/>
    <w:rsid w:val="008F6AB9"/>
    <w:rsid w:val="00901F1B"/>
    <w:rsid w:val="009023DE"/>
    <w:rsid w:val="009027C7"/>
    <w:rsid w:val="00902C48"/>
    <w:rsid w:val="009033F8"/>
    <w:rsid w:val="0090412A"/>
    <w:rsid w:val="00904963"/>
    <w:rsid w:val="00907243"/>
    <w:rsid w:val="0090759C"/>
    <w:rsid w:val="009114DA"/>
    <w:rsid w:val="00911BDD"/>
    <w:rsid w:val="009120BF"/>
    <w:rsid w:val="009127C4"/>
    <w:rsid w:val="0091312D"/>
    <w:rsid w:val="00914E94"/>
    <w:rsid w:val="00915F56"/>
    <w:rsid w:val="009164C0"/>
    <w:rsid w:val="00923BC1"/>
    <w:rsid w:val="009248D5"/>
    <w:rsid w:val="00925FCD"/>
    <w:rsid w:val="0092744D"/>
    <w:rsid w:val="00930210"/>
    <w:rsid w:val="009328BA"/>
    <w:rsid w:val="009353B5"/>
    <w:rsid w:val="00943180"/>
    <w:rsid w:val="009454CB"/>
    <w:rsid w:val="00945B37"/>
    <w:rsid w:val="009504F8"/>
    <w:rsid w:val="0095129C"/>
    <w:rsid w:val="00952751"/>
    <w:rsid w:val="00955900"/>
    <w:rsid w:val="00957AFC"/>
    <w:rsid w:val="00960538"/>
    <w:rsid w:val="009643A6"/>
    <w:rsid w:val="00964E58"/>
    <w:rsid w:val="00964F2B"/>
    <w:rsid w:val="0096521B"/>
    <w:rsid w:val="00965F9A"/>
    <w:rsid w:val="00966D3F"/>
    <w:rsid w:val="009673DE"/>
    <w:rsid w:val="00967BC8"/>
    <w:rsid w:val="0097197D"/>
    <w:rsid w:val="009767EF"/>
    <w:rsid w:val="00977971"/>
    <w:rsid w:val="0098039F"/>
    <w:rsid w:val="009845AA"/>
    <w:rsid w:val="0098478D"/>
    <w:rsid w:val="00985998"/>
    <w:rsid w:val="00985A8A"/>
    <w:rsid w:val="009864B2"/>
    <w:rsid w:val="00991340"/>
    <w:rsid w:val="00993E32"/>
    <w:rsid w:val="00994AFA"/>
    <w:rsid w:val="00996063"/>
    <w:rsid w:val="00996B21"/>
    <w:rsid w:val="00997E0C"/>
    <w:rsid w:val="009A1046"/>
    <w:rsid w:val="009A3B83"/>
    <w:rsid w:val="009A42F7"/>
    <w:rsid w:val="009A7DFC"/>
    <w:rsid w:val="009B1BB9"/>
    <w:rsid w:val="009B4503"/>
    <w:rsid w:val="009B4F6C"/>
    <w:rsid w:val="009B5A0C"/>
    <w:rsid w:val="009B73DA"/>
    <w:rsid w:val="009C6E20"/>
    <w:rsid w:val="009C735B"/>
    <w:rsid w:val="009D0257"/>
    <w:rsid w:val="009D05F9"/>
    <w:rsid w:val="009D6E18"/>
    <w:rsid w:val="009E0148"/>
    <w:rsid w:val="009E03A7"/>
    <w:rsid w:val="009E0C9C"/>
    <w:rsid w:val="009E38FD"/>
    <w:rsid w:val="009E52B2"/>
    <w:rsid w:val="009F0614"/>
    <w:rsid w:val="009F0E0F"/>
    <w:rsid w:val="009F11C6"/>
    <w:rsid w:val="009F37A5"/>
    <w:rsid w:val="009F599A"/>
    <w:rsid w:val="009F66EF"/>
    <w:rsid w:val="00A01AA0"/>
    <w:rsid w:val="00A03529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CDA"/>
    <w:rsid w:val="00A33D57"/>
    <w:rsid w:val="00A33E0B"/>
    <w:rsid w:val="00A3468E"/>
    <w:rsid w:val="00A34752"/>
    <w:rsid w:val="00A35164"/>
    <w:rsid w:val="00A35D4B"/>
    <w:rsid w:val="00A375E9"/>
    <w:rsid w:val="00A4094F"/>
    <w:rsid w:val="00A409FF"/>
    <w:rsid w:val="00A412DE"/>
    <w:rsid w:val="00A43571"/>
    <w:rsid w:val="00A4379F"/>
    <w:rsid w:val="00A43F78"/>
    <w:rsid w:val="00A4468F"/>
    <w:rsid w:val="00A4572F"/>
    <w:rsid w:val="00A47E0F"/>
    <w:rsid w:val="00A5049F"/>
    <w:rsid w:val="00A51938"/>
    <w:rsid w:val="00A51A9E"/>
    <w:rsid w:val="00A54593"/>
    <w:rsid w:val="00A55A05"/>
    <w:rsid w:val="00A566B4"/>
    <w:rsid w:val="00A56BB0"/>
    <w:rsid w:val="00A57D2B"/>
    <w:rsid w:val="00A600CD"/>
    <w:rsid w:val="00A60460"/>
    <w:rsid w:val="00A63824"/>
    <w:rsid w:val="00A65463"/>
    <w:rsid w:val="00A65774"/>
    <w:rsid w:val="00A66715"/>
    <w:rsid w:val="00A6736A"/>
    <w:rsid w:val="00A71F0D"/>
    <w:rsid w:val="00A720A1"/>
    <w:rsid w:val="00A74C66"/>
    <w:rsid w:val="00A74F33"/>
    <w:rsid w:val="00A755AF"/>
    <w:rsid w:val="00A75790"/>
    <w:rsid w:val="00A766C2"/>
    <w:rsid w:val="00A76F84"/>
    <w:rsid w:val="00A8008E"/>
    <w:rsid w:val="00A817D9"/>
    <w:rsid w:val="00A81B39"/>
    <w:rsid w:val="00A81C5F"/>
    <w:rsid w:val="00A8231B"/>
    <w:rsid w:val="00A823C7"/>
    <w:rsid w:val="00A8373D"/>
    <w:rsid w:val="00A83E4E"/>
    <w:rsid w:val="00A847A9"/>
    <w:rsid w:val="00A87475"/>
    <w:rsid w:val="00A879AF"/>
    <w:rsid w:val="00A963E7"/>
    <w:rsid w:val="00A96AF8"/>
    <w:rsid w:val="00A97E51"/>
    <w:rsid w:val="00AA61FD"/>
    <w:rsid w:val="00AB2705"/>
    <w:rsid w:val="00AB3B0A"/>
    <w:rsid w:val="00AB5653"/>
    <w:rsid w:val="00AC00D9"/>
    <w:rsid w:val="00AC3287"/>
    <w:rsid w:val="00AC453F"/>
    <w:rsid w:val="00AC5D27"/>
    <w:rsid w:val="00AD24A4"/>
    <w:rsid w:val="00AD394D"/>
    <w:rsid w:val="00AD39B2"/>
    <w:rsid w:val="00AD7D03"/>
    <w:rsid w:val="00AE09EE"/>
    <w:rsid w:val="00AE1A88"/>
    <w:rsid w:val="00AE46E6"/>
    <w:rsid w:val="00AE6050"/>
    <w:rsid w:val="00AE6402"/>
    <w:rsid w:val="00AE6A86"/>
    <w:rsid w:val="00AE6CBA"/>
    <w:rsid w:val="00AE7297"/>
    <w:rsid w:val="00AF1833"/>
    <w:rsid w:val="00AF204B"/>
    <w:rsid w:val="00AF3167"/>
    <w:rsid w:val="00AF3CAF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21B1F"/>
    <w:rsid w:val="00B225C6"/>
    <w:rsid w:val="00B23C5B"/>
    <w:rsid w:val="00B245C6"/>
    <w:rsid w:val="00B24E21"/>
    <w:rsid w:val="00B3184E"/>
    <w:rsid w:val="00B31AD7"/>
    <w:rsid w:val="00B346FE"/>
    <w:rsid w:val="00B361C2"/>
    <w:rsid w:val="00B3747E"/>
    <w:rsid w:val="00B402FD"/>
    <w:rsid w:val="00B403D5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2454"/>
    <w:rsid w:val="00B6450C"/>
    <w:rsid w:val="00B659B6"/>
    <w:rsid w:val="00B678D7"/>
    <w:rsid w:val="00B67ED9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32A1"/>
    <w:rsid w:val="00B94AC3"/>
    <w:rsid w:val="00B97188"/>
    <w:rsid w:val="00B97BB3"/>
    <w:rsid w:val="00B97FC4"/>
    <w:rsid w:val="00BA2D91"/>
    <w:rsid w:val="00BA350D"/>
    <w:rsid w:val="00BA6E36"/>
    <w:rsid w:val="00BB1B7E"/>
    <w:rsid w:val="00BB2353"/>
    <w:rsid w:val="00BB3CFD"/>
    <w:rsid w:val="00BB4357"/>
    <w:rsid w:val="00BB4CF3"/>
    <w:rsid w:val="00BB73FE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BE5DF6"/>
    <w:rsid w:val="00C00DD8"/>
    <w:rsid w:val="00C029DB"/>
    <w:rsid w:val="00C03DAC"/>
    <w:rsid w:val="00C042FD"/>
    <w:rsid w:val="00C04436"/>
    <w:rsid w:val="00C04504"/>
    <w:rsid w:val="00C0488F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30190"/>
    <w:rsid w:val="00C32452"/>
    <w:rsid w:val="00C33F06"/>
    <w:rsid w:val="00C35B56"/>
    <w:rsid w:val="00C44394"/>
    <w:rsid w:val="00C463F8"/>
    <w:rsid w:val="00C50FFE"/>
    <w:rsid w:val="00C51717"/>
    <w:rsid w:val="00C5695A"/>
    <w:rsid w:val="00C61490"/>
    <w:rsid w:val="00C63DE7"/>
    <w:rsid w:val="00C65841"/>
    <w:rsid w:val="00C71A8F"/>
    <w:rsid w:val="00C75D55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9E5"/>
    <w:rsid w:val="00CA6B2F"/>
    <w:rsid w:val="00CA7076"/>
    <w:rsid w:val="00CA79DB"/>
    <w:rsid w:val="00CB0853"/>
    <w:rsid w:val="00CB1AE6"/>
    <w:rsid w:val="00CB280E"/>
    <w:rsid w:val="00CB2D4E"/>
    <w:rsid w:val="00CB4644"/>
    <w:rsid w:val="00CB67EF"/>
    <w:rsid w:val="00CB70A7"/>
    <w:rsid w:val="00CB7230"/>
    <w:rsid w:val="00CC1032"/>
    <w:rsid w:val="00CC1A51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D7DEC"/>
    <w:rsid w:val="00CE2327"/>
    <w:rsid w:val="00CE4979"/>
    <w:rsid w:val="00CE4CEC"/>
    <w:rsid w:val="00CE4EA4"/>
    <w:rsid w:val="00CE57B8"/>
    <w:rsid w:val="00CE5A3A"/>
    <w:rsid w:val="00CF0373"/>
    <w:rsid w:val="00CF16F4"/>
    <w:rsid w:val="00CF2453"/>
    <w:rsid w:val="00CF3D4E"/>
    <w:rsid w:val="00CF6AB1"/>
    <w:rsid w:val="00D02283"/>
    <w:rsid w:val="00D04882"/>
    <w:rsid w:val="00D05677"/>
    <w:rsid w:val="00D058D0"/>
    <w:rsid w:val="00D05C1B"/>
    <w:rsid w:val="00D1038E"/>
    <w:rsid w:val="00D10617"/>
    <w:rsid w:val="00D10860"/>
    <w:rsid w:val="00D10F5B"/>
    <w:rsid w:val="00D1109F"/>
    <w:rsid w:val="00D12184"/>
    <w:rsid w:val="00D159BF"/>
    <w:rsid w:val="00D17317"/>
    <w:rsid w:val="00D259D7"/>
    <w:rsid w:val="00D26596"/>
    <w:rsid w:val="00D3356D"/>
    <w:rsid w:val="00D33D1F"/>
    <w:rsid w:val="00D352D4"/>
    <w:rsid w:val="00D433BA"/>
    <w:rsid w:val="00D50AD3"/>
    <w:rsid w:val="00D521E3"/>
    <w:rsid w:val="00D532EE"/>
    <w:rsid w:val="00D57901"/>
    <w:rsid w:val="00D6186A"/>
    <w:rsid w:val="00D619FE"/>
    <w:rsid w:val="00D622C5"/>
    <w:rsid w:val="00D712B0"/>
    <w:rsid w:val="00D765C1"/>
    <w:rsid w:val="00D77D10"/>
    <w:rsid w:val="00D80278"/>
    <w:rsid w:val="00D82FFD"/>
    <w:rsid w:val="00D83C45"/>
    <w:rsid w:val="00D85324"/>
    <w:rsid w:val="00D8627D"/>
    <w:rsid w:val="00D868DF"/>
    <w:rsid w:val="00D91923"/>
    <w:rsid w:val="00D927D3"/>
    <w:rsid w:val="00D927D7"/>
    <w:rsid w:val="00D962E4"/>
    <w:rsid w:val="00DA3523"/>
    <w:rsid w:val="00DA626C"/>
    <w:rsid w:val="00DB1BB9"/>
    <w:rsid w:val="00DB24F1"/>
    <w:rsid w:val="00DB2539"/>
    <w:rsid w:val="00DB5F30"/>
    <w:rsid w:val="00DB609C"/>
    <w:rsid w:val="00DB7460"/>
    <w:rsid w:val="00DC072D"/>
    <w:rsid w:val="00DC0A64"/>
    <w:rsid w:val="00DC2D2E"/>
    <w:rsid w:val="00DC4A76"/>
    <w:rsid w:val="00DC4AD7"/>
    <w:rsid w:val="00DC4B09"/>
    <w:rsid w:val="00DC5CEF"/>
    <w:rsid w:val="00DC7AE6"/>
    <w:rsid w:val="00DD0B4E"/>
    <w:rsid w:val="00DD370D"/>
    <w:rsid w:val="00DD62B5"/>
    <w:rsid w:val="00DD7FAB"/>
    <w:rsid w:val="00DE46F5"/>
    <w:rsid w:val="00DE4872"/>
    <w:rsid w:val="00DE6B64"/>
    <w:rsid w:val="00DE7098"/>
    <w:rsid w:val="00DE7D60"/>
    <w:rsid w:val="00DF141B"/>
    <w:rsid w:val="00DF4CCE"/>
    <w:rsid w:val="00DF540C"/>
    <w:rsid w:val="00DF66BD"/>
    <w:rsid w:val="00DF7738"/>
    <w:rsid w:val="00E01C0B"/>
    <w:rsid w:val="00E03285"/>
    <w:rsid w:val="00E04A42"/>
    <w:rsid w:val="00E0548E"/>
    <w:rsid w:val="00E07376"/>
    <w:rsid w:val="00E0768B"/>
    <w:rsid w:val="00E07C91"/>
    <w:rsid w:val="00E133DE"/>
    <w:rsid w:val="00E1366F"/>
    <w:rsid w:val="00E13A45"/>
    <w:rsid w:val="00E13C14"/>
    <w:rsid w:val="00E15CED"/>
    <w:rsid w:val="00E231EA"/>
    <w:rsid w:val="00E24B42"/>
    <w:rsid w:val="00E24E78"/>
    <w:rsid w:val="00E27ABB"/>
    <w:rsid w:val="00E300A5"/>
    <w:rsid w:val="00E31B34"/>
    <w:rsid w:val="00E31DA3"/>
    <w:rsid w:val="00E347AC"/>
    <w:rsid w:val="00E36347"/>
    <w:rsid w:val="00E3674B"/>
    <w:rsid w:val="00E37A09"/>
    <w:rsid w:val="00E45D46"/>
    <w:rsid w:val="00E50395"/>
    <w:rsid w:val="00E533E4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1A31"/>
    <w:rsid w:val="00E738B5"/>
    <w:rsid w:val="00E73A97"/>
    <w:rsid w:val="00E75192"/>
    <w:rsid w:val="00E75911"/>
    <w:rsid w:val="00E7701C"/>
    <w:rsid w:val="00E77304"/>
    <w:rsid w:val="00E820AE"/>
    <w:rsid w:val="00E834F0"/>
    <w:rsid w:val="00E852EF"/>
    <w:rsid w:val="00E87324"/>
    <w:rsid w:val="00E921E3"/>
    <w:rsid w:val="00E9309E"/>
    <w:rsid w:val="00E94E67"/>
    <w:rsid w:val="00E95158"/>
    <w:rsid w:val="00E95D6B"/>
    <w:rsid w:val="00E95E5D"/>
    <w:rsid w:val="00E964ED"/>
    <w:rsid w:val="00E96A1E"/>
    <w:rsid w:val="00E96F5D"/>
    <w:rsid w:val="00E97712"/>
    <w:rsid w:val="00EA1167"/>
    <w:rsid w:val="00EA27DE"/>
    <w:rsid w:val="00EA285D"/>
    <w:rsid w:val="00EA2F9B"/>
    <w:rsid w:val="00EA3019"/>
    <w:rsid w:val="00EA7998"/>
    <w:rsid w:val="00EB3F0B"/>
    <w:rsid w:val="00EB42DF"/>
    <w:rsid w:val="00EC0B80"/>
    <w:rsid w:val="00EC360D"/>
    <w:rsid w:val="00EC6095"/>
    <w:rsid w:val="00EC6FF0"/>
    <w:rsid w:val="00ED249B"/>
    <w:rsid w:val="00ED2C57"/>
    <w:rsid w:val="00ED6384"/>
    <w:rsid w:val="00ED7404"/>
    <w:rsid w:val="00ED74A1"/>
    <w:rsid w:val="00EE0AB8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ABB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4947"/>
    <w:rsid w:val="00F21095"/>
    <w:rsid w:val="00F21182"/>
    <w:rsid w:val="00F21847"/>
    <w:rsid w:val="00F2296A"/>
    <w:rsid w:val="00F2347A"/>
    <w:rsid w:val="00F24536"/>
    <w:rsid w:val="00F24D74"/>
    <w:rsid w:val="00F30A9B"/>
    <w:rsid w:val="00F30EE5"/>
    <w:rsid w:val="00F31705"/>
    <w:rsid w:val="00F319B2"/>
    <w:rsid w:val="00F335BF"/>
    <w:rsid w:val="00F359D1"/>
    <w:rsid w:val="00F36AE2"/>
    <w:rsid w:val="00F37136"/>
    <w:rsid w:val="00F37207"/>
    <w:rsid w:val="00F37D04"/>
    <w:rsid w:val="00F4099A"/>
    <w:rsid w:val="00F424FB"/>
    <w:rsid w:val="00F42ADC"/>
    <w:rsid w:val="00F42EB5"/>
    <w:rsid w:val="00F44C0D"/>
    <w:rsid w:val="00F44D1F"/>
    <w:rsid w:val="00F45802"/>
    <w:rsid w:val="00F47C62"/>
    <w:rsid w:val="00F5063B"/>
    <w:rsid w:val="00F508B7"/>
    <w:rsid w:val="00F509FF"/>
    <w:rsid w:val="00F52D7F"/>
    <w:rsid w:val="00F52E60"/>
    <w:rsid w:val="00F53159"/>
    <w:rsid w:val="00F54AA3"/>
    <w:rsid w:val="00F60C1E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3E61"/>
    <w:rsid w:val="00F75593"/>
    <w:rsid w:val="00F77932"/>
    <w:rsid w:val="00F8017A"/>
    <w:rsid w:val="00F83986"/>
    <w:rsid w:val="00F854FA"/>
    <w:rsid w:val="00F8760D"/>
    <w:rsid w:val="00F9261D"/>
    <w:rsid w:val="00F92D99"/>
    <w:rsid w:val="00F9498D"/>
    <w:rsid w:val="00F97E2C"/>
    <w:rsid w:val="00FA0114"/>
    <w:rsid w:val="00FA07CF"/>
    <w:rsid w:val="00FA4CEC"/>
    <w:rsid w:val="00FA530E"/>
    <w:rsid w:val="00FB053D"/>
    <w:rsid w:val="00FB29E9"/>
    <w:rsid w:val="00FB529B"/>
    <w:rsid w:val="00FB7759"/>
    <w:rsid w:val="00FC44DD"/>
    <w:rsid w:val="00FC63BC"/>
    <w:rsid w:val="00FC700C"/>
    <w:rsid w:val="00FD296D"/>
    <w:rsid w:val="00FD3331"/>
    <w:rsid w:val="00FD34AC"/>
    <w:rsid w:val="00FD757C"/>
    <w:rsid w:val="00FD77A3"/>
    <w:rsid w:val="00FD7B45"/>
    <w:rsid w:val="00FE0102"/>
    <w:rsid w:val="00FE1B8E"/>
    <w:rsid w:val="00FE2C3D"/>
    <w:rsid w:val="00FE3368"/>
    <w:rsid w:val="00FE34E0"/>
    <w:rsid w:val="00FE3E91"/>
    <w:rsid w:val="00FE5D01"/>
    <w:rsid w:val="00FF0EFD"/>
    <w:rsid w:val="00FF18C3"/>
    <w:rsid w:val="00FF1D00"/>
    <w:rsid w:val="00FF4A83"/>
    <w:rsid w:val="00FF53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0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inb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bylinborzymy.biuletyn.net" TargetMode="External"/><Relationship Id="rId12" Type="http://schemas.openxmlformats.org/officeDocument/2006/relationships/hyperlink" Target="http://www.kobylinborzymy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ylinborzymy.biuletyn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bylinborzymy.biulety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bylinborzymy.biulety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18</Pages>
  <Words>6922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17</cp:revision>
  <cp:lastPrinted>2013-05-17T06:56:00Z</cp:lastPrinted>
  <dcterms:created xsi:type="dcterms:W3CDTF">2013-04-18T06:02:00Z</dcterms:created>
  <dcterms:modified xsi:type="dcterms:W3CDTF">2013-05-17T07:14:00Z</dcterms:modified>
</cp:coreProperties>
</file>