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1933FC">
        <w:rPr>
          <w:rFonts w:ascii="Times New Roman" w:eastAsia="Arial" w:hAnsi="Times New Roman" w:cs="Times New Roman"/>
          <w:sz w:val="24"/>
        </w:rPr>
        <w:t>31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E20A95">
        <w:rPr>
          <w:rFonts w:ascii="Times New Roman" w:eastAsia="Arial" w:hAnsi="Times New Roman" w:cs="Times New Roman"/>
          <w:sz w:val="24"/>
        </w:rPr>
        <w:t>grudnia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="00E20A95">
        <w:rPr>
          <w:rFonts w:ascii="Times New Roman" w:eastAsia="Arial" w:hAnsi="Times New Roman" w:cs="Times New Roman"/>
          <w:sz w:val="24"/>
        </w:rPr>
        <w:t>4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E20A95" w:rsidRDefault="00DB0B46" w:rsidP="00E20A9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dla inwestycji polegającej na </w:t>
      </w:r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kablowej </w:t>
      </w:r>
      <w:proofErr w:type="spellStart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- 0,4 </w:t>
      </w:r>
      <w:proofErr w:type="spellStart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 oświetlenia drogowego wraz słupami oświetleniowymi, </w:t>
      </w:r>
      <w:r w:rsidR="00E20A95" w:rsidRPr="00E20A95">
        <w:rPr>
          <w:rFonts w:ascii="Times New Roman" w:hAnsi="Times New Roman" w:cs="Times New Roman"/>
          <w:bCs/>
          <w:sz w:val="24"/>
          <w:szCs w:val="24"/>
        </w:rPr>
        <w:t>przewidzianej do realizacji na</w:t>
      </w:r>
      <w:r w:rsidR="00E20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</w:t>
      </w:r>
      <w:r w:rsidR="00E20A9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2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998/6, 999, 1014, 1015, 1400 obręb Kaźmierz, ul. Poprzeczna i Środkowa, </w:t>
      </w:r>
      <w:r w:rsidR="00E20A9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E20A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0A95" w:rsidRPr="00E20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0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B0B46" w:rsidRPr="00AB78FE" w:rsidRDefault="00DB0B46" w:rsidP="00E20A95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4424F2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4424F2" w:rsidRPr="00AB78FE" w:rsidRDefault="004424F2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Zenon Gałka</w:t>
      </w: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4F2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B91F-2923-4BA9-A184-78EAC6C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2019-01-02T14:17:00Z</cp:lastPrinted>
  <dcterms:created xsi:type="dcterms:W3CDTF">2019-01-02T14:20:00Z</dcterms:created>
  <dcterms:modified xsi:type="dcterms:W3CDTF">2019-01-02T14:20:00Z</dcterms:modified>
</cp:coreProperties>
</file>