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</w:t>
      </w:r>
      <w:r w:rsidR="00AE124E">
        <w:rPr>
          <w:rFonts w:ascii="Cambria" w:hAnsi="Cambria" w:cstheme="minorHAnsi"/>
          <w:b/>
          <w:bCs/>
          <w:sz w:val="20"/>
          <w:szCs w:val="20"/>
        </w:rPr>
        <w:t>a</w:t>
      </w:r>
      <w:r w:rsidRPr="00BF0B98">
        <w:rPr>
          <w:rFonts w:ascii="Cambria" w:hAnsi="Cambria" w:cstheme="minorHAnsi"/>
          <w:b/>
          <w:bCs/>
          <w:sz w:val="20"/>
          <w:szCs w:val="20"/>
        </w:rPr>
        <w:t xml:space="preserve">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D049C2" w:rsidRDefault="00D049C2" w:rsidP="001929FF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/>
          <w:iCs/>
          <w:sz w:val="20"/>
          <w:lang w:bidi="pl-PL"/>
        </w:rPr>
      </w:pPr>
      <w:r w:rsidRPr="00342DD0">
        <w:rPr>
          <w:rFonts w:ascii="Cambria" w:hAnsi="Cambria" w:cs="Arial"/>
          <w:b/>
          <w:sz w:val="20"/>
          <w:szCs w:val="20"/>
        </w:rPr>
        <w:t>„</w:t>
      </w:r>
      <w:bookmarkStart w:id="0" w:name="_Hlk3361361"/>
      <w:r w:rsidR="001929FF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1929FF">
        <w:rPr>
          <w:rFonts w:ascii="Cambria" w:hAnsi="Cambria" w:cs="Cambria"/>
          <w:b/>
          <w:sz w:val="20"/>
          <w:szCs w:val="20"/>
        </w:rPr>
        <w:t xml:space="preserve"> </w:t>
      </w:r>
      <w:r w:rsidR="001929FF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bookmarkEnd w:id="0"/>
      <w:r w:rsidR="001929F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 xml:space="preserve"> „</w:t>
      </w:r>
      <w:r w:rsidR="00756A3C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2C776D" w:rsidRPr="002C776D" w:rsidRDefault="002C776D" w:rsidP="002C776D">
      <w:pPr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2C776D">
        <w:rPr>
          <w:rFonts w:ascii="Cambria" w:hAnsi="Cambria" w:cs="Arial"/>
          <w:b/>
          <w:sz w:val="20"/>
          <w:szCs w:val="20"/>
        </w:rPr>
        <w:t xml:space="preserve">Zamówienie jest współfinansowane </w:t>
      </w:r>
      <w:r w:rsidRPr="002C776D">
        <w:rPr>
          <w:rFonts w:ascii="Cambria" w:hAnsi="Cambria" w:cs="Arial"/>
          <w:b/>
          <w:i/>
          <w:sz w:val="20"/>
          <w:szCs w:val="20"/>
        </w:rPr>
        <w:t>w ramach projektu 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>pn.</w:t>
      </w:r>
      <w:r w:rsidRPr="002C776D">
        <w:rPr>
          <w:rFonts w:ascii="Cambria" w:hAnsi="Cambria" w:cs="Arial"/>
          <w:b/>
          <w:i/>
          <w:sz w:val="20"/>
          <w:szCs w:val="20"/>
        </w:rPr>
        <w:t>: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 xml:space="preserve"> </w:t>
      </w:r>
      <w:r w:rsidRPr="002C776D">
        <w:rPr>
          <w:rFonts w:ascii="Cambria" w:hAnsi="Cambria" w:cs="Arial"/>
          <w:b/>
          <w:i/>
          <w:sz w:val="20"/>
          <w:szCs w:val="20"/>
        </w:rPr>
        <w:t>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305F85" w:rsidRPr="001929FF">
        <w:rPr>
          <w:rFonts w:ascii="Cambria" w:hAnsi="Cambria" w:cs="Arial"/>
          <w:sz w:val="20"/>
          <w:szCs w:val="20"/>
        </w:rPr>
        <w:t>:</w:t>
      </w:r>
      <w:r w:rsidR="002C776D" w:rsidRPr="002C776D">
        <w:rPr>
          <w:rFonts w:ascii="Cambria" w:hAnsi="Cambria" w:cs="Arial"/>
          <w:sz w:val="20"/>
          <w:szCs w:val="20"/>
        </w:rPr>
        <w:t xml:space="preserve"> </w:t>
      </w:r>
      <w:r w:rsidR="00826C5F">
        <w:rPr>
          <w:rFonts w:ascii="Cambria" w:hAnsi="Cambria" w:cs="Arial"/>
          <w:sz w:val="20"/>
          <w:szCs w:val="20"/>
        </w:rPr>
        <w:t>30.04.2021 r</w:t>
      </w:r>
      <w:r w:rsidR="002C776D" w:rsidRPr="002C776D">
        <w:rPr>
          <w:rFonts w:ascii="Cambria" w:hAnsi="Cambria" w:cs="Arial"/>
          <w:sz w:val="20"/>
          <w:szCs w:val="20"/>
        </w:rPr>
        <w:t>.</w:t>
      </w:r>
    </w:p>
    <w:p w:rsidR="001929FF" w:rsidRPr="001929FF" w:rsidRDefault="001929FF" w:rsidP="001929FF">
      <w:pPr>
        <w:spacing w:after="120" w:line="276" w:lineRule="auto"/>
        <w:ind w:left="851" w:hanging="143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/>
          <w:sz w:val="20"/>
          <w:szCs w:val="20"/>
        </w:rPr>
        <w:t xml:space="preserve">Wszelkie prace </w:t>
      </w:r>
      <w:r w:rsidR="00D847DE" w:rsidRPr="00D847DE">
        <w:rPr>
          <w:rFonts w:ascii="Cambria" w:hAnsi="Cambria"/>
          <w:sz w:val="20"/>
          <w:szCs w:val="20"/>
        </w:rPr>
        <w:t>związane z wymianą oświetlenia wewnętrznego, rur oraz grzejników od centralnego ogrzewania oraz pozostałych elementów wewnętrznych należy wykonywać w okresie przerwy letniej (wakacje) oraz zimowej i świątecznej.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D847DE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847DE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D847DE">
        <w:rPr>
          <w:rFonts w:cs="Arial"/>
          <w:bCs w:val="0"/>
          <w:i/>
          <w:sz w:val="20"/>
          <w:szCs w:val="20"/>
          <w:lang w:eastAsia="pl-PL"/>
        </w:rPr>
        <w:t>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D847DE">
        <w:rPr>
          <w:rFonts w:cs="Arial"/>
          <w:bCs w:val="0"/>
          <w:i/>
          <w:sz w:val="20"/>
          <w:szCs w:val="20"/>
          <w:lang w:eastAsia="pl-PL"/>
        </w:rPr>
        <w:t>1186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6D289E">
        <w:rPr>
          <w:rFonts w:ascii="Cambria" w:hAnsi="Cambria" w:cs="Arial"/>
          <w:sz w:val="20"/>
          <w:szCs w:val="20"/>
        </w:rPr>
        <w:t>anych (Dz. U. 2019</w:t>
      </w:r>
      <w:r w:rsidR="00AF2A9B">
        <w:rPr>
          <w:rFonts w:ascii="Cambria" w:hAnsi="Cambria" w:cs="Arial"/>
          <w:sz w:val="20"/>
          <w:szCs w:val="20"/>
        </w:rPr>
        <w:t>, poz.</w:t>
      </w:r>
      <w:r w:rsidR="006D289E">
        <w:rPr>
          <w:rFonts w:ascii="Cambria" w:hAnsi="Cambria" w:cs="Arial"/>
          <w:sz w:val="20"/>
          <w:szCs w:val="20"/>
        </w:rPr>
        <w:t xml:space="preserve">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D289E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D289E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181AF3">
        <w:rPr>
          <w:rFonts w:ascii="Cambria" w:hAnsi="Cambria" w:cs="Arial"/>
          <w:color w:val="000000"/>
          <w:sz w:val="20"/>
          <w:szCs w:val="20"/>
        </w:rPr>
        <w:t>ia faktur</w:t>
      </w:r>
      <w:r w:rsidR="00956D30">
        <w:rPr>
          <w:rFonts w:ascii="Cambria" w:hAnsi="Cambria" w:cs="Arial"/>
          <w:color w:val="000000"/>
          <w:sz w:val="20"/>
          <w:szCs w:val="20"/>
        </w:rPr>
        <w:t xml:space="preserve">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2C776D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770923">
        <w:rPr>
          <w:rFonts w:ascii="Cambria" w:hAnsi="Cambria" w:cs="Arial"/>
          <w:b/>
          <w:color w:val="FF0000"/>
          <w:sz w:val="20"/>
          <w:szCs w:val="20"/>
        </w:rPr>
        <w:t>5</w:t>
      </w:r>
      <w:bookmarkStart w:id="1" w:name="_GoBack"/>
      <w:bookmarkEnd w:id="1"/>
      <w:r w:rsidR="00F075F8" w:rsidRPr="00F075F8">
        <w:rPr>
          <w:rFonts w:ascii="Cambria" w:hAnsi="Cambria" w:cs="Arial"/>
          <w:b/>
          <w:color w:val="FF0000"/>
          <w:sz w:val="20"/>
          <w:szCs w:val="20"/>
        </w:rPr>
        <w:t>%</w:t>
      </w:r>
      <w:r w:rsidRPr="00BF0B98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6D289E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6D289E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483CD9" w:rsidRDefault="00483CD9" w:rsidP="00483CD9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Arial"/>
          <w:b/>
          <w:sz w:val="20"/>
          <w:szCs w:val="20"/>
        </w:rPr>
      </w:pPr>
      <w:r w:rsidRPr="00342DD0">
        <w:rPr>
          <w:rFonts w:ascii="Cambria" w:hAnsi="Cambria" w:cs="Arial"/>
          <w:b/>
          <w:sz w:val="20"/>
          <w:szCs w:val="20"/>
        </w:rPr>
        <w:t>„</w:t>
      </w:r>
      <w:r w:rsidR="001929FF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1929FF">
        <w:rPr>
          <w:rFonts w:ascii="Cambria" w:hAnsi="Cambria" w:cs="Cambria"/>
          <w:b/>
          <w:sz w:val="20"/>
          <w:szCs w:val="20"/>
        </w:rPr>
        <w:t xml:space="preserve"> </w:t>
      </w:r>
      <w:r w:rsidR="001929FF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r w:rsidRPr="00342DD0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A6" w:rsidRDefault="005235A6">
      <w:pPr>
        <w:spacing w:after="0" w:line="240" w:lineRule="auto"/>
      </w:pPr>
      <w:r>
        <w:separator/>
      </w:r>
    </w:p>
  </w:endnote>
  <w:endnote w:type="continuationSeparator" w:id="0">
    <w:p w:rsidR="005235A6" w:rsidRDefault="0052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9" w:rsidRDefault="005C1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770923">
      <w:rPr>
        <w:b/>
        <w:noProof/>
        <w:sz w:val="16"/>
      </w:rPr>
      <w:t>7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770923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A6" w:rsidRDefault="005235A6">
      <w:pPr>
        <w:spacing w:after="0" w:line="240" w:lineRule="auto"/>
      </w:pPr>
      <w:r>
        <w:separator/>
      </w:r>
    </w:p>
  </w:footnote>
  <w:footnote w:type="continuationSeparator" w:id="0">
    <w:p w:rsidR="005235A6" w:rsidRDefault="0052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9" w:rsidRDefault="005C1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3" w:name="_Hlk3361735"/>
          <w:bookmarkStart w:id="4" w:name="_Hlk3361736"/>
          <w:r w:rsidRPr="00446FC9">
            <w:rPr>
              <w:noProof/>
            </w:rPr>
            <w:drawing>
              <wp:inline distT="0" distB="0" distL="0" distR="0" wp14:anchorId="66A6781A" wp14:editId="1B5A6260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7CCA0C" wp14:editId="4F603202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6B561C" wp14:editId="08D352C8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E1B77A2" wp14:editId="6EC9456F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</w:t>
    </w:r>
    <w:r w:rsidR="005C1F79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.2019</w:t>
    </w:r>
  </w:p>
  <w:bookmarkEnd w:id="3"/>
  <w:bookmarkEnd w:id="4"/>
  <w:p w:rsidR="009D7790" w:rsidRPr="001929FF" w:rsidRDefault="009D7790" w:rsidP="001929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5" w:name="_Hlk3361339"/>
          <w:bookmarkStart w:id="6" w:name="_Hlk3361340"/>
          <w:bookmarkStart w:id="7" w:name="_Hlk3361499"/>
          <w:bookmarkStart w:id="8" w:name="_Hlk3361500"/>
          <w:bookmarkStart w:id="9" w:name="_Hlk3361685"/>
          <w:bookmarkStart w:id="10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</w:t>
    </w:r>
    <w:r w:rsidR="00826C5F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.2019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E6517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3719B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235A6"/>
    <w:rsid w:val="00530095"/>
    <w:rsid w:val="00545F1E"/>
    <w:rsid w:val="0055344B"/>
    <w:rsid w:val="005741A4"/>
    <w:rsid w:val="00593BAB"/>
    <w:rsid w:val="005948EB"/>
    <w:rsid w:val="005A60A7"/>
    <w:rsid w:val="005B0A71"/>
    <w:rsid w:val="005B6E96"/>
    <w:rsid w:val="005C1F79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289E"/>
    <w:rsid w:val="006D56DE"/>
    <w:rsid w:val="006F4F26"/>
    <w:rsid w:val="00706F56"/>
    <w:rsid w:val="0073244F"/>
    <w:rsid w:val="00756A3C"/>
    <w:rsid w:val="00766C7F"/>
    <w:rsid w:val="00770923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26C5F"/>
    <w:rsid w:val="00831A51"/>
    <w:rsid w:val="00863A5F"/>
    <w:rsid w:val="00892DE8"/>
    <w:rsid w:val="008A4325"/>
    <w:rsid w:val="009022B9"/>
    <w:rsid w:val="00905D61"/>
    <w:rsid w:val="00923E61"/>
    <w:rsid w:val="00940725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E124E"/>
    <w:rsid w:val="00AF2A9B"/>
    <w:rsid w:val="00AF2C1D"/>
    <w:rsid w:val="00B16A4C"/>
    <w:rsid w:val="00B16D14"/>
    <w:rsid w:val="00B30FF2"/>
    <w:rsid w:val="00B44D8D"/>
    <w:rsid w:val="00B5040C"/>
    <w:rsid w:val="00B67C9A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5565D"/>
    <w:rsid w:val="00C7444C"/>
    <w:rsid w:val="00C936C1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847DE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F075F8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111F-61B3-4933-BA21-4BF9E6B8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5836</Words>
  <Characters>35018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93</cp:revision>
  <dcterms:created xsi:type="dcterms:W3CDTF">2016-12-05T10:18:00Z</dcterms:created>
  <dcterms:modified xsi:type="dcterms:W3CDTF">2019-12-03T10:25:00Z</dcterms:modified>
</cp:coreProperties>
</file>