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8F695C">
      <w:pPr>
        <w:tabs>
          <w:tab w:val="left" w:pos="7545"/>
        </w:tabs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  <w:r w:rsidR="008F695C">
        <w:rPr>
          <w:rFonts w:ascii="Cambria" w:hAnsi="Cambria" w:cs="Arial"/>
          <w:b/>
          <w:smallCaps/>
          <w:sz w:val="20"/>
          <w:szCs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D633AF" w:rsidRPr="00146B8B" w:rsidRDefault="00BF0B98" w:rsidP="00146B8B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  <w:r w:rsidR="00146B8B" w:rsidRPr="00146B8B">
        <w:rPr>
          <w:rFonts w:ascii="Cambria" w:eastAsia="Calibri" w:hAnsi="Cambria" w:cs="Arial"/>
          <w:b/>
          <w:sz w:val="20"/>
          <w:szCs w:val="20"/>
        </w:rPr>
        <w:t>„</w:t>
      </w:r>
      <w:r w:rsidR="00F626A2">
        <w:rPr>
          <w:rFonts w:ascii="Cambria" w:hAnsi="Cambria" w:cs="Cambria-Bold"/>
          <w:b/>
          <w:bCs/>
          <w:szCs w:val="20"/>
        </w:rPr>
        <w:t>Przebudowa placu targowego wraz z budową wiat handlowych oraz przebudową i rozbudową budynku administracyjnego</w:t>
      </w:r>
      <w:r w:rsidR="00146B8B" w:rsidRPr="00146B8B">
        <w:rPr>
          <w:rFonts w:ascii="Cambria" w:eastAsia="Calibri" w:hAnsi="Cambria" w:cs="Arial"/>
          <w:b/>
          <w:sz w:val="20"/>
          <w:szCs w:val="20"/>
        </w:rPr>
        <w:t>”</w:t>
      </w:r>
    </w:p>
    <w:p w:rsidR="00146B8B" w:rsidRDefault="00146B8B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 robót z uwzględnieniem terminów wykonania, który zawierać będzie:</w:t>
      </w:r>
    </w:p>
    <w:p w:rsidR="00F626A2" w:rsidRPr="00F626A2" w:rsidRDefault="00F626A2" w:rsidP="00F626A2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F626A2" w:rsidRPr="00F626A2" w:rsidRDefault="00F626A2" w:rsidP="00F626A2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 xml:space="preserve">Zaakceptowany przez Zamawiającego harmonogram stanowić będzie załącznik do umowy. 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 xml:space="preserve">Wszelkie zdarzenia i fakty zaistniałe w trakcie wykonywania prac, niespowodowane działalnością Wykonawcy a mające jego zdaniem wpływ na harmonogram robót i zachowanie ww. terminów muszą być </w:t>
      </w:r>
      <w:r w:rsidRPr="00F626A2">
        <w:rPr>
          <w:rFonts w:ascii="Cambria" w:eastAsia="Calibri" w:hAnsi="Cambria" w:cs="Calibri"/>
          <w:sz w:val="20"/>
          <w:szCs w:val="20"/>
        </w:rPr>
        <w:lastRenderedPageBreak/>
        <w:t>zgłaszane na piśmie Zamawiającemu w terminie do 2 dni po zdarzeniu. Zamawiający (w konsultacji z inspektorem nadzoru) oceni zaistniałą sytuację i jej wpływ na termin realizacji prac.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Wykonawca, wyłącznie na wniosek Zamawiającego, w przypadkach opóźnień w realizacji etapów inwestycji, opracuje w terminie trzech dni, nowy, aktualny harmonogram i przedłoży go do zatwierdzenia Zamawiającemu, przy zachowaniu umownego terminu zakończenia robót.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W przypadku zmiany  terminu końcowego robót; przedmiotu umowy (w oparciu o dopuszczalne zmiany wskazane w SIWZ) wykonawca opracuje w terminie trzech dni, nowy aktualny harmonogram uwzględniający przedmiotowe zmiany. (Harmonogram taki będzie zawierał roboty i wartości robót już wykonanych oraz pozostałe do wykonania).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E77587" w:rsidRPr="00BF0B98" w:rsidRDefault="00E77587" w:rsidP="00F626A2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5E12F0" w:rsidRPr="00A00FA6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Pr="00BF0B98">
        <w:rPr>
          <w:rFonts w:ascii="Cambria" w:hAnsi="Cambria" w:cs="Arial"/>
          <w:sz w:val="20"/>
          <w:szCs w:val="20"/>
        </w:rPr>
        <w:t xml:space="preserve">akończenie robót </w:t>
      </w:r>
      <w:r>
        <w:rPr>
          <w:rFonts w:ascii="Cambria" w:hAnsi="Cambria" w:cs="Arial"/>
          <w:sz w:val="20"/>
          <w:szCs w:val="20"/>
        </w:rPr>
        <w:t>nastąpi w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="00823356">
        <w:rPr>
          <w:rFonts w:ascii="Cambria" w:hAnsi="Cambria" w:cs="Arial"/>
          <w:sz w:val="20"/>
          <w:szCs w:val="20"/>
        </w:rPr>
        <w:t>dniu</w:t>
      </w:r>
      <w:r w:rsidR="00305F85">
        <w:rPr>
          <w:rFonts w:ascii="Cambria" w:hAnsi="Cambria" w:cs="Arial"/>
          <w:sz w:val="20"/>
          <w:szCs w:val="20"/>
        </w:rPr>
        <w:t>:</w:t>
      </w:r>
      <w:r w:rsidR="00A00FA6">
        <w:rPr>
          <w:rFonts w:ascii="Cambria" w:hAnsi="Cambria" w:cs="Arial"/>
          <w:sz w:val="20"/>
          <w:szCs w:val="20"/>
        </w:rPr>
        <w:t xml:space="preserve"> </w:t>
      </w:r>
      <w:r w:rsidR="00F626A2">
        <w:rPr>
          <w:rFonts w:ascii="Cambria" w:hAnsi="Cambria" w:cs="Arial"/>
          <w:b/>
          <w:sz w:val="20"/>
          <w:szCs w:val="20"/>
        </w:rPr>
        <w:t>………………………</w:t>
      </w:r>
      <w:r w:rsidR="00C9352E" w:rsidRPr="008D4083">
        <w:rPr>
          <w:rFonts w:ascii="Cambria" w:hAnsi="Cambria" w:cs="Arial"/>
          <w:b/>
          <w:sz w:val="20"/>
          <w:szCs w:val="20"/>
        </w:rPr>
        <w:t xml:space="preserve"> r.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lastRenderedPageBreak/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BF0B98" w:rsidRDefault="00BF0B98" w:rsidP="00F626A2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sz w:val="20"/>
        </w:rPr>
        <w:t>4)</w:t>
      </w:r>
      <w:r w:rsidRPr="00BF0B98">
        <w:rPr>
          <w:rFonts w:ascii="Cambria" w:hAnsi="Cambria" w:cs="Arial"/>
          <w:b w:val="0"/>
          <w:sz w:val="20"/>
        </w:rPr>
        <w:tab/>
      </w:r>
      <w:r w:rsidR="00F626A2" w:rsidRPr="00F626A2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F626A2" w:rsidRPr="00F626A2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F626A2">
        <w:rPr>
          <w:rFonts w:ascii="Cambria" w:hAnsi="Cambria" w:cs="Arial"/>
          <w:b w:val="0"/>
          <w:bCs/>
          <w:sz w:val="20"/>
        </w:rPr>
        <w:t>.</w:t>
      </w:r>
      <w:r w:rsidRPr="00BF0B98">
        <w:rPr>
          <w:rFonts w:ascii="Cambria" w:hAnsi="Cambria" w:cs="Arial"/>
          <w:b w:val="0"/>
          <w:bCs/>
          <w:sz w:val="20"/>
        </w:rPr>
        <w:t xml:space="preserve"> 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F626A2">
      <w:pPr>
        <w:pStyle w:val="Tytu"/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091D6C">
        <w:rPr>
          <w:rFonts w:ascii="Cambria" w:hAnsi="Cambria" w:cs="Arial"/>
          <w:bCs/>
          <w:sz w:val="20"/>
          <w:szCs w:val="20"/>
          <w:lang w:eastAsia="pl-PL"/>
        </w:rPr>
        <w:t>Dz. U. z 2018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091D6C">
        <w:rPr>
          <w:rFonts w:ascii="Cambria" w:hAnsi="Cambria" w:cs="Arial"/>
          <w:bCs/>
          <w:sz w:val="20"/>
          <w:szCs w:val="20"/>
          <w:lang w:eastAsia="pl-PL"/>
        </w:rPr>
        <w:t>202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="00D07CD4">
        <w:rPr>
          <w:rFonts w:cs="Arial"/>
          <w:bCs w:val="0"/>
          <w:i/>
          <w:sz w:val="20"/>
          <w:szCs w:val="20"/>
          <w:lang w:eastAsia="pl-PL"/>
        </w:rPr>
        <w:t>Dz. U. z 2018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83235D">
        <w:rPr>
          <w:rFonts w:cs="Arial"/>
          <w:bCs w:val="0"/>
          <w:i/>
          <w:sz w:val="20"/>
          <w:szCs w:val="20"/>
          <w:lang w:eastAsia="pl-PL"/>
        </w:rPr>
        <w:t>1</w:t>
      </w:r>
      <w:r w:rsidR="00D07CD4">
        <w:rPr>
          <w:rFonts w:cs="Arial"/>
          <w:bCs w:val="0"/>
          <w:i/>
          <w:sz w:val="20"/>
          <w:szCs w:val="20"/>
          <w:lang w:eastAsia="pl-PL"/>
        </w:rPr>
        <w:t>202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późn. zm</w:t>
      </w:r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23356" w:rsidRPr="00823356" w:rsidRDefault="00823356" w:rsidP="00F626A2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A20543" w:rsidRDefault="002D2D8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A20543">
        <w:rPr>
          <w:rFonts w:ascii="Cambria" w:hAnsi="Cambria" w:cs="Arial"/>
          <w:sz w:val="20"/>
          <w:szCs w:val="20"/>
        </w:rPr>
        <w:t>W</w:t>
      </w:r>
      <w:r w:rsidR="00BF0B98" w:rsidRPr="00A20543">
        <w:rPr>
          <w:rFonts w:ascii="Cambria" w:hAnsi="Cambria" w:cs="Arial"/>
          <w:sz w:val="20"/>
          <w:szCs w:val="20"/>
        </w:rPr>
        <w:t xml:space="preserve">ykona inwentaryzację geodezyjną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>
        <w:rPr>
          <w:rFonts w:ascii="Cambria" w:hAnsi="Cambria" w:cs="Arial"/>
          <w:sz w:val="20"/>
          <w:szCs w:val="20"/>
        </w:rPr>
        <w:t xml:space="preserve">anych (Dz. U. Nr 92, poz. 881 </w:t>
      </w:r>
      <w:r w:rsidRPr="00BF0B98">
        <w:rPr>
          <w:rFonts w:ascii="Cambria" w:hAnsi="Cambria" w:cs="Arial"/>
          <w:sz w:val="20"/>
          <w:szCs w:val="20"/>
        </w:rPr>
        <w:t xml:space="preserve">z późn. zmianami)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5E21B8">
        <w:rPr>
          <w:rFonts w:ascii="Cambria" w:hAnsi="Cambria" w:cs="Arial"/>
          <w:bCs/>
          <w:sz w:val="20"/>
          <w:szCs w:val="20"/>
          <w:lang w:eastAsia="pl-PL"/>
        </w:rPr>
        <w:t>8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5E21B8">
        <w:rPr>
          <w:rFonts w:ascii="Cambria" w:hAnsi="Cambria" w:cs="Arial"/>
          <w:bCs/>
          <w:sz w:val="20"/>
          <w:szCs w:val="20"/>
          <w:lang w:eastAsia="pl-PL"/>
        </w:rPr>
        <w:t>1202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305F85" w:rsidRDefault="00BF0B98" w:rsidP="004912B9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Default="00BF0B98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>
        <w:rPr>
          <w:rFonts w:ascii="Cambria" w:hAnsi="Cambria" w:cs="Arial"/>
          <w:sz w:val="20"/>
          <w:szCs w:val="20"/>
        </w:rPr>
        <w:t>......</w:t>
      </w:r>
      <w:r w:rsidRPr="00BF0B98">
        <w:rPr>
          <w:rFonts w:ascii="Cambria" w:hAnsi="Cambria" w:cs="Arial"/>
          <w:sz w:val="20"/>
          <w:szCs w:val="20"/>
        </w:rPr>
        <w:t>.........................</w:t>
      </w:r>
      <w:r w:rsidR="00305F85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...........................................).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 fakturowanie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923E61" w:rsidRPr="00492278" w:rsidRDefault="00AF2A9B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Wykonawca jest uprawniony do wystawien</w:t>
      </w:r>
      <w:r w:rsidR="005F3401">
        <w:rPr>
          <w:rFonts w:ascii="Cambria" w:hAnsi="Cambria" w:cs="Arial"/>
          <w:color w:val="000000"/>
          <w:sz w:val="20"/>
          <w:szCs w:val="20"/>
        </w:rPr>
        <w:t>ia faktur częściowych do kwoty stanowiącej</w:t>
      </w:r>
      <w:bookmarkStart w:id="0" w:name="_GoBack"/>
      <w:bookmarkEnd w:id="0"/>
      <w:r w:rsidR="00D43416" w:rsidRPr="00492278">
        <w:rPr>
          <w:rFonts w:ascii="Cambria" w:hAnsi="Cambria" w:cs="Arial"/>
          <w:color w:val="000000"/>
          <w:sz w:val="20"/>
          <w:szCs w:val="20"/>
        </w:rPr>
        <w:t xml:space="preserve"> 9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 oraz faktury 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końcowej obejmującej pozostałe 1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zamówienia. 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lastRenderedPageBreak/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305F85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BF0B98">
        <w:rPr>
          <w:rFonts w:ascii="Cambria" w:hAnsi="Cambria" w:cs="Arial"/>
          <w:b/>
          <w:sz w:val="20"/>
          <w:szCs w:val="20"/>
        </w:rPr>
        <w:t xml:space="preserve">10 %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tj kwoty </w:t>
      </w:r>
    </w:p>
    <w:p w:rsidR="00BF0B98" w:rsidRDefault="00BF0B98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:rsid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pomiary ge</w:t>
      </w:r>
      <w:r w:rsidR="00DA408C">
        <w:rPr>
          <w:rFonts w:ascii="Cambria" w:eastAsia="Times-Roman" w:hAnsi="Cambria" w:cs="Arial"/>
          <w:sz w:val="20"/>
          <w:szCs w:val="20"/>
        </w:rPr>
        <w:t>odezyjne zakończonej inwestycji,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</w:t>
      </w:r>
      <w:r w:rsidR="00F626A2">
        <w:rPr>
          <w:rFonts w:ascii="Cambria" w:hAnsi="Cambria" w:cs="Arial"/>
          <w:sz w:val="20"/>
          <w:szCs w:val="20"/>
        </w:rPr>
        <w:t>rozpocznie się</w:t>
      </w:r>
      <w:r w:rsidRPr="00BF0B9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m-cy licząc od dnia sporządzenia protokołu końcowego odbioru robót.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F626A2">
      <w:pPr>
        <w:numPr>
          <w:ilvl w:val="0"/>
          <w:numId w:val="23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11748D">
        <w:t xml:space="preserve"> </w:t>
      </w: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2" w:name="_Hlk512668801"/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2"/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</w:r>
      <w:r w:rsidRPr="00BF0B98">
        <w:rPr>
          <w:rFonts w:ascii="Cambria" w:hAnsi="Cambria" w:cs="Arial"/>
          <w:sz w:val="20"/>
          <w:szCs w:val="20"/>
        </w:rPr>
        <w:lastRenderedPageBreak/>
        <w:t>w § 10 ust. 1 umowy, za każdy dzień zwłoki licząc od następnego dnia po terminie, w którym odbiór miał być zakończony.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F626A2">
        <w:rPr>
          <w:rFonts w:ascii="Cambria" w:hAnsi="Cambria" w:cs="Arial"/>
          <w:spacing w:val="-4"/>
          <w:sz w:val="20"/>
          <w:szCs w:val="20"/>
        </w:rPr>
        <w:t>8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F626A2">
        <w:rPr>
          <w:rFonts w:ascii="Cambria" w:hAnsi="Cambria" w:cs="Arial"/>
          <w:spacing w:val="-4"/>
          <w:sz w:val="20"/>
          <w:szCs w:val="20"/>
        </w:rPr>
        <w:t>1986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5F3401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5F3401">
        <w:rPr>
          <w:rFonts w:ascii="Cambria" w:hAnsi="Cambria" w:cs="Arial"/>
          <w:sz w:val="20"/>
          <w:szCs w:val="20"/>
        </w:rPr>
        <w:t>Kosztorys oferto</w:t>
      </w:r>
      <w:r w:rsidR="005F3401" w:rsidRPr="005F3401">
        <w:rPr>
          <w:rFonts w:ascii="Cambria" w:hAnsi="Cambria" w:cs="Arial"/>
          <w:sz w:val="20"/>
          <w:szCs w:val="20"/>
        </w:rPr>
        <w:t>wy opracowany metodą szczegółową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B3231" w:rsidRDefault="00BF0B98" w:rsidP="00F626A2">
      <w:pPr>
        <w:pStyle w:val="Tekstpodstawowy"/>
        <w:spacing w:line="276" w:lineRule="auto"/>
        <w:rPr>
          <w:rFonts w:ascii="Cambria" w:hAnsi="Cambria" w:cstheme="minorHAnsi"/>
          <w:b/>
          <w:bCs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5040C" w:rsidRPr="003F3495" w:rsidRDefault="00E053C8" w:rsidP="00F626A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B5040C" w:rsidRPr="003F349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284F23" w:rsidRPr="00284F23" w:rsidRDefault="00E053C8" w:rsidP="00284F23">
      <w:pPr>
        <w:pStyle w:val="Bezodstpw"/>
        <w:tabs>
          <w:tab w:val="left" w:pos="9638"/>
        </w:tabs>
        <w:ind w:right="-1"/>
        <w:jc w:val="center"/>
        <w:rPr>
          <w:rFonts w:ascii="Cambria" w:hAnsi="Cambria" w:cs="Arial"/>
          <w:b/>
          <w:bCs/>
          <w:sz w:val="20"/>
          <w:szCs w:val="20"/>
        </w:rPr>
      </w:pPr>
      <w:r w:rsidRPr="00E053C8">
        <w:rPr>
          <w:rFonts w:ascii="Cambria" w:hAnsi="Cambria" w:cs="Arial"/>
          <w:b/>
          <w:sz w:val="20"/>
          <w:szCs w:val="20"/>
        </w:rPr>
        <w:t>„</w:t>
      </w:r>
      <w:r w:rsidR="00F626A2">
        <w:rPr>
          <w:rFonts w:ascii="Cambria" w:hAnsi="Cambria" w:cs="Cambria-Bold"/>
          <w:b/>
          <w:bCs/>
          <w:szCs w:val="20"/>
        </w:rPr>
        <w:t>Przebudowa placu targowego wraz z budową wiat handlowych oraz przebudową i rozbudową budynku administracyjnego</w:t>
      </w:r>
      <w:r w:rsidRPr="00E053C8">
        <w:rPr>
          <w:rFonts w:ascii="Cambria" w:hAnsi="Cambria" w:cs="Arial"/>
          <w:b/>
          <w:sz w:val="20"/>
          <w:szCs w:val="20"/>
        </w:rPr>
        <w:t>”</w:t>
      </w:r>
    </w:p>
    <w:p w:rsidR="00BB3231" w:rsidRPr="00BB3231" w:rsidRDefault="00BB3231" w:rsidP="00BB3231">
      <w:pPr>
        <w:pStyle w:val="Bezodstpw"/>
        <w:tabs>
          <w:tab w:val="left" w:pos="9638"/>
        </w:tabs>
        <w:spacing w:line="276" w:lineRule="auto"/>
        <w:ind w:right="-1"/>
        <w:jc w:val="center"/>
        <w:rPr>
          <w:rFonts w:ascii="Cambria" w:hAnsi="Cambria" w:cs="ArialNarrow"/>
          <w:b/>
          <w:i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F626A2" w:rsidRPr="007B479C" w:rsidRDefault="00B5040C" w:rsidP="00F626A2">
      <w:pPr>
        <w:pStyle w:val="pkt"/>
        <w:ind w:left="0" w:firstLine="0"/>
        <w:rPr>
          <w:rFonts w:ascii="Cambria" w:hAnsi="Cambria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F626A2" w:rsidRPr="007B479C">
        <w:rPr>
          <w:rFonts w:ascii="Cambria" w:hAnsi="Cambria"/>
          <w:b/>
          <w:sz w:val="20"/>
          <w:szCs w:val="20"/>
        </w:rPr>
        <w:t>GMINA Kazimierza Wielka</w:t>
      </w:r>
    </w:p>
    <w:p w:rsidR="00B5040C" w:rsidRPr="00F626A2" w:rsidRDefault="00F626A2" w:rsidP="00F626A2">
      <w:pPr>
        <w:pStyle w:val="pkt"/>
        <w:ind w:hanging="851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 Kościuszki 12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7B479C">
        <w:rPr>
          <w:rFonts w:ascii="Cambria" w:hAnsi="Cambria"/>
          <w:b/>
          <w:sz w:val="20"/>
          <w:szCs w:val="20"/>
        </w:rPr>
        <w:t>28-500 Kazimierza Wielka</w:t>
      </w:r>
      <w:r w:rsidR="00B5040C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F8" w:rsidRDefault="00866EF8">
      <w:pPr>
        <w:spacing w:after="0" w:line="240" w:lineRule="auto"/>
      </w:pPr>
      <w:r>
        <w:separator/>
      </w:r>
    </w:p>
  </w:endnote>
  <w:endnote w:type="continuationSeparator" w:id="0">
    <w:p w:rsidR="00866EF8" w:rsidRDefault="0086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Pr="00B65163" w:rsidRDefault="004B5101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CB6925" w:rsidRPr="00B65163">
      <w:rPr>
        <w:b/>
        <w:sz w:val="16"/>
        <w:szCs w:val="24"/>
      </w:rPr>
      <w:fldChar w:fldCharType="separate"/>
    </w:r>
    <w:r w:rsidR="005F3401">
      <w:rPr>
        <w:b/>
        <w:noProof/>
        <w:sz w:val="16"/>
      </w:rPr>
      <w:t>6</w:t>
    </w:r>
    <w:r w:rsidR="00CB6925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CB6925" w:rsidRPr="00B65163">
      <w:rPr>
        <w:b/>
        <w:sz w:val="16"/>
        <w:szCs w:val="24"/>
      </w:rPr>
      <w:fldChar w:fldCharType="separate"/>
    </w:r>
    <w:r w:rsidR="005F3401">
      <w:rPr>
        <w:b/>
        <w:noProof/>
        <w:sz w:val="16"/>
      </w:rPr>
      <w:t>14</w:t>
    </w:r>
    <w:r w:rsidR="00CB6925" w:rsidRPr="00B65163">
      <w:rPr>
        <w:b/>
        <w:sz w:val="16"/>
        <w:szCs w:val="24"/>
      </w:rPr>
      <w:fldChar w:fldCharType="end"/>
    </w:r>
  </w:p>
  <w:p w:rsidR="004B5101" w:rsidRDefault="004B51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Pr="0046155A" w:rsidRDefault="004B5101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</w:t>
    </w:r>
    <w:r>
      <w:rPr>
        <w:sz w:val="16"/>
        <w:szCs w:val="16"/>
      </w:rPr>
      <w:t>Zamawiający pozostawi zapisy dotyczące danego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F8" w:rsidRDefault="00866EF8">
      <w:pPr>
        <w:spacing w:after="0" w:line="240" w:lineRule="auto"/>
      </w:pPr>
      <w:r>
        <w:separator/>
      </w:r>
    </w:p>
  </w:footnote>
  <w:footnote w:type="continuationSeparator" w:id="0">
    <w:p w:rsidR="00866EF8" w:rsidRDefault="0086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1"/>
      <w:gridCol w:w="2805"/>
      <w:gridCol w:w="2602"/>
      <w:gridCol w:w="2310"/>
    </w:tblGrid>
    <w:tr w:rsidR="001E354D" w:rsidRPr="001E354D" w:rsidTr="001E354D">
      <w:tc>
        <w:tcPr>
          <w:tcW w:w="1009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4F77EE">
      <w:rPr>
        <w:rFonts w:ascii="Cambria" w:hAnsi="Cambria"/>
        <w:b/>
        <w:bCs/>
        <w:sz w:val="20"/>
        <w:szCs w:val="20"/>
      </w:rPr>
      <w:t>II.271.1.2019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1"/>
      <w:gridCol w:w="2805"/>
      <w:gridCol w:w="2602"/>
      <w:gridCol w:w="2310"/>
    </w:tblGrid>
    <w:tr w:rsidR="001E354D" w:rsidRPr="001E354D" w:rsidTr="001E354D">
      <w:tc>
        <w:tcPr>
          <w:tcW w:w="1009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4F77EE">
      <w:rPr>
        <w:rFonts w:ascii="Cambria" w:hAnsi="Cambria"/>
        <w:b/>
        <w:bCs/>
        <w:sz w:val="20"/>
        <w:szCs w:val="20"/>
      </w:rPr>
      <w:t>II.271.1.2019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FB94FF10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1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3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4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5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52"/>
  </w:num>
  <w:num w:numId="3">
    <w:abstractNumId w:val="0"/>
  </w:num>
  <w:num w:numId="4">
    <w:abstractNumId w:val="7"/>
  </w:num>
  <w:num w:numId="5">
    <w:abstractNumId w:val="9"/>
  </w:num>
  <w:num w:numId="6">
    <w:abstractNumId w:val="51"/>
  </w:num>
  <w:num w:numId="7">
    <w:abstractNumId w:val="61"/>
  </w:num>
  <w:num w:numId="8">
    <w:abstractNumId w:val="50"/>
  </w:num>
  <w:num w:numId="9">
    <w:abstractNumId w:val="46"/>
  </w:num>
  <w:num w:numId="10">
    <w:abstractNumId w:val="40"/>
  </w:num>
  <w:num w:numId="11">
    <w:abstractNumId w:val="62"/>
  </w:num>
  <w:num w:numId="12">
    <w:abstractNumId w:val="44"/>
  </w:num>
  <w:num w:numId="13">
    <w:abstractNumId w:val="70"/>
  </w:num>
  <w:num w:numId="14">
    <w:abstractNumId w:val="38"/>
  </w:num>
  <w:num w:numId="15">
    <w:abstractNumId w:val="65"/>
  </w:num>
  <w:num w:numId="16">
    <w:abstractNumId w:val="48"/>
  </w:num>
  <w:num w:numId="17">
    <w:abstractNumId w:val="63"/>
  </w:num>
  <w:num w:numId="18">
    <w:abstractNumId w:val="60"/>
  </w:num>
  <w:num w:numId="19">
    <w:abstractNumId w:val="68"/>
  </w:num>
  <w:num w:numId="20">
    <w:abstractNumId w:val="47"/>
  </w:num>
  <w:num w:numId="21">
    <w:abstractNumId w:val="42"/>
  </w:num>
  <w:num w:numId="22">
    <w:abstractNumId w:val="43"/>
  </w:num>
  <w:num w:numId="23">
    <w:abstractNumId w:val="45"/>
  </w:num>
  <w:num w:numId="24">
    <w:abstractNumId w:val="37"/>
  </w:num>
  <w:num w:numId="25">
    <w:abstractNumId w:val="55"/>
  </w:num>
  <w:num w:numId="26">
    <w:abstractNumId w:val="59"/>
  </w:num>
  <w:num w:numId="27">
    <w:abstractNumId w:val="49"/>
  </w:num>
  <w:num w:numId="28">
    <w:abstractNumId w:val="64"/>
  </w:num>
  <w:num w:numId="29">
    <w:abstractNumId w:val="41"/>
  </w:num>
  <w:num w:numId="30">
    <w:abstractNumId w:val="66"/>
  </w:num>
  <w:num w:numId="31">
    <w:abstractNumId w:val="58"/>
  </w:num>
  <w:num w:numId="32">
    <w:abstractNumId w:val="67"/>
  </w:num>
  <w:num w:numId="33">
    <w:abstractNumId w:val="23"/>
  </w:num>
  <w:num w:numId="34">
    <w:abstractNumId w:val="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69"/>
  </w:num>
  <w:num w:numId="38">
    <w:abstractNumId w:val="57"/>
  </w:num>
  <w:num w:numId="39">
    <w:abstractNumId w:val="5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10B7"/>
    <w:rsid w:val="00026164"/>
    <w:rsid w:val="00031619"/>
    <w:rsid w:val="00040E26"/>
    <w:rsid w:val="0004406F"/>
    <w:rsid w:val="000645D7"/>
    <w:rsid w:val="00067D90"/>
    <w:rsid w:val="00091D6C"/>
    <w:rsid w:val="00093967"/>
    <w:rsid w:val="000A01FD"/>
    <w:rsid w:val="000A689D"/>
    <w:rsid w:val="0011748D"/>
    <w:rsid w:val="00121F87"/>
    <w:rsid w:val="00146B8B"/>
    <w:rsid w:val="001566AD"/>
    <w:rsid w:val="00166C2B"/>
    <w:rsid w:val="00192B5C"/>
    <w:rsid w:val="001C0AC6"/>
    <w:rsid w:val="001D4D42"/>
    <w:rsid w:val="001E05EF"/>
    <w:rsid w:val="001E354D"/>
    <w:rsid w:val="001E41B9"/>
    <w:rsid w:val="001F048F"/>
    <w:rsid w:val="001F54B2"/>
    <w:rsid w:val="00201B05"/>
    <w:rsid w:val="002122D9"/>
    <w:rsid w:val="002150F1"/>
    <w:rsid w:val="00240434"/>
    <w:rsid w:val="00244C27"/>
    <w:rsid w:val="00280C23"/>
    <w:rsid w:val="00284F23"/>
    <w:rsid w:val="0029286C"/>
    <w:rsid w:val="00297E1C"/>
    <w:rsid w:val="002A19B9"/>
    <w:rsid w:val="002A1AFE"/>
    <w:rsid w:val="002B76B6"/>
    <w:rsid w:val="002D2D88"/>
    <w:rsid w:val="002D5E4F"/>
    <w:rsid w:val="002F410E"/>
    <w:rsid w:val="003017A8"/>
    <w:rsid w:val="00305F85"/>
    <w:rsid w:val="00306623"/>
    <w:rsid w:val="00313408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3D0882"/>
    <w:rsid w:val="00400569"/>
    <w:rsid w:val="00400FCC"/>
    <w:rsid w:val="00406636"/>
    <w:rsid w:val="00413DB3"/>
    <w:rsid w:val="0046155A"/>
    <w:rsid w:val="00480B4A"/>
    <w:rsid w:val="004822C7"/>
    <w:rsid w:val="00483CD9"/>
    <w:rsid w:val="004902C6"/>
    <w:rsid w:val="004912B9"/>
    <w:rsid w:val="00492278"/>
    <w:rsid w:val="004A51B5"/>
    <w:rsid w:val="004B2A05"/>
    <w:rsid w:val="004B5101"/>
    <w:rsid w:val="004D1EE5"/>
    <w:rsid w:val="004D2E38"/>
    <w:rsid w:val="004E3775"/>
    <w:rsid w:val="004F5DB5"/>
    <w:rsid w:val="004F66FE"/>
    <w:rsid w:val="004F77EE"/>
    <w:rsid w:val="00511109"/>
    <w:rsid w:val="00530095"/>
    <w:rsid w:val="00545F1E"/>
    <w:rsid w:val="00546309"/>
    <w:rsid w:val="0054726A"/>
    <w:rsid w:val="0055344B"/>
    <w:rsid w:val="005650E1"/>
    <w:rsid w:val="005741A4"/>
    <w:rsid w:val="00593BAB"/>
    <w:rsid w:val="005948EB"/>
    <w:rsid w:val="005A60A7"/>
    <w:rsid w:val="005B0A71"/>
    <w:rsid w:val="005B6E96"/>
    <w:rsid w:val="005D3310"/>
    <w:rsid w:val="005D5FDF"/>
    <w:rsid w:val="005E12F0"/>
    <w:rsid w:val="005E21B8"/>
    <w:rsid w:val="005F3401"/>
    <w:rsid w:val="00603958"/>
    <w:rsid w:val="00606F7D"/>
    <w:rsid w:val="00610105"/>
    <w:rsid w:val="00620384"/>
    <w:rsid w:val="00642D1C"/>
    <w:rsid w:val="00655FA1"/>
    <w:rsid w:val="006643CE"/>
    <w:rsid w:val="006646F6"/>
    <w:rsid w:val="006755E7"/>
    <w:rsid w:val="0069062C"/>
    <w:rsid w:val="006A49B1"/>
    <w:rsid w:val="006B1803"/>
    <w:rsid w:val="006B5E83"/>
    <w:rsid w:val="006D56DE"/>
    <w:rsid w:val="006F4F26"/>
    <w:rsid w:val="00706F56"/>
    <w:rsid w:val="0072384E"/>
    <w:rsid w:val="00754580"/>
    <w:rsid w:val="00756A3C"/>
    <w:rsid w:val="00766C7F"/>
    <w:rsid w:val="00775C8A"/>
    <w:rsid w:val="00781151"/>
    <w:rsid w:val="007A0AFC"/>
    <w:rsid w:val="007A1DBA"/>
    <w:rsid w:val="007A25DC"/>
    <w:rsid w:val="007B3AF7"/>
    <w:rsid w:val="007C3912"/>
    <w:rsid w:val="007C5F01"/>
    <w:rsid w:val="00823356"/>
    <w:rsid w:val="00831A51"/>
    <w:rsid w:val="0083235D"/>
    <w:rsid w:val="00834904"/>
    <w:rsid w:val="00863A5F"/>
    <w:rsid w:val="00866EF8"/>
    <w:rsid w:val="00892DE8"/>
    <w:rsid w:val="008A4325"/>
    <w:rsid w:val="008D5144"/>
    <w:rsid w:val="008F695C"/>
    <w:rsid w:val="009022B9"/>
    <w:rsid w:val="00905D61"/>
    <w:rsid w:val="00923E61"/>
    <w:rsid w:val="00940725"/>
    <w:rsid w:val="00945587"/>
    <w:rsid w:val="009501CF"/>
    <w:rsid w:val="00961B1A"/>
    <w:rsid w:val="00961FD6"/>
    <w:rsid w:val="00967C00"/>
    <w:rsid w:val="009737ED"/>
    <w:rsid w:val="00974040"/>
    <w:rsid w:val="009819E5"/>
    <w:rsid w:val="00981A32"/>
    <w:rsid w:val="00991495"/>
    <w:rsid w:val="00993F4D"/>
    <w:rsid w:val="00995236"/>
    <w:rsid w:val="009A652C"/>
    <w:rsid w:val="009B5CA0"/>
    <w:rsid w:val="009D0441"/>
    <w:rsid w:val="009D73DC"/>
    <w:rsid w:val="009D7790"/>
    <w:rsid w:val="009F196A"/>
    <w:rsid w:val="009F7CD7"/>
    <w:rsid w:val="00A00FA6"/>
    <w:rsid w:val="00A06213"/>
    <w:rsid w:val="00A20543"/>
    <w:rsid w:val="00A238DA"/>
    <w:rsid w:val="00A577F7"/>
    <w:rsid w:val="00A72CEE"/>
    <w:rsid w:val="00A95A43"/>
    <w:rsid w:val="00AA35CF"/>
    <w:rsid w:val="00AA3832"/>
    <w:rsid w:val="00AC03B3"/>
    <w:rsid w:val="00AD1294"/>
    <w:rsid w:val="00AD5F09"/>
    <w:rsid w:val="00AF2A9B"/>
    <w:rsid w:val="00AF2C1D"/>
    <w:rsid w:val="00B16D14"/>
    <w:rsid w:val="00B30FF2"/>
    <w:rsid w:val="00B44D8D"/>
    <w:rsid w:val="00B5040C"/>
    <w:rsid w:val="00B67C9A"/>
    <w:rsid w:val="00BA0CD0"/>
    <w:rsid w:val="00BB0119"/>
    <w:rsid w:val="00BB3231"/>
    <w:rsid w:val="00BC0418"/>
    <w:rsid w:val="00BF0910"/>
    <w:rsid w:val="00BF0B98"/>
    <w:rsid w:val="00C14613"/>
    <w:rsid w:val="00C14BBE"/>
    <w:rsid w:val="00C17A5E"/>
    <w:rsid w:val="00C21113"/>
    <w:rsid w:val="00C31E32"/>
    <w:rsid w:val="00C50357"/>
    <w:rsid w:val="00C7444C"/>
    <w:rsid w:val="00C9352E"/>
    <w:rsid w:val="00C936C1"/>
    <w:rsid w:val="00CA0EBC"/>
    <w:rsid w:val="00CB1A47"/>
    <w:rsid w:val="00CB6925"/>
    <w:rsid w:val="00CC18BA"/>
    <w:rsid w:val="00CC1BEB"/>
    <w:rsid w:val="00CE4488"/>
    <w:rsid w:val="00CF05DD"/>
    <w:rsid w:val="00CF2106"/>
    <w:rsid w:val="00D049C2"/>
    <w:rsid w:val="00D07CD4"/>
    <w:rsid w:val="00D12476"/>
    <w:rsid w:val="00D2358E"/>
    <w:rsid w:val="00D26445"/>
    <w:rsid w:val="00D310BD"/>
    <w:rsid w:val="00D43416"/>
    <w:rsid w:val="00D633AF"/>
    <w:rsid w:val="00D72A0D"/>
    <w:rsid w:val="00D96849"/>
    <w:rsid w:val="00DA408C"/>
    <w:rsid w:val="00DB340C"/>
    <w:rsid w:val="00DD0072"/>
    <w:rsid w:val="00DF012C"/>
    <w:rsid w:val="00DF6CD6"/>
    <w:rsid w:val="00E053C8"/>
    <w:rsid w:val="00E24FEB"/>
    <w:rsid w:val="00E32D1C"/>
    <w:rsid w:val="00E572EC"/>
    <w:rsid w:val="00E750B8"/>
    <w:rsid w:val="00E77587"/>
    <w:rsid w:val="00E808D7"/>
    <w:rsid w:val="00E85A04"/>
    <w:rsid w:val="00E956C2"/>
    <w:rsid w:val="00EB62BF"/>
    <w:rsid w:val="00ED2F84"/>
    <w:rsid w:val="00EE7CA9"/>
    <w:rsid w:val="00F07F02"/>
    <w:rsid w:val="00F51C87"/>
    <w:rsid w:val="00F522D5"/>
    <w:rsid w:val="00F5270F"/>
    <w:rsid w:val="00F626A2"/>
    <w:rsid w:val="00F6280A"/>
    <w:rsid w:val="00F74A65"/>
    <w:rsid w:val="00FD20DA"/>
    <w:rsid w:val="00FD5544"/>
    <w:rsid w:val="00FD612A"/>
    <w:rsid w:val="00FF0CD9"/>
    <w:rsid w:val="00FF2416"/>
    <w:rsid w:val="00FF525A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D8F70-E212-4081-A008-373D699E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paragraph" w:customStyle="1" w:styleId="pkt">
    <w:name w:val="pkt"/>
    <w:basedOn w:val="Normalny"/>
    <w:rsid w:val="00F626A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C880-0925-4991-84B4-C8F43CE3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5721</Words>
  <Characters>34328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15</cp:revision>
  <dcterms:created xsi:type="dcterms:W3CDTF">2019-02-05T08:51:00Z</dcterms:created>
  <dcterms:modified xsi:type="dcterms:W3CDTF">2019-03-04T08:09:00Z</dcterms:modified>
</cp:coreProperties>
</file>