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DCD" w:rsidRPr="00BE6FA1" w:rsidRDefault="00605A87" w:rsidP="003A27DA">
      <w:pPr>
        <w:spacing w:line="360" w:lineRule="auto"/>
        <w:jc w:val="center"/>
        <w:rPr>
          <w:rFonts w:ascii="Times New Roman" w:hAnsi="Times New Roman" w:cs="Times New Roman"/>
        </w:rPr>
      </w:pPr>
      <w:r>
        <w:rPr>
          <w:noProof/>
        </w:rPr>
        <w:drawing>
          <wp:anchor distT="0" distB="0" distL="114300" distR="114300" simplePos="0" relativeHeight="251739136" behindDoc="1" locked="0" layoutInCell="1" allowOverlap="1" wp14:anchorId="75F94E33" wp14:editId="7839DF27">
            <wp:simplePos x="0" y="0"/>
            <wp:positionH relativeFrom="column">
              <wp:posOffset>986155</wp:posOffset>
            </wp:positionH>
            <wp:positionV relativeFrom="paragraph">
              <wp:posOffset>367030</wp:posOffset>
            </wp:positionV>
            <wp:extent cx="3933825" cy="4572000"/>
            <wp:effectExtent l="0" t="0" r="0" b="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3.jpg"/>
                    <pic:cNvPicPr/>
                  </pic:nvPicPr>
                  <pic:blipFill>
                    <a:blip r:embed="rId8">
                      <a:extLst>
                        <a:ext uri="{28A0092B-C50C-407E-A947-70E740481C1C}">
                          <a14:useLocalDpi xmlns:a14="http://schemas.microsoft.com/office/drawing/2010/main" val="0"/>
                        </a:ext>
                      </a:extLst>
                    </a:blip>
                    <a:stretch>
                      <a:fillRect/>
                    </a:stretch>
                  </pic:blipFill>
                  <pic:spPr>
                    <a:xfrm>
                      <a:off x="0" y="0"/>
                      <a:ext cx="3933825" cy="4572000"/>
                    </a:xfrm>
                    <a:prstGeom prst="rect">
                      <a:avLst/>
                    </a:prstGeom>
                  </pic:spPr>
                </pic:pic>
              </a:graphicData>
            </a:graphic>
            <wp14:sizeRelH relativeFrom="page">
              <wp14:pctWidth>0</wp14:pctWidth>
            </wp14:sizeRelH>
            <wp14:sizeRelV relativeFrom="page">
              <wp14:pctHeight>0</wp14:pctHeight>
            </wp14:sizeRelV>
          </wp:anchor>
        </w:drawing>
      </w:r>
    </w:p>
    <w:p w:rsidR="001718E8" w:rsidRDefault="001718E8" w:rsidP="00605A87">
      <w:pPr>
        <w:spacing w:line="360" w:lineRule="auto"/>
        <w:rPr>
          <w:rFonts w:ascii="Times New Roman" w:hAnsi="Times New Roman" w:cs="Times New Roman"/>
        </w:rPr>
      </w:pPr>
    </w:p>
    <w:p w:rsidR="008306AC" w:rsidRPr="00BE6FA1" w:rsidRDefault="008306AC" w:rsidP="00605A87">
      <w:pPr>
        <w:spacing w:line="360" w:lineRule="auto"/>
        <w:rPr>
          <w:rFonts w:ascii="Times New Roman" w:hAnsi="Times New Roman" w:cs="Times New Roman"/>
        </w:rPr>
      </w:pPr>
    </w:p>
    <w:p w:rsidR="00E27C7C" w:rsidRPr="00605A87" w:rsidRDefault="001718E8" w:rsidP="00605A87">
      <w:pPr>
        <w:spacing w:line="360" w:lineRule="auto"/>
        <w:jc w:val="center"/>
        <w:rPr>
          <w:rFonts w:ascii="Times New Roman" w:hAnsi="Times New Roman" w:cs="Times New Roman"/>
          <w:b/>
          <w:sz w:val="46"/>
          <w:szCs w:val="46"/>
        </w:rPr>
      </w:pPr>
      <w:r w:rsidRPr="00BE6FA1">
        <w:rPr>
          <w:rFonts w:ascii="Times New Roman" w:hAnsi="Times New Roman" w:cs="Times New Roman"/>
          <w:b/>
          <w:sz w:val="46"/>
          <w:szCs w:val="46"/>
        </w:rPr>
        <w:t xml:space="preserve">PLAN GOSPODARKI NISKOEMISYJNEJ DLA MIASTA I GMINY KAŃCZUGA </w:t>
      </w:r>
      <w:r w:rsidR="00E27C7C" w:rsidRPr="00BE6FA1">
        <w:rPr>
          <w:rFonts w:ascii="Times New Roman" w:hAnsi="Times New Roman" w:cs="Times New Roman"/>
          <w:b/>
          <w:sz w:val="46"/>
          <w:szCs w:val="46"/>
        </w:rPr>
        <w:br/>
      </w:r>
      <w:r w:rsidRPr="00BE6FA1">
        <w:rPr>
          <w:rFonts w:ascii="Times New Roman" w:hAnsi="Times New Roman" w:cs="Times New Roman"/>
          <w:b/>
          <w:sz w:val="46"/>
          <w:szCs w:val="46"/>
        </w:rPr>
        <w:t xml:space="preserve">NA LATA 2016 </w:t>
      </w:r>
      <w:r w:rsidR="00E27C7C" w:rsidRPr="00BE6FA1">
        <w:rPr>
          <w:rFonts w:ascii="Times New Roman" w:hAnsi="Times New Roman" w:cs="Times New Roman"/>
          <w:b/>
          <w:sz w:val="46"/>
          <w:szCs w:val="46"/>
        </w:rPr>
        <w:t>–</w:t>
      </w:r>
      <w:r w:rsidRPr="00BE6FA1">
        <w:rPr>
          <w:rFonts w:ascii="Times New Roman" w:hAnsi="Times New Roman" w:cs="Times New Roman"/>
          <w:b/>
          <w:sz w:val="46"/>
          <w:szCs w:val="46"/>
        </w:rPr>
        <w:t xml:space="preserve"> 2021</w:t>
      </w:r>
    </w:p>
    <w:p w:rsidR="004B0AEA" w:rsidRPr="00BE6FA1" w:rsidRDefault="004B0AEA" w:rsidP="003A27DA">
      <w:pPr>
        <w:spacing w:line="360" w:lineRule="auto"/>
        <w:jc w:val="center"/>
        <w:rPr>
          <w:rFonts w:ascii="Times New Roman" w:hAnsi="Times New Roman" w:cs="Times New Roman"/>
          <w:i/>
          <w:sz w:val="28"/>
        </w:rPr>
      </w:pPr>
    </w:p>
    <w:p w:rsidR="00AB0DC5" w:rsidRDefault="00AB0DC5" w:rsidP="00605A87">
      <w:pPr>
        <w:spacing w:line="360" w:lineRule="auto"/>
        <w:rPr>
          <w:rFonts w:ascii="Times New Roman" w:hAnsi="Times New Roman" w:cs="Times New Roman"/>
          <w:i/>
          <w:sz w:val="28"/>
        </w:rPr>
      </w:pPr>
    </w:p>
    <w:p w:rsidR="008306AC" w:rsidRPr="00BE6FA1" w:rsidRDefault="008306AC" w:rsidP="00605A87">
      <w:pPr>
        <w:spacing w:line="360" w:lineRule="auto"/>
        <w:rPr>
          <w:rFonts w:ascii="Times New Roman" w:hAnsi="Times New Roman" w:cs="Times New Roman"/>
          <w:i/>
          <w:sz w:val="28"/>
        </w:rPr>
      </w:pPr>
    </w:p>
    <w:p w:rsidR="004B0AEA" w:rsidRDefault="00E27C7C" w:rsidP="003A27DA">
      <w:pPr>
        <w:spacing w:line="360" w:lineRule="auto"/>
        <w:jc w:val="center"/>
        <w:rPr>
          <w:rFonts w:ascii="Times New Roman" w:hAnsi="Times New Roman" w:cs="Times New Roman"/>
          <w:i/>
          <w:sz w:val="28"/>
        </w:rPr>
      </w:pPr>
      <w:r w:rsidRPr="00BE6FA1">
        <w:rPr>
          <w:rFonts w:ascii="Times New Roman" w:hAnsi="Times New Roman" w:cs="Times New Roman"/>
          <w:i/>
          <w:sz w:val="28"/>
        </w:rPr>
        <w:t>Kańczuga, 2016</w:t>
      </w:r>
    </w:p>
    <w:p w:rsidR="00605A87" w:rsidRPr="00BE6FA1" w:rsidRDefault="00605A87" w:rsidP="003A27DA">
      <w:pPr>
        <w:spacing w:line="360" w:lineRule="auto"/>
        <w:jc w:val="center"/>
        <w:rPr>
          <w:rFonts w:ascii="Times New Roman" w:hAnsi="Times New Roman" w:cs="Times New Roman"/>
          <w:i/>
          <w:sz w:val="28"/>
        </w:rPr>
      </w:pP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Opracowanie:</w:t>
      </w:r>
    </w:p>
    <w:p w:rsidR="00E27C7C" w:rsidRPr="00BE6FA1" w:rsidRDefault="00E27C7C" w:rsidP="003A27DA">
      <w:pPr>
        <w:spacing w:line="360" w:lineRule="auto"/>
        <w:jc w:val="center"/>
        <w:rPr>
          <w:rFonts w:ascii="Times New Roman" w:hAnsi="Times New Roman" w:cs="Times New Roman"/>
          <w:sz w:val="28"/>
        </w:rPr>
      </w:pPr>
    </w:p>
    <w:p w:rsidR="00E27C7C" w:rsidRPr="00BE6FA1" w:rsidRDefault="00E27C7C" w:rsidP="003A27DA">
      <w:pPr>
        <w:spacing w:line="360" w:lineRule="auto"/>
        <w:jc w:val="center"/>
        <w:rPr>
          <w:rFonts w:ascii="Times New Roman" w:hAnsi="Times New Roman" w:cs="Times New Roman"/>
          <w:sz w:val="28"/>
        </w:rPr>
      </w:pP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noProof/>
          <w:sz w:val="28"/>
        </w:rPr>
        <w:drawing>
          <wp:inline distT="0" distB="0" distL="0" distR="0" wp14:anchorId="1A81BE1E" wp14:editId="7E675764">
            <wp:extent cx="1800225" cy="752475"/>
            <wp:effectExtent l="0" t="0" r="9525" b="9525"/>
            <wp:docPr id="5" name="Obraz 5" descr="C:\Documents and Settings\oem\Pulpit\BRZOZÓ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em\Pulpit\BRZOZÓW\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p>
    <w:p w:rsidR="00E27C7C" w:rsidRPr="00BE6FA1" w:rsidRDefault="00E27C7C" w:rsidP="003A27DA">
      <w:pPr>
        <w:spacing w:line="360" w:lineRule="auto"/>
        <w:jc w:val="center"/>
        <w:rPr>
          <w:rFonts w:ascii="Times New Roman" w:hAnsi="Times New Roman" w:cs="Times New Roman"/>
          <w:sz w:val="28"/>
        </w:rPr>
      </w:pPr>
    </w:p>
    <w:p w:rsidR="00E27C7C" w:rsidRPr="00BE6FA1" w:rsidRDefault="00E27C7C" w:rsidP="003A27DA">
      <w:pPr>
        <w:spacing w:line="360" w:lineRule="auto"/>
        <w:jc w:val="center"/>
        <w:rPr>
          <w:rFonts w:ascii="Times New Roman" w:hAnsi="Times New Roman" w:cs="Times New Roman"/>
          <w:sz w:val="28"/>
          <w:lang w:val="en-US"/>
        </w:rPr>
      </w:pPr>
      <w:r w:rsidRPr="00BE6FA1">
        <w:rPr>
          <w:rFonts w:ascii="Times New Roman" w:hAnsi="Times New Roman" w:cs="Times New Roman"/>
          <w:b/>
          <w:bCs/>
          <w:sz w:val="28"/>
          <w:lang w:val="en-US"/>
        </w:rPr>
        <w:t>Future Green Innovations S.A.</w:t>
      </w: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 xml:space="preserve">ul. Sudolska 16 </w:t>
      </w: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31-422 Kraków</w:t>
      </w:r>
    </w:p>
    <w:p w:rsidR="00E27C7C" w:rsidRPr="00BE6FA1" w:rsidRDefault="00E27C7C" w:rsidP="003A27DA">
      <w:pPr>
        <w:spacing w:line="360" w:lineRule="auto"/>
        <w:jc w:val="center"/>
        <w:rPr>
          <w:rFonts w:ascii="Times New Roman" w:hAnsi="Times New Roman" w:cs="Times New Roman"/>
          <w:sz w:val="28"/>
        </w:rPr>
      </w:pP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Telefon: +48 12 632 41 29</w:t>
      </w: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Fax: +48 12 418 26 30</w:t>
      </w:r>
    </w:p>
    <w:p w:rsidR="00E27C7C" w:rsidRPr="00BE6FA1" w:rsidRDefault="00E27C7C" w:rsidP="003A27DA">
      <w:pPr>
        <w:spacing w:line="360" w:lineRule="auto"/>
        <w:jc w:val="center"/>
        <w:rPr>
          <w:rFonts w:ascii="Times New Roman" w:hAnsi="Times New Roman" w:cs="Times New Roman"/>
          <w:sz w:val="28"/>
          <w:lang w:val="en-US"/>
        </w:rPr>
      </w:pPr>
      <w:r w:rsidRPr="00BE6FA1">
        <w:rPr>
          <w:rFonts w:ascii="Times New Roman" w:hAnsi="Times New Roman" w:cs="Times New Roman"/>
          <w:b/>
          <w:bCs/>
          <w:sz w:val="28"/>
          <w:lang w:val="en-US"/>
        </w:rPr>
        <w:t>E-mail: office@greenfuture-projekt.pl</w:t>
      </w:r>
    </w:p>
    <w:p w:rsidR="00E27C7C" w:rsidRPr="00BE6FA1" w:rsidRDefault="00E27C7C" w:rsidP="003A27DA">
      <w:pPr>
        <w:spacing w:line="360" w:lineRule="auto"/>
        <w:jc w:val="center"/>
        <w:rPr>
          <w:rFonts w:ascii="Times New Roman" w:hAnsi="Times New Roman" w:cs="Times New Roman"/>
          <w:sz w:val="28"/>
          <w:lang w:val="en-US"/>
        </w:rPr>
      </w:pPr>
    </w:p>
    <w:p w:rsidR="00E27C7C" w:rsidRPr="00BE6FA1" w:rsidRDefault="00E27C7C" w:rsidP="003A27DA">
      <w:pPr>
        <w:spacing w:line="360" w:lineRule="auto"/>
        <w:jc w:val="center"/>
        <w:rPr>
          <w:rFonts w:ascii="Times New Roman" w:hAnsi="Times New Roman" w:cs="Times New Roman"/>
          <w:sz w:val="28"/>
          <w:lang w:val="en-US"/>
        </w:rPr>
      </w:pP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Opracował zespół w składzie:</w:t>
      </w: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mgr inż. Katarzyna Lechończak</w:t>
      </w:r>
    </w:p>
    <w:p w:rsidR="00E27C7C" w:rsidRPr="00BE6FA1" w:rsidRDefault="00E27C7C" w:rsidP="003A27DA">
      <w:pPr>
        <w:spacing w:line="360" w:lineRule="auto"/>
        <w:jc w:val="center"/>
        <w:rPr>
          <w:rFonts w:ascii="Times New Roman" w:hAnsi="Times New Roman" w:cs="Times New Roman"/>
          <w:sz w:val="28"/>
        </w:rPr>
      </w:pPr>
      <w:r w:rsidRPr="00BE6FA1">
        <w:rPr>
          <w:rFonts w:ascii="Times New Roman" w:hAnsi="Times New Roman" w:cs="Times New Roman"/>
          <w:sz w:val="28"/>
        </w:rPr>
        <w:t>mgr Jarosław Dąbrowski</w:t>
      </w:r>
    </w:p>
    <w:p w:rsidR="003A27DA" w:rsidRPr="00BE6FA1" w:rsidRDefault="003A27DA" w:rsidP="003A27DA">
      <w:pPr>
        <w:spacing w:line="360" w:lineRule="auto"/>
        <w:jc w:val="center"/>
        <w:rPr>
          <w:rFonts w:ascii="Times New Roman" w:hAnsi="Times New Roman" w:cs="Times New Roman"/>
          <w:sz w:val="28"/>
        </w:rPr>
      </w:pPr>
      <w:r w:rsidRPr="00BE6FA1">
        <w:rPr>
          <w:rFonts w:ascii="Times New Roman" w:hAnsi="Times New Roman" w:cs="Times New Roman"/>
          <w:sz w:val="28"/>
        </w:rPr>
        <w:t>Paulina Traczyk</w:t>
      </w:r>
    </w:p>
    <w:p w:rsidR="00E27C7C" w:rsidRPr="00BE6FA1" w:rsidRDefault="00E27C7C" w:rsidP="003A27DA">
      <w:pPr>
        <w:spacing w:line="360" w:lineRule="auto"/>
        <w:jc w:val="center"/>
        <w:rPr>
          <w:rFonts w:ascii="Times New Roman" w:hAnsi="Times New Roman" w:cs="Times New Roman"/>
          <w:b/>
          <w:bCs/>
          <w:i/>
          <w:sz w:val="28"/>
        </w:rPr>
      </w:pPr>
    </w:p>
    <w:sdt>
      <w:sdtPr>
        <w:rPr>
          <w:rFonts w:ascii="Times New Roman" w:eastAsiaTheme="minorHAnsi" w:hAnsi="Times New Roman" w:cs="Times New Roman"/>
          <w:b w:val="0"/>
          <w:bCs w:val="0"/>
          <w:color w:val="auto"/>
          <w:sz w:val="22"/>
          <w:szCs w:val="22"/>
          <w:lang w:eastAsia="en-US"/>
        </w:rPr>
        <w:id w:val="1008341560"/>
        <w:docPartObj>
          <w:docPartGallery w:val="Table of Contents"/>
          <w:docPartUnique/>
        </w:docPartObj>
      </w:sdtPr>
      <w:sdtEndPr>
        <w:rPr>
          <w:rFonts w:eastAsiaTheme="minorEastAsia"/>
          <w:sz w:val="24"/>
          <w:szCs w:val="24"/>
          <w:lang w:eastAsia="pl-PL"/>
        </w:rPr>
      </w:sdtEndPr>
      <w:sdtContent>
        <w:p w:rsidR="007F7398" w:rsidRPr="00BE6FA1" w:rsidRDefault="007F7398" w:rsidP="004568D6">
          <w:pPr>
            <w:pStyle w:val="Nagwekspisutreci"/>
            <w:jc w:val="both"/>
            <w:rPr>
              <w:rFonts w:ascii="Times New Roman" w:hAnsi="Times New Roman" w:cs="Times New Roman"/>
              <w:color w:val="auto"/>
              <w:szCs w:val="24"/>
            </w:rPr>
          </w:pPr>
          <w:r w:rsidRPr="00BE6FA1">
            <w:rPr>
              <w:rFonts w:ascii="Times New Roman" w:hAnsi="Times New Roman" w:cs="Times New Roman"/>
              <w:color w:val="auto"/>
              <w:szCs w:val="24"/>
            </w:rPr>
            <w:t>Spis treści</w:t>
          </w:r>
        </w:p>
        <w:p w:rsidR="00095068" w:rsidRDefault="00BB43A3">
          <w:pPr>
            <w:pStyle w:val="Spistreci1"/>
            <w:rPr>
              <w:noProof/>
            </w:rPr>
          </w:pPr>
          <w:r w:rsidRPr="00BE6FA1">
            <w:rPr>
              <w:rFonts w:ascii="Times New Roman" w:hAnsi="Times New Roman" w:cs="Times New Roman"/>
              <w:sz w:val="24"/>
              <w:szCs w:val="24"/>
            </w:rPr>
            <w:fldChar w:fldCharType="begin"/>
          </w:r>
          <w:r w:rsidR="007F7398" w:rsidRPr="00BE6FA1">
            <w:rPr>
              <w:rFonts w:ascii="Times New Roman" w:hAnsi="Times New Roman" w:cs="Times New Roman"/>
              <w:sz w:val="24"/>
              <w:szCs w:val="24"/>
            </w:rPr>
            <w:instrText xml:space="preserve"> TOC \o "1-3" \h \z \u </w:instrText>
          </w:r>
          <w:r w:rsidRPr="00BE6FA1">
            <w:rPr>
              <w:rFonts w:ascii="Times New Roman" w:hAnsi="Times New Roman" w:cs="Times New Roman"/>
              <w:sz w:val="24"/>
              <w:szCs w:val="24"/>
            </w:rPr>
            <w:fldChar w:fldCharType="separate"/>
          </w:r>
          <w:hyperlink w:anchor="_Toc449097707" w:history="1">
            <w:r w:rsidR="00095068" w:rsidRPr="003F491C">
              <w:rPr>
                <w:rStyle w:val="Hipercze"/>
                <w:rFonts w:ascii="Times New Roman" w:hAnsi="Times New Roman" w:cs="Times New Roman"/>
                <w:noProof/>
              </w:rPr>
              <w:t>Streszczenie</w:t>
            </w:r>
            <w:r w:rsidR="00095068">
              <w:rPr>
                <w:noProof/>
                <w:webHidden/>
              </w:rPr>
              <w:tab/>
            </w:r>
            <w:r w:rsidR="00095068">
              <w:rPr>
                <w:noProof/>
                <w:webHidden/>
              </w:rPr>
              <w:fldChar w:fldCharType="begin"/>
            </w:r>
            <w:r w:rsidR="00095068">
              <w:rPr>
                <w:noProof/>
                <w:webHidden/>
              </w:rPr>
              <w:instrText xml:space="preserve"> PAGEREF _Toc449097707 \h </w:instrText>
            </w:r>
            <w:r w:rsidR="00095068">
              <w:rPr>
                <w:noProof/>
                <w:webHidden/>
              </w:rPr>
            </w:r>
            <w:r w:rsidR="00095068">
              <w:rPr>
                <w:noProof/>
                <w:webHidden/>
              </w:rPr>
              <w:fldChar w:fldCharType="separate"/>
            </w:r>
            <w:r w:rsidR="003D63ED">
              <w:rPr>
                <w:noProof/>
                <w:webHidden/>
              </w:rPr>
              <w:t>8</w:t>
            </w:r>
            <w:r w:rsidR="00095068">
              <w:rPr>
                <w:noProof/>
                <w:webHidden/>
              </w:rPr>
              <w:fldChar w:fldCharType="end"/>
            </w:r>
          </w:hyperlink>
        </w:p>
        <w:p w:rsidR="00095068" w:rsidRDefault="000D713D">
          <w:pPr>
            <w:pStyle w:val="Spistreci1"/>
            <w:rPr>
              <w:noProof/>
            </w:rPr>
          </w:pPr>
          <w:hyperlink w:anchor="_Toc449097708" w:history="1">
            <w:r w:rsidR="00095068" w:rsidRPr="003F491C">
              <w:rPr>
                <w:rStyle w:val="Hipercze"/>
                <w:rFonts w:ascii="Times New Roman" w:hAnsi="Times New Roman" w:cs="Times New Roman"/>
                <w:noProof/>
              </w:rPr>
              <w:t>Wstęp</w:t>
            </w:r>
            <w:r w:rsidR="00095068">
              <w:rPr>
                <w:noProof/>
                <w:webHidden/>
              </w:rPr>
              <w:tab/>
            </w:r>
            <w:r w:rsidR="00095068">
              <w:rPr>
                <w:noProof/>
                <w:webHidden/>
              </w:rPr>
              <w:fldChar w:fldCharType="begin"/>
            </w:r>
            <w:r w:rsidR="00095068">
              <w:rPr>
                <w:noProof/>
                <w:webHidden/>
              </w:rPr>
              <w:instrText xml:space="preserve"> PAGEREF _Toc449097708 \h </w:instrText>
            </w:r>
            <w:r w:rsidR="00095068">
              <w:rPr>
                <w:noProof/>
                <w:webHidden/>
              </w:rPr>
            </w:r>
            <w:r w:rsidR="00095068">
              <w:rPr>
                <w:noProof/>
                <w:webHidden/>
              </w:rPr>
              <w:fldChar w:fldCharType="separate"/>
            </w:r>
            <w:r w:rsidR="003D63ED">
              <w:rPr>
                <w:noProof/>
                <w:webHidden/>
              </w:rPr>
              <w:t>8</w:t>
            </w:r>
            <w:r w:rsidR="00095068">
              <w:rPr>
                <w:noProof/>
                <w:webHidden/>
              </w:rPr>
              <w:fldChar w:fldCharType="end"/>
            </w:r>
          </w:hyperlink>
        </w:p>
        <w:p w:rsidR="00095068" w:rsidRDefault="000D713D">
          <w:pPr>
            <w:pStyle w:val="Spistreci2"/>
            <w:tabs>
              <w:tab w:val="right" w:leader="dot" w:pos="9062"/>
            </w:tabs>
            <w:rPr>
              <w:noProof/>
            </w:rPr>
          </w:pPr>
          <w:hyperlink w:anchor="_Toc449097709" w:history="1">
            <w:r w:rsidR="00095068" w:rsidRPr="003F491C">
              <w:rPr>
                <w:rStyle w:val="Hipercze"/>
                <w:rFonts w:ascii="Times New Roman" w:hAnsi="Times New Roman" w:cs="Times New Roman"/>
                <w:noProof/>
              </w:rPr>
              <w:t>Cel opracowania i podstawy formalne</w:t>
            </w:r>
            <w:r w:rsidR="00095068">
              <w:rPr>
                <w:noProof/>
                <w:webHidden/>
              </w:rPr>
              <w:tab/>
            </w:r>
            <w:r w:rsidR="00095068">
              <w:rPr>
                <w:noProof/>
                <w:webHidden/>
              </w:rPr>
              <w:fldChar w:fldCharType="begin"/>
            </w:r>
            <w:r w:rsidR="00095068">
              <w:rPr>
                <w:noProof/>
                <w:webHidden/>
              </w:rPr>
              <w:instrText xml:space="preserve"> PAGEREF _Toc449097709 \h </w:instrText>
            </w:r>
            <w:r w:rsidR="00095068">
              <w:rPr>
                <w:noProof/>
                <w:webHidden/>
              </w:rPr>
            </w:r>
            <w:r w:rsidR="00095068">
              <w:rPr>
                <w:noProof/>
                <w:webHidden/>
              </w:rPr>
              <w:fldChar w:fldCharType="separate"/>
            </w:r>
            <w:r w:rsidR="003D63ED">
              <w:rPr>
                <w:noProof/>
                <w:webHidden/>
              </w:rPr>
              <w:t>8</w:t>
            </w:r>
            <w:r w:rsidR="00095068">
              <w:rPr>
                <w:noProof/>
                <w:webHidden/>
              </w:rPr>
              <w:fldChar w:fldCharType="end"/>
            </w:r>
          </w:hyperlink>
        </w:p>
        <w:p w:rsidR="00095068" w:rsidRDefault="000D713D">
          <w:pPr>
            <w:pStyle w:val="Spistreci2"/>
            <w:tabs>
              <w:tab w:val="right" w:leader="dot" w:pos="9062"/>
            </w:tabs>
            <w:rPr>
              <w:noProof/>
            </w:rPr>
          </w:pPr>
          <w:hyperlink w:anchor="_Toc449097710" w:history="1">
            <w:r w:rsidR="00095068" w:rsidRPr="003F491C">
              <w:rPr>
                <w:rStyle w:val="Hipercze"/>
                <w:rFonts w:ascii="Times New Roman" w:hAnsi="Times New Roman" w:cs="Times New Roman"/>
                <w:noProof/>
              </w:rPr>
              <w:t>Zakres opracowania</w:t>
            </w:r>
            <w:r w:rsidR="00095068">
              <w:rPr>
                <w:noProof/>
                <w:webHidden/>
              </w:rPr>
              <w:tab/>
            </w:r>
            <w:r w:rsidR="00095068">
              <w:rPr>
                <w:noProof/>
                <w:webHidden/>
              </w:rPr>
              <w:fldChar w:fldCharType="begin"/>
            </w:r>
            <w:r w:rsidR="00095068">
              <w:rPr>
                <w:noProof/>
                <w:webHidden/>
              </w:rPr>
              <w:instrText xml:space="preserve"> PAGEREF _Toc449097710 \h </w:instrText>
            </w:r>
            <w:r w:rsidR="00095068">
              <w:rPr>
                <w:noProof/>
                <w:webHidden/>
              </w:rPr>
            </w:r>
            <w:r w:rsidR="00095068">
              <w:rPr>
                <w:noProof/>
                <w:webHidden/>
              </w:rPr>
              <w:fldChar w:fldCharType="separate"/>
            </w:r>
            <w:r w:rsidR="003D63ED">
              <w:rPr>
                <w:noProof/>
                <w:webHidden/>
              </w:rPr>
              <w:t>10</w:t>
            </w:r>
            <w:r w:rsidR="00095068">
              <w:rPr>
                <w:noProof/>
                <w:webHidden/>
              </w:rPr>
              <w:fldChar w:fldCharType="end"/>
            </w:r>
          </w:hyperlink>
        </w:p>
        <w:p w:rsidR="00095068" w:rsidRDefault="000D713D">
          <w:pPr>
            <w:pStyle w:val="Spistreci2"/>
            <w:tabs>
              <w:tab w:val="right" w:leader="dot" w:pos="9062"/>
            </w:tabs>
            <w:rPr>
              <w:noProof/>
            </w:rPr>
          </w:pPr>
          <w:hyperlink w:anchor="_Toc449097711" w:history="1">
            <w:r w:rsidR="00095068" w:rsidRPr="003F491C">
              <w:rPr>
                <w:rStyle w:val="Hipercze"/>
                <w:rFonts w:ascii="Times New Roman" w:hAnsi="Times New Roman" w:cs="Times New Roman"/>
                <w:noProof/>
              </w:rPr>
              <w:t>Przepisy prawa i dokumenty strategiczne</w:t>
            </w:r>
            <w:r w:rsidR="00095068">
              <w:rPr>
                <w:noProof/>
                <w:webHidden/>
              </w:rPr>
              <w:tab/>
            </w:r>
            <w:r w:rsidR="00095068">
              <w:rPr>
                <w:noProof/>
                <w:webHidden/>
              </w:rPr>
              <w:fldChar w:fldCharType="begin"/>
            </w:r>
            <w:r w:rsidR="00095068">
              <w:rPr>
                <w:noProof/>
                <w:webHidden/>
              </w:rPr>
              <w:instrText xml:space="preserve"> PAGEREF _Toc449097711 \h </w:instrText>
            </w:r>
            <w:r w:rsidR="00095068">
              <w:rPr>
                <w:noProof/>
                <w:webHidden/>
              </w:rPr>
            </w:r>
            <w:r w:rsidR="00095068">
              <w:rPr>
                <w:noProof/>
                <w:webHidden/>
              </w:rPr>
              <w:fldChar w:fldCharType="separate"/>
            </w:r>
            <w:r w:rsidR="003D63ED">
              <w:rPr>
                <w:noProof/>
                <w:webHidden/>
              </w:rPr>
              <w:t>10</w:t>
            </w:r>
            <w:r w:rsidR="00095068">
              <w:rPr>
                <w:noProof/>
                <w:webHidden/>
              </w:rPr>
              <w:fldChar w:fldCharType="end"/>
            </w:r>
          </w:hyperlink>
        </w:p>
        <w:p w:rsidR="00095068" w:rsidRDefault="000D713D">
          <w:pPr>
            <w:pStyle w:val="Spistreci2"/>
            <w:tabs>
              <w:tab w:val="right" w:leader="dot" w:pos="9062"/>
            </w:tabs>
            <w:rPr>
              <w:noProof/>
            </w:rPr>
          </w:pPr>
          <w:hyperlink w:anchor="_Toc449097712" w:history="1">
            <w:r w:rsidR="00095068" w:rsidRPr="003F491C">
              <w:rPr>
                <w:rStyle w:val="Hipercze"/>
                <w:rFonts w:ascii="Times New Roman" w:hAnsi="Times New Roman" w:cs="Times New Roman"/>
                <w:noProof/>
              </w:rPr>
              <w:t>Analiza regionalnych planów z punktu widzenia PGN</w:t>
            </w:r>
            <w:r w:rsidR="00095068">
              <w:rPr>
                <w:noProof/>
                <w:webHidden/>
              </w:rPr>
              <w:tab/>
            </w:r>
            <w:r w:rsidR="00095068">
              <w:rPr>
                <w:noProof/>
                <w:webHidden/>
              </w:rPr>
              <w:fldChar w:fldCharType="begin"/>
            </w:r>
            <w:r w:rsidR="00095068">
              <w:rPr>
                <w:noProof/>
                <w:webHidden/>
              </w:rPr>
              <w:instrText xml:space="preserve"> PAGEREF _Toc449097712 \h </w:instrText>
            </w:r>
            <w:r w:rsidR="00095068">
              <w:rPr>
                <w:noProof/>
                <w:webHidden/>
              </w:rPr>
            </w:r>
            <w:r w:rsidR="00095068">
              <w:rPr>
                <w:noProof/>
                <w:webHidden/>
              </w:rPr>
              <w:fldChar w:fldCharType="separate"/>
            </w:r>
            <w:r w:rsidR="003D63ED">
              <w:rPr>
                <w:noProof/>
                <w:webHidden/>
              </w:rPr>
              <w:t>13</w:t>
            </w:r>
            <w:r w:rsidR="00095068">
              <w:rPr>
                <w:noProof/>
                <w:webHidden/>
              </w:rPr>
              <w:fldChar w:fldCharType="end"/>
            </w:r>
          </w:hyperlink>
        </w:p>
        <w:p w:rsidR="00095068" w:rsidRDefault="000D713D">
          <w:pPr>
            <w:pStyle w:val="Spistreci1"/>
            <w:rPr>
              <w:noProof/>
            </w:rPr>
          </w:pPr>
          <w:hyperlink w:anchor="_Toc449097713" w:history="1">
            <w:r w:rsidR="00095068" w:rsidRPr="003F491C">
              <w:rPr>
                <w:rStyle w:val="Hipercze"/>
                <w:rFonts w:ascii="Times New Roman" w:hAnsi="Times New Roman" w:cs="Times New Roman"/>
                <w:noProof/>
              </w:rPr>
              <w:t>Charakterystyka Gminy</w:t>
            </w:r>
            <w:r w:rsidR="00095068">
              <w:rPr>
                <w:noProof/>
                <w:webHidden/>
              </w:rPr>
              <w:tab/>
            </w:r>
            <w:r w:rsidR="00095068">
              <w:rPr>
                <w:noProof/>
                <w:webHidden/>
              </w:rPr>
              <w:fldChar w:fldCharType="begin"/>
            </w:r>
            <w:r w:rsidR="00095068">
              <w:rPr>
                <w:noProof/>
                <w:webHidden/>
              </w:rPr>
              <w:instrText xml:space="preserve"> PAGEREF _Toc449097713 \h </w:instrText>
            </w:r>
            <w:r w:rsidR="00095068">
              <w:rPr>
                <w:noProof/>
                <w:webHidden/>
              </w:rPr>
            </w:r>
            <w:r w:rsidR="00095068">
              <w:rPr>
                <w:noProof/>
                <w:webHidden/>
              </w:rPr>
              <w:fldChar w:fldCharType="separate"/>
            </w:r>
            <w:r w:rsidR="003D63ED">
              <w:rPr>
                <w:noProof/>
                <w:webHidden/>
              </w:rPr>
              <w:t>15</w:t>
            </w:r>
            <w:r w:rsidR="00095068">
              <w:rPr>
                <w:noProof/>
                <w:webHidden/>
              </w:rPr>
              <w:fldChar w:fldCharType="end"/>
            </w:r>
          </w:hyperlink>
        </w:p>
        <w:p w:rsidR="00095068" w:rsidRDefault="000D713D">
          <w:pPr>
            <w:pStyle w:val="Spistreci2"/>
            <w:tabs>
              <w:tab w:val="right" w:leader="dot" w:pos="9062"/>
            </w:tabs>
            <w:rPr>
              <w:noProof/>
            </w:rPr>
          </w:pPr>
          <w:hyperlink w:anchor="_Toc449097714" w:history="1">
            <w:r w:rsidR="00095068" w:rsidRPr="003F491C">
              <w:rPr>
                <w:rStyle w:val="Hipercze"/>
                <w:rFonts w:ascii="Times New Roman" w:hAnsi="Times New Roman" w:cs="Times New Roman"/>
                <w:noProof/>
              </w:rPr>
              <w:t>Położenie</w:t>
            </w:r>
            <w:r w:rsidR="00095068">
              <w:rPr>
                <w:noProof/>
                <w:webHidden/>
              </w:rPr>
              <w:tab/>
            </w:r>
            <w:r w:rsidR="00095068">
              <w:rPr>
                <w:noProof/>
                <w:webHidden/>
              </w:rPr>
              <w:fldChar w:fldCharType="begin"/>
            </w:r>
            <w:r w:rsidR="00095068">
              <w:rPr>
                <w:noProof/>
                <w:webHidden/>
              </w:rPr>
              <w:instrText xml:space="preserve"> PAGEREF _Toc449097714 \h </w:instrText>
            </w:r>
            <w:r w:rsidR="00095068">
              <w:rPr>
                <w:noProof/>
                <w:webHidden/>
              </w:rPr>
            </w:r>
            <w:r w:rsidR="00095068">
              <w:rPr>
                <w:noProof/>
                <w:webHidden/>
              </w:rPr>
              <w:fldChar w:fldCharType="separate"/>
            </w:r>
            <w:r w:rsidR="003D63ED">
              <w:rPr>
                <w:noProof/>
                <w:webHidden/>
              </w:rPr>
              <w:t>15</w:t>
            </w:r>
            <w:r w:rsidR="00095068">
              <w:rPr>
                <w:noProof/>
                <w:webHidden/>
              </w:rPr>
              <w:fldChar w:fldCharType="end"/>
            </w:r>
          </w:hyperlink>
        </w:p>
        <w:p w:rsidR="00095068" w:rsidRDefault="000D713D">
          <w:pPr>
            <w:pStyle w:val="Spistreci2"/>
            <w:tabs>
              <w:tab w:val="right" w:leader="dot" w:pos="9062"/>
            </w:tabs>
            <w:rPr>
              <w:noProof/>
            </w:rPr>
          </w:pPr>
          <w:hyperlink w:anchor="_Toc449097715" w:history="1">
            <w:r w:rsidR="00095068" w:rsidRPr="003F491C">
              <w:rPr>
                <w:rStyle w:val="Hipercze"/>
                <w:rFonts w:ascii="Times New Roman" w:hAnsi="Times New Roman" w:cs="Times New Roman"/>
                <w:noProof/>
              </w:rPr>
              <w:t>Formy użytkowania terenu</w:t>
            </w:r>
            <w:r w:rsidR="00095068">
              <w:rPr>
                <w:noProof/>
                <w:webHidden/>
              </w:rPr>
              <w:tab/>
            </w:r>
            <w:r w:rsidR="00095068">
              <w:rPr>
                <w:noProof/>
                <w:webHidden/>
              </w:rPr>
              <w:fldChar w:fldCharType="begin"/>
            </w:r>
            <w:r w:rsidR="00095068">
              <w:rPr>
                <w:noProof/>
                <w:webHidden/>
              </w:rPr>
              <w:instrText xml:space="preserve"> PAGEREF _Toc449097715 \h </w:instrText>
            </w:r>
            <w:r w:rsidR="00095068">
              <w:rPr>
                <w:noProof/>
                <w:webHidden/>
              </w:rPr>
            </w:r>
            <w:r w:rsidR="00095068">
              <w:rPr>
                <w:noProof/>
                <w:webHidden/>
              </w:rPr>
              <w:fldChar w:fldCharType="separate"/>
            </w:r>
            <w:r w:rsidR="003D63ED">
              <w:rPr>
                <w:noProof/>
                <w:webHidden/>
              </w:rPr>
              <w:t>17</w:t>
            </w:r>
            <w:r w:rsidR="00095068">
              <w:rPr>
                <w:noProof/>
                <w:webHidden/>
              </w:rPr>
              <w:fldChar w:fldCharType="end"/>
            </w:r>
          </w:hyperlink>
        </w:p>
        <w:p w:rsidR="00095068" w:rsidRDefault="000D713D">
          <w:pPr>
            <w:pStyle w:val="Spistreci2"/>
            <w:tabs>
              <w:tab w:val="right" w:leader="dot" w:pos="9062"/>
            </w:tabs>
            <w:rPr>
              <w:noProof/>
            </w:rPr>
          </w:pPr>
          <w:hyperlink w:anchor="_Toc449097716" w:history="1">
            <w:r w:rsidR="00095068" w:rsidRPr="003F491C">
              <w:rPr>
                <w:rStyle w:val="Hipercze"/>
                <w:rFonts w:ascii="Times New Roman" w:hAnsi="Times New Roman" w:cs="Times New Roman"/>
                <w:noProof/>
              </w:rPr>
              <w:t>Obszary chronione</w:t>
            </w:r>
            <w:r w:rsidR="00095068">
              <w:rPr>
                <w:noProof/>
                <w:webHidden/>
              </w:rPr>
              <w:tab/>
            </w:r>
            <w:r w:rsidR="00095068">
              <w:rPr>
                <w:noProof/>
                <w:webHidden/>
              </w:rPr>
              <w:fldChar w:fldCharType="begin"/>
            </w:r>
            <w:r w:rsidR="00095068">
              <w:rPr>
                <w:noProof/>
                <w:webHidden/>
              </w:rPr>
              <w:instrText xml:space="preserve"> PAGEREF _Toc449097716 \h </w:instrText>
            </w:r>
            <w:r w:rsidR="00095068">
              <w:rPr>
                <w:noProof/>
                <w:webHidden/>
              </w:rPr>
            </w:r>
            <w:r w:rsidR="00095068">
              <w:rPr>
                <w:noProof/>
                <w:webHidden/>
              </w:rPr>
              <w:fldChar w:fldCharType="separate"/>
            </w:r>
            <w:r w:rsidR="003D63ED">
              <w:rPr>
                <w:noProof/>
                <w:webHidden/>
              </w:rPr>
              <w:t>19</w:t>
            </w:r>
            <w:r w:rsidR="00095068">
              <w:rPr>
                <w:noProof/>
                <w:webHidden/>
              </w:rPr>
              <w:fldChar w:fldCharType="end"/>
            </w:r>
          </w:hyperlink>
        </w:p>
        <w:p w:rsidR="00095068" w:rsidRDefault="000D713D">
          <w:pPr>
            <w:pStyle w:val="Spistreci2"/>
            <w:tabs>
              <w:tab w:val="right" w:leader="dot" w:pos="9062"/>
            </w:tabs>
            <w:rPr>
              <w:noProof/>
            </w:rPr>
          </w:pPr>
          <w:hyperlink w:anchor="_Toc449097717" w:history="1">
            <w:r w:rsidR="00095068" w:rsidRPr="003F491C">
              <w:rPr>
                <w:rStyle w:val="Hipercze"/>
                <w:rFonts w:ascii="Times New Roman" w:hAnsi="Times New Roman" w:cs="Times New Roman"/>
                <w:noProof/>
              </w:rPr>
              <w:t>Ludność</w:t>
            </w:r>
            <w:r w:rsidR="00095068">
              <w:rPr>
                <w:noProof/>
                <w:webHidden/>
              </w:rPr>
              <w:tab/>
            </w:r>
            <w:r w:rsidR="00095068">
              <w:rPr>
                <w:noProof/>
                <w:webHidden/>
              </w:rPr>
              <w:fldChar w:fldCharType="begin"/>
            </w:r>
            <w:r w:rsidR="00095068">
              <w:rPr>
                <w:noProof/>
                <w:webHidden/>
              </w:rPr>
              <w:instrText xml:space="preserve"> PAGEREF _Toc449097717 \h </w:instrText>
            </w:r>
            <w:r w:rsidR="00095068">
              <w:rPr>
                <w:noProof/>
                <w:webHidden/>
              </w:rPr>
            </w:r>
            <w:r w:rsidR="00095068">
              <w:rPr>
                <w:noProof/>
                <w:webHidden/>
              </w:rPr>
              <w:fldChar w:fldCharType="separate"/>
            </w:r>
            <w:r w:rsidR="003D63ED">
              <w:rPr>
                <w:noProof/>
                <w:webHidden/>
              </w:rPr>
              <w:t>22</w:t>
            </w:r>
            <w:r w:rsidR="00095068">
              <w:rPr>
                <w:noProof/>
                <w:webHidden/>
              </w:rPr>
              <w:fldChar w:fldCharType="end"/>
            </w:r>
          </w:hyperlink>
        </w:p>
        <w:p w:rsidR="00095068" w:rsidRDefault="000D713D">
          <w:pPr>
            <w:pStyle w:val="Spistreci2"/>
            <w:tabs>
              <w:tab w:val="right" w:leader="dot" w:pos="9062"/>
            </w:tabs>
            <w:rPr>
              <w:noProof/>
            </w:rPr>
          </w:pPr>
          <w:hyperlink w:anchor="_Toc449097718" w:history="1">
            <w:r w:rsidR="00095068" w:rsidRPr="003F491C">
              <w:rPr>
                <w:rStyle w:val="Hipercze"/>
                <w:rFonts w:ascii="Times New Roman" w:hAnsi="Times New Roman" w:cs="Times New Roman"/>
                <w:noProof/>
              </w:rPr>
              <w:t>Działalność gospodarcza</w:t>
            </w:r>
            <w:r w:rsidR="00095068">
              <w:rPr>
                <w:noProof/>
                <w:webHidden/>
              </w:rPr>
              <w:tab/>
            </w:r>
            <w:r w:rsidR="00095068">
              <w:rPr>
                <w:noProof/>
                <w:webHidden/>
              </w:rPr>
              <w:fldChar w:fldCharType="begin"/>
            </w:r>
            <w:r w:rsidR="00095068">
              <w:rPr>
                <w:noProof/>
                <w:webHidden/>
              </w:rPr>
              <w:instrText xml:space="preserve"> PAGEREF _Toc449097718 \h </w:instrText>
            </w:r>
            <w:r w:rsidR="00095068">
              <w:rPr>
                <w:noProof/>
                <w:webHidden/>
              </w:rPr>
            </w:r>
            <w:r w:rsidR="00095068">
              <w:rPr>
                <w:noProof/>
                <w:webHidden/>
              </w:rPr>
              <w:fldChar w:fldCharType="separate"/>
            </w:r>
            <w:r w:rsidR="003D63ED">
              <w:rPr>
                <w:noProof/>
                <w:webHidden/>
              </w:rPr>
              <w:t>24</w:t>
            </w:r>
            <w:r w:rsidR="00095068">
              <w:rPr>
                <w:noProof/>
                <w:webHidden/>
              </w:rPr>
              <w:fldChar w:fldCharType="end"/>
            </w:r>
          </w:hyperlink>
        </w:p>
        <w:p w:rsidR="00095068" w:rsidRDefault="000D713D">
          <w:pPr>
            <w:pStyle w:val="Spistreci2"/>
            <w:tabs>
              <w:tab w:val="right" w:leader="dot" w:pos="9062"/>
            </w:tabs>
            <w:rPr>
              <w:noProof/>
            </w:rPr>
          </w:pPr>
          <w:hyperlink w:anchor="_Toc449097719" w:history="1">
            <w:r w:rsidR="00095068" w:rsidRPr="003F491C">
              <w:rPr>
                <w:rStyle w:val="Hipercze"/>
                <w:rFonts w:ascii="Times New Roman" w:hAnsi="Times New Roman" w:cs="Times New Roman"/>
                <w:noProof/>
              </w:rPr>
              <w:t>Duże zakłady przemysłowe w Mieście i Gminie</w:t>
            </w:r>
            <w:r w:rsidR="00095068">
              <w:rPr>
                <w:noProof/>
                <w:webHidden/>
              </w:rPr>
              <w:tab/>
            </w:r>
            <w:r w:rsidR="00095068">
              <w:rPr>
                <w:noProof/>
                <w:webHidden/>
              </w:rPr>
              <w:fldChar w:fldCharType="begin"/>
            </w:r>
            <w:r w:rsidR="00095068">
              <w:rPr>
                <w:noProof/>
                <w:webHidden/>
              </w:rPr>
              <w:instrText xml:space="preserve"> PAGEREF _Toc449097719 \h </w:instrText>
            </w:r>
            <w:r w:rsidR="00095068">
              <w:rPr>
                <w:noProof/>
                <w:webHidden/>
              </w:rPr>
            </w:r>
            <w:r w:rsidR="00095068">
              <w:rPr>
                <w:noProof/>
                <w:webHidden/>
              </w:rPr>
              <w:fldChar w:fldCharType="separate"/>
            </w:r>
            <w:r w:rsidR="003D63ED">
              <w:rPr>
                <w:noProof/>
                <w:webHidden/>
              </w:rPr>
              <w:t>25</w:t>
            </w:r>
            <w:r w:rsidR="00095068">
              <w:rPr>
                <w:noProof/>
                <w:webHidden/>
              </w:rPr>
              <w:fldChar w:fldCharType="end"/>
            </w:r>
          </w:hyperlink>
        </w:p>
        <w:p w:rsidR="00095068" w:rsidRDefault="000D713D">
          <w:pPr>
            <w:pStyle w:val="Spistreci2"/>
            <w:tabs>
              <w:tab w:val="right" w:leader="dot" w:pos="9062"/>
            </w:tabs>
            <w:rPr>
              <w:noProof/>
            </w:rPr>
          </w:pPr>
          <w:hyperlink w:anchor="_Toc449097720" w:history="1">
            <w:r w:rsidR="00095068" w:rsidRPr="003F491C">
              <w:rPr>
                <w:rStyle w:val="Hipercze"/>
                <w:rFonts w:ascii="Times New Roman" w:hAnsi="Times New Roman" w:cs="Times New Roman"/>
                <w:noProof/>
              </w:rPr>
              <w:t>Transport</w:t>
            </w:r>
            <w:r w:rsidR="00095068">
              <w:rPr>
                <w:noProof/>
                <w:webHidden/>
              </w:rPr>
              <w:tab/>
            </w:r>
            <w:r w:rsidR="00095068">
              <w:rPr>
                <w:noProof/>
                <w:webHidden/>
              </w:rPr>
              <w:fldChar w:fldCharType="begin"/>
            </w:r>
            <w:r w:rsidR="00095068">
              <w:rPr>
                <w:noProof/>
                <w:webHidden/>
              </w:rPr>
              <w:instrText xml:space="preserve"> PAGEREF _Toc449097720 \h </w:instrText>
            </w:r>
            <w:r w:rsidR="00095068">
              <w:rPr>
                <w:noProof/>
                <w:webHidden/>
              </w:rPr>
            </w:r>
            <w:r w:rsidR="00095068">
              <w:rPr>
                <w:noProof/>
                <w:webHidden/>
              </w:rPr>
              <w:fldChar w:fldCharType="separate"/>
            </w:r>
            <w:r w:rsidR="003D63ED">
              <w:rPr>
                <w:noProof/>
                <w:webHidden/>
              </w:rPr>
              <w:t>25</w:t>
            </w:r>
            <w:r w:rsidR="00095068">
              <w:rPr>
                <w:noProof/>
                <w:webHidden/>
              </w:rPr>
              <w:fldChar w:fldCharType="end"/>
            </w:r>
          </w:hyperlink>
        </w:p>
        <w:p w:rsidR="00095068" w:rsidRDefault="000D713D">
          <w:pPr>
            <w:pStyle w:val="Spistreci2"/>
            <w:tabs>
              <w:tab w:val="right" w:leader="dot" w:pos="9062"/>
            </w:tabs>
            <w:rPr>
              <w:noProof/>
            </w:rPr>
          </w:pPr>
          <w:hyperlink w:anchor="_Toc449097721" w:history="1">
            <w:r w:rsidR="00095068" w:rsidRPr="003F491C">
              <w:rPr>
                <w:rStyle w:val="Hipercze"/>
                <w:rFonts w:ascii="Times New Roman" w:hAnsi="Times New Roman" w:cs="Times New Roman"/>
                <w:noProof/>
              </w:rPr>
              <w:t>Gospodarka odpadami</w:t>
            </w:r>
            <w:r w:rsidR="00095068">
              <w:rPr>
                <w:noProof/>
                <w:webHidden/>
              </w:rPr>
              <w:tab/>
            </w:r>
            <w:r w:rsidR="00095068">
              <w:rPr>
                <w:noProof/>
                <w:webHidden/>
              </w:rPr>
              <w:fldChar w:fldCharType="begin"/>
            </w:r>
            <w:r w:rsidR="00095068">
              <w:rPr>
                <w:noProof/>
                <w:webHidden/>
              </w:rPr>
              <w:instrText xml:space="preserve"> PAGEREF _Toc449097721 \h </w:instrText>
            </w:r>
            <w:r w:rsidR="00095068">
              <w:rPr>
                <w:noProof/>
                <w:webHidden/>
              </w:rPr>
            </w:r>
            <w:r w:rsidR="00095068">
              <w:rPr>
                <w:noProof/>
                <w:webHidden/>
              </w:rPr>
              <w:fldChar w:fldCharType="separate"/>
            </w:r>
            <w:r w:rsidR="003D63ED">
              <w:rPr>
                <w:noProof/>
                <w:webHidden/>
              </w:rPr>
              <w:t>26</w:t>
            </w:r>
            <w:r w:rsidR="00095068">
              <w:rPr>
                <w:noProof/>
                <w:webHidden/>
              </w:rPr>
              <w:fldChar w:fldCharType="end"/>
            </w:r>
          </w:hyperlink>
        </w:p>
        <w:p w:rsidR="00095068" w:rsidRDefault="000D713D">
          <w:pPr>
            <w:pStyle w:val="Spistreci2"/>
            <w:tabs>
              <w:tab w:val="right" w:leader="dot" w:pos="9062"/>
            </w:tabs>
            <w:rPr>
              <w:noProof/>
            </w:rPr>
          </w:pPr>
          <w:hyperlink w:anchor="_Toc449097722" w:history="1">
            <w:r w:rsidR="00095068" w:rsidRPr="003F491C">
              <w:rPr>
                <w:rStyle w:val="Hipercze"/>
                <w:rFonts w:ascii="Times New Roman" w:hAnsi="Times New Roman" w:cs="Times New Roman"/>
                <w:noProof/>
              </w:rPr>
              <w:t>Gospodarka wodno– ściekowa</w:t>
            </w:r>
            <w:r w:rsidR="00095068">
              <w:rPr>
                <w:noProof/>
                <w:webHidden/>
              </w:rPr>
              <w:tab/>
            </w:r>
            <w:r w:rsidR="00095068">
              <w:rPr>
                <w:noProof/>
                <w:webHidden/>
              </w:rPr>
              <w:fldChar w:fldCharType="begin"/>
            </w:r>
            <w:r w:rsidR="00095068">
              <w:rPr>
                <w:noProof/>
                <w:webHidden/>
              </w:rPr>
              <w:instrText xml:space="preserve"> PAGEREF _Toc449097722 \h </w:instrText>
            </w:r>
            <w:r w:rsidR="00095068">
              <w:rPr>
                <w:noProof/>
                <w:webHidden/>
              </w:rPr>
            </w:r>
            <w:r w:rsidR="00095068">
              <w:rPr>
                <w:noProof/>
                <w:webHidden/>
              </w:rPr>
              <w:fldChar w:fldCharType="separate"/>
            </w:r>
            <w:r w:rsidR="003D63ED">
              <w:rPr>
                <w:noProof/>
                <w:webHidden/>
              </w:rPr>
              <w:t>26</w:t>
            </w:r>
            <w:r w:rsidR="00095068">
              <w:rPr>
                <w:noProof/>
                <w:webHidden/>
              </w:rPr>
              <w:fldChar w:fldCharType="end"/>
            </w:r>
          </w:hyperlink>
        </w:p>
        <w:p w:rsidR="00095068" w:rsidRDefault="000D713D">
          <w:pPr>
            <w:pStyle w:val="Spistreci1"/>
            <w:rPr>
              <w:noProof/>
            </w:rPr>
          </w:pPr>
          <w:hyperlink w:anchor="_Toc449097723" w:history="1">
            <w:r w:rsidR="00095068" w:rsidRPr="003F491C">
              <w:rPr>
                <w:rStyle w:val="Hipercze"/>
                <w:rFonts w:ascii="Times New Roman" w:hAnsi="Times New Roman" w:cs="Times New Roman"/>
                <w:noProof/>
              </w:rPr>
              <w:t>Charakterystyka nośników energetycznych na terenie Gminy</w:t>
            </w:r>
            <w:r w:rsidR="00095068">
              <w:rPr>
                <w:noProof/>
                <w:webHidden/>
              </w:rPr>
              <w:tab/>
            </w:r>
            <w:r w:rsidR="00095068">
              <w:rPr>
                <w:noProof/>
                <w:webHidden/>
              </w:rPr>
              <w:fldChar w:fldCharType="begin"/>
            </w:r>
            <w:r w:rsidR="00095068">
              <w:rPr>
                <w:noProof/>
                <w:webHidden/>
              </w:rPr>
              <w:instrText xml:space="preserve"> PAGEREF _Toc449097723 \h </w:instrText>
            </w:r>
            <w:r w:rsidR="00095068">
              <w:rPr>
                <w:noProof/>
                <w:webHidden/>
              </w:rPr>
            </w:r>
            <w:r w:rsidR="00095068">
              <w:rPr>
                <w:noProof/>
                <w:webHidden/>
              </w:rPr>
              <w:fldChar w:fldCharType="separate"/>
            </w:r>
            <w:r w:rsidR="003D63ED">
              <w:rPr>
                <w:noProof/>
                <w:webHidden/>
              </w:rPr>
              <w:t>29</w:t>
            </w:r>
            <w:r w:rsidR="00095068">
              <w:rPr>
                <w:noProof/>
                <w:webHidden/>
              </w:rPr>
              <w:fldChar w:fldCharType="end"/>
            </w:r>
          </w:hyperlink>
        </w:p>
        <w:p w:rsidR="00095068" w:rsidRDefault="000D713D">
          <w:pPr>
            <w:pStyle w:val="Spistreci2"/>
            <w:tabs>
              <w:tab w:val="right" w:leader="dot" w:pos="9062"/>
            </w:tabs>
            <w:rPr>
              <w:noProof/>
            </w:rPr>
          </w:pPr>
          <w:hyperlink w:anchor="_Toc449097724" w:history="1">
            <w:r w:rsidR="00095068" w:rsidRPr="003F491C">
              <w:rPr>
                <w:rStyle w:val="Hipercze"/>
                <w:rFonts w:ascii="Times New Roman" w:hAnsi="Times New Roman" w:cs="Times New Roman"/>
                <w:noProof/>
              </w:rPr>
              <w:t>System cieplny</w:t>
            </w:r>
            <w:r w:rsidR="00095068">
              <w:rPr>
                <w:noProof/>
                <w:webHidden/>
              </w:rPr>
              <w:tab/>
            </w:r>
            <w:r w:rsidR="00095068">
              <w:rPr>
                <w:noProof/>
                <w:webHidden/>
              </w:rPr>
              <w:fldChar w:fldCharType="begin"/>
            </w:r>
            <w:r w:rsidR="00095068">
              <w:rPr>
                <w:noProof/>
                <w:webHidden/>
              </w:rPr>
              <w:instrText xml:space="preserve"> PAGEREF _Toc449097724 \h </w:instrText>
            </w:r>
            <w:r w:rsidR="00095068">
              <w:rPr>
                <w:noProof/>
                <w:webHidden/>
              </w:rPr>
            </w:r>
            <w:r w:rsidR="00095068">
              <w:rPr>
                <w:noProof/>
                <w:webHidden/>
              </w:rPr>
              <w:fldChar w:fldCharType="separate"/>
            </w:r>
            <w:r w:rsidR="003D63ED">
              <w:rPr>
                <w:noProof/>
                <w:webHidden/>
              </w:rPr>
              <w:t>29</w:t>
            </w:r>
            <w:r w:rsidR="00095068">
              <w:rPr>
                <w:noProof/>
                <w:webHidden/>
              </w:rPr>
              <w:fldChar w:fldCharType="end"/>
            </w:r>
          </w:hyperlink>
        </w:p>
        <w:p w:rsidR="00095068" w:rsidRDefault="000D713D">
          <w:pPr>
            <w:pStyle w:val="Spistreci2"/>
            <w:tabs>
              <w:tab w:val="right" w:leader="dot" w:pos="9062"/>
            </w:tabs>
            <w:rPr>
              <w:noProof/>
            </w:rPr>
          </w:pPr>
          <w:hyperlink w:anchor="_Toc449097725" w:history="1">
            <w:r w:rsidR="00095068" w:rsidRPr="003F491C">
              <w:rPr>
                <w:rStyle w:val="Hipercze"/>
                <w:rFonts w:ascii="Times New Roman" w:hAnsi="Times New Roman" w:cs="Times New Roman"/>
                <w:noProof/>
              </w:rPr>
              <w:t>System gazowniczy</w:t>
            </w:r>
            <w:r w:rsidR="00095068">
              <w:rPr>
                <w:noProof/>
                <w:webHidden/>
              </w:rPr>
              <w:tab/>
            </w:r>
            <w:r w:rsidR="00095068">
              <w:rPr>
                <w:noProof/>
                <w:webHidden/>
              </w:rPr>
              <w:fldChar w:fldCharType="begin"/>
            </w:r>
            <w:r w:rsidR="00095068">
              <w:rPr>
                <w:noProof/>
                <w:webHidden/>
              </w:rPr>
              <w:instrText xml:space="preserve"> PAGEREF _Toc449097725 \h </w:instrText>
            </w:r>
            <w:r w:rsidR="00095068">
              <w:rPr>
                <w:noProof/>
                <w:webHidden/>
              </w:rPr>
            </w:r>
            <w:r w:rsidR="00095068">
              <w:rPr>
                <w:noProof/>
                <w:webHidden/>
              </w:rPr>
              <w:fldChar w:fldCharType="separate"/>
            </w:r>
            <w:r w:rsidR="003D63ED">
              <w:rPr>
                <w:noProof/>
                <w:webHidden/>
              </w:rPr>
              <w:t>30</w:t>
            </w:r>
            <w:r w:rsidR="00095068">
              <w:rPr>
                <w:noProof/>
                <w:webHidden/>
              </w:rPr>
              <w:fldChar w:fldCharType="end"/>
            </w:r>
          </w:hyperlink>
        </w:p>
        <w:p w:rsidR="00095068" w:rsidRDefault="000D713D">
          <w:pPr>
            <w:pStyle w:val="Spistreci2"/>
            <w:tabs>
              <w:tab w:val="right" w:leader="dot" w:pos="9062"/>
            </w:tabs>
            <w:rPr>
              <w:noProof/>
            </w:rPr>
          </w:pPr>
          <w:hyperlink w:anchor="_Toc449097726" w:history="1">
            <w:r w:rsidR="00095068" w:rsidRPr="003F491C">
              <w:rPr>
                <w:rStyle w:val="Hipercze"/>
                <w:rFonts w:ascii="Times New Roman" w:hAnsi="Times New Roman" w:cs="Times New Roman"/>
                <w:noProof/>
              </w:rPr>
              <w:t>System elektroenergetyczny</w:t>
            </w:r>
            <w:r w:rsidR="00095068">
              <w:rPr>
                <w:noProof/>
                <w:webHidden/>
              </w:rPr>
              <w:tab/>
            </w:r>
            <w:r w:rsidR="00095068">
              <w:rPr>
                <w:noProof/>
                <w:webHidden/>
              </w:rPr>
              <w:fldChar w:fldCharType="begin"/>
            </w:r>
            <w:r w:rsidR="00095068">
              <w:rPr>
                <w:noProof/>
                <w:webHidden/>
              </w:rPr>
              <w:instrText xml:space="preserve"> PAGEREF _Toc449097726 \h </w:instrText>
            </w:r>
            <w:r w:rsidR="00095068">
              <w:rPr>
                <w:noProof/>
                <w:webHidden/>
              </w:rPr>
            </w:r>
            <w:r w:rsidR="00095068">
              <w:rPr>
                <w:noProof/>
                <w:webHidden/>
              </w:rPr>
              <w:fldChar w:fldCharType="separate"/>
            </w:r>
            <w:r w:rsidR="003D63ED">
              <w:rPr>
                <w:noProof/>
                <w:webHidden/>
              </w:rPr>
              <w:t>32</w:t>
            </w:r>
            <w:r w:rsidR="00095068">
              <w:rPr>
                <w:noProof/>
                <w:webHidden/>
              </w:rPr>
              <w:fldChar w:fldCharType="end"/>
            </w:r>
          </w:hyperlink>
        </w:p>
        <w:p w:rsidR="00095068" w:rsidRDefault="000D713D">
          <w:pPr>
            <w:pStyle w:val="Spistreci2"/>
            <w:tabs>
              <w:tab w:val="right" w:leader="dot" w:pos="9062"/>
            </w:tabs>
            <w:rPr>
              <w:noProof/>
            </w:rPr>
          </w:pPr>
          <w:hyperlink w:anchor="_Toc449097727" w:history="1">
            <w:r w:rsidR="00095068" w:rsidRPr="003F491C">
              <w:rPr>
                <w:rStyle w:val="Hipercze"/>
                <w:rFonts w:ascii="Times New Roman" w:hAnsi="Times New Roman" w:cs="Times New Roman"/>
                <w:noProof/>
              </w:rPr>
              <w:t>Oświetlenie uliczne</w:t>
            </w:r>
            <w:r w:rsidR="00095068">
              <w:rPr>
                <w:noProof/>
                <w:webHidden/>
              </w:rPr>
              <w:tab/>
            </w:r>
            <w:r w:rsidR="00095068">
              <w:rPr>
                <w:noProof/>
                <w:webHidden/>
              </w:rPr>
              <w:fldChar w:fldCharType="begin"/>
            </w:r>
            <w:r w:rsidR="00095068">
              <w:rPr>
                <w:noProof/>
                <w:webHidden/>
              </w:rPr>
              <w:instrText xml:space="preserve"> PAGEREF _Toc449097727 \h </w:instrText>
            </w:r>
            <w:r w:rsidR="00095068">
              <w:rPr>
                <w:noProof/>
                <w:webHidden/>
              </w:rPr>
            </w:r>
            <w:r w:rsidR="00095068">
              <w:rPr>
                <w:noProof/>
                <w:webHidden/>
              </w:rPr>
              <w:fldChar w:fldCharType="separate"/>
            </w:r>
            <w:r w:rsidR="003D63ED">
              <w:rPr>
                <w:noProof/>
                <w:webHidden/>
              </w:rPr>
              <w:t>36</w:t>
            </w:r>
            <w:r w:rsidR="00095068">
              <w:rPr>
                <w:noProof/>
                <w:webHidden/>
              </w:rPr>
              <w:fldChar w:fldCharType="end"/>
            </w:r>
          </w:hyperlink>
        </w:p>
        <w:p w:rsidR="00095068" w:rsidRDefault="000D713D">
          <w:pPr>
            <w:pStyle w:val="Spistreci2"/>
            <w:tabs>
              <w:tab w:val="right" w:leader="dot" w:pos="9062"/>
            </w:tabs>
            <w:rPr>
              <w:noProof/>
            </w:rPr>
          </w:pPr>
          <w:hyperlink w:anchor="_Toc449097728" w:history="1">
            <w:r w:rsidR="00095068" w:rsidRPr="003F491C">
              <w:rPr>
                <w:rStyle w:val="Hipercze"/>
                <w:rFonts w:ascii="Times New Roman" w:hAnsi="Times New Roman" w:cs="Times New Roman"/>
                <w:noProof/>
              </w:rPr>
              <w:t>Odnawialne źródła energii</w:t>
            </w:r>
            <w:r w:rsidR="00095068">
              <w:rPr>
                <w:noProof/>
                <w:webHidden/>
              </w:rPr>
              <w:tab/>
            </w:r>
            <w:r w:rsidR="00095068">
              <w:rPr>
                <w:noProof/>
                <w:webHidden/>
              </w:rPr>
              <w:fldChar w:fldCharType="begin"/>
            </w:r>
            <w:r w:rsidR="00095068">
              <w:rPr>
                <w:noProof/>
                <w:webHidden/>
              </w:rPr>
              <w:instrText xml:space="preserve"> PAGEREF _Toc449097728 \h </w:instrText>
            </w:r>
            <w:r w:rsidR="00095068">
              <w:rPr>
                <w:noProof/>
                <w:webHidden/>
              </w:rPr>
            </w:r>
            <w:r w:rsidR="00095068">
              <w:rPr>
                <w:noProof/>
                <w:webHidden/>
              </w:rPr>
              <w:fldChar w:fldCharType="separate"/>
            </w:r>
            <w:r w:rsidR="003D63ED">
              <w:rPr>
                <w:noProof/>
                <w:webHidden/>
              </w:rPr>
              <w:t>36</w:t>
            </w:r>
            <w:r w:rsidR="00095068">
              <w:rPr>
                <w:noProof/>
                <w:webHidden/>
              </w:rPr>
              <w:fldChar w:fldCharType="end"/>
            </w:r>
          </w:hyperlink>
        </w:p>
        <w:p w:rsidR="00095068" w:rsidRDefault="000D713D">
          <w:pPr>
            <w:pStyle w:val="Spistreci3"/>
            <w:rPr>
              <w:noProof/>
            </w:rPr>
          </w:pPr>
          <w:hyperlink w:anchor="_Toc449097729" w:history="1">
            <w:r w:rsidR="00095068" w:rsidRPr="003F491C">
              <w:rPr>
                <w:rStyle w:val="Hipercze"/>
                <w:rFonts w:ascii="Times New Roman" w:hAnsi="Times New Roman" w:cs="Times New Roman"/>
                <w:noProof/>
              </w:rPr>
              <w:t>Energetyka wodna</w:t>
            </w:r>
            <w:r w:rsidR="00095068">
              <w:rPr>
                <w:noProof/>
                <w:webHidden/>
              </w:rPr>
              <w:tab/>
            </w:r>
            <w:r w:rsidR="00095068">
              <w:rPr>
                <w:noProof/>
                <w:webHidden/>
              </w:rPr>
              <w:fldChar w:fldCharType="begin"/>
            </w:r>
            <w:r w:rsidR="00095068">
              <w:rPr>
                <w:noProof/>
                <w:webHidden/>
              </w:rPr>
              <w:instrText xml:space="preserve"> PAGEREF _Toc449097729 \h </w:instrText>
            </w:r>
            <w:r w:rsidR="00095068">
              <w:rPr>
                <w:noProof/>
                <w:webHidden/>
              </w:rPr>
            </w:r>
            <w:r w:rsidR="00095068">
              <w:rPr>
                <w:noProof/>
                <w:webHidden/>
              </w:rPr>
              <w:fldChar w:fldCharType="separate"/>
            </w:r>
            <w:r w:rsidR="003D63ED">
              <w:rPr>
                <w:noProof/>
                <w:webHidden/>
              </w:rPr>
              <w:t>37</w:t>
            </w:r>
            <w:r w:rsidR="00095068">
              <w:rPr>
                <w:noProof/>
                <w:webHidden/>
              </w:rPr>
              <w:fldChar w:fldCharType="end"/>
            </w:r>
          </w:hyperlink>
        </w:p>
        <w:p w:rsidR="00095068" w:rsidRDefault="000D713D">
          <w:pPr>
            <w:pStyle w:val="Spistreci3"/>
            <w:rPr>
              <w:noProof/>
            </w:rPr>
          </w:pPr>
          <w:hyperlink w:anchor="_Toc449097730" w:history="1">
            <w:r w:rsidR="00095068" w:rsidRPr="003F491C">
              <w:rPr>
                <w:rStyle w:val="Hipercze"/>
                <w:rFonts w:ascii="Times New Roman" w:eastAsia="Times New Roman" w:hAnsi="Times New Roman" w:cs="Times New Roman"/>
                <w:noProof/>
              </w:rPr>
              <w:t>Energetyka wiatrowa</w:t>
            </w:r>
            <w:r w:rsidR="00095068">
              <w:rPr>
                <w:noProof/>
                <w:webHidden/>
              </w:rPr>
              <w:tab/>
            </w:r>
            <w:r w:rsidR="00095068">
              <w:rPr>
                <w:noProof/>
                <w:webHidden/>
              </w:rPr>
              <w:fldChar w:fldCharType="begin"/>
            </w:r>
            <w:r w:rsidR="00095068">
              <w:rPr>
                <w:noProof/>
                <w:webHidden/>
              </w:rPr>
              <w:instrText xml:space="preserve"> PAGEREF _Toc449097730 \h </w:instrText>
            </w:r>
            <w:r w:rsidR="00095068">
              <w:rPr>
                <w:noProof/>
                <w:webHidden/>
              </w:rPr>
            </w:r>
            <w:r w:rsidR="00095068">
              <w:rPr>
                <w:noProof/>
                <w:webHidden/>
              </w:rPr>
              <w:fldChar w:fldCharType="separate"/>
            </w:r>
            <w:r w:rsidR="003D63ED">
              <w:rPr>
                <w:noProof/>
                <w:webHidden/>
              </w:rPr>
              <w:t>38</w:t>
            </w:r>
            <w:r w:rsidR="00095068">
              <w:rPr>
                <w:noProof/>
                <w:webHidden/>
              </w:rPr>
              <w:fldChar w:fldCharType="end"/>
            </w:r>
          </w:hyperlink>
        </w:p>
        <w:p w:rsidR="00095068" w:rsidRDefault="000D713D">
          <w:pPr>
            <w:pStyle w:val="Spistreci3"/>
            <w:rPr>
              <w:noProof/>
            </w:rPr>
          </w:pPr>
          <w:hyperlink w:anchor="_Toc449097731" w:history="1">
            <w:r w:rsidR="00095068" w:rsidRPr="003F491C">
              <w:rPr>
                <w:rStyle w:val="Hipercze"/>
                <w:rFonts w:ascii="Times New Roman" w:eastAsia="Times New Roman" w:hAnsi="Times New Roman" w:cs="Times New Roman"/>
                <w:noProof/>
              </w:rPr>
              <w:t>Energetyka słoneczna</w:t>
            </w:r>
            <w:r w:rsidR="00095068">
              <w:rPr>
                <w:noProof/>
                <w:webHidden/>
              </w:rPr>
              <w:tab/>
            </w:r>
            <w:r w:rsidR="00095068">
              <w:rPr>
                <w:noProof/>
                <w:webHidden/>
              </w:rPr>
              <w:fldChar w:fldCharType="begin"/>
            </w:r>
            <w:r w:rsidR="00095068">
              <w:rPr>
                <w:noProof/>
                <w:webHidden/>
              </w:rPr>
              <w:instrText xml:space="preserve"> PAGEREF _Toc449097731 \h </w:instrText>
            </w:r>
            <w:r w:rsidR="00095068">
              <w:rPr>
                <w:noProof/>
                <w:webHidden/>
              </w:rPr>
            </w:r>
            <w:r w:rsidR="00095068">
              <w:rPr>
                <w:noProof/>
                <w:webHidden/>
              </w:rPr>
              <w:fldChar w:fldCharType="separate"/>
            </w:r>
            <w:r w:rsidR="003D63ED">
              <w:rPr>
                <w:noProof/>
                <w:webHidden/>
              </w:rPr>
              <w:t>39</w:t>
            </w:r>
            <w:r w:rsidR="00095068">
              <w:rPr>
                <w:noProof/>
                <w:webHidden/>
              </w:rPr>
              <w:fldChar w:fldCharType="end"/>
            </w:r>
          </w:hyperlink>
        </w:p>
        <w:p w:rsidR="00095068" w:rsidRDefault="000D713D">
          <w:pPr>
            <w:pStyle w:val="Spistreci3"/>
            <w:rPr>
              <w:noProof/>
            </w:rPr>
          </w:pPr>
          <w:hyperlink w:anchor="_Toc449097732" w:history="1">
            <w:r w:rsidR="00095068" w:rsidRPr="003F491C">
              <w:rPr>
                <w:rStyle w:val="Hipercze"/>
                <w:rFonts w:ascii="Times New Roman" w:hAnsi="Times New Roman" w:cs="Times New Roman"/>
                <w:noProof/>
              </w:rPr>
              <w:t>Biomasa</w:t>
            </w:r>
            <w:r w:rsidR="00095068">
              <w:rPr>
                <w:noProof/>
                <w:webHidden/>
              </w:rPr>
              <w:tab/>
            </w:r>
            <w:r w:rsidR="00095068">
              <w:rPr>
                <w:noProof/>
                <w:webHidden/>
              </w:rPr>
              <w:fldChar w:fldCharType="begin"/>
            </w:r>
            <w:r w:rsidR="00095068">
              <w:rPr>
                <w:noProof/>
                <w:webHidden/>
              </w:rPr>
              <w:instrText xml:space="preserve"> PAGEREF _Toc449097732 \h </w:instrText>
            </w:r>
            <w:r w:rsidR="00095068">
              <w:rPr>
                <w:noProof/>
                <w:webHidden/>
              </w:rPr>
            </w:r>
            <w:r w:rsidR="00095068">
              <w:rPr>
                <w:noProof/>
                <w:webHidden/>
              </w:rPr>
              <w:fldChar w:fldCharType="separate"/>
            </w:r>
            <w:r w:rsidR="003D63ED">
              <w:rPr>
                <w:noProof/>
                <w:webHidden/>
              </w:rPr>
              <w:t>40</w:t>
            </w:r>
            <w:r w:rsidR="00095068">
              <w:rPr>
                <w:noProof/>
                <w:webHidden/>
              </w:rPr>
              <w:fldChar w:fldCharType="end"/>
            </w:r>
          </w:hyperlink>
        </w:p>
        <w:p w:rsidR="00095068" w:rsidRDefault="000D713D">
          <w:pPr>
            <w:pStyle w:val="Spistreci1"/>
            <w:rPr>
              <w:noProof/>
            </w:rPr>
          </w:pPr>
          <w:hyperlink w:anchor="_Toc449097733" w:history="1">
            <w:r w:rsidR="00095068" w:rsidRPr="003F491C">
              <w:rPr>
                <w:rStyle w:val="Hipercze"/>
                <w:rFonts w:ascii="Times New Roman" w:hAnsi="Times New Roman" w:cs="Times New Roman"/>
                <w:noProof/>
              </w:rPr>
              <w:t>Identyfikacja obszarów problemowych</w:t>
            </w:r>
            <w:r w:rsidR="00095068">
              <w:rPr>
                <w:noProof/>
                <w:webHidden/>
              </w:rPr>
              <w:tab/>
            </w:r>
            <w:r w:rsidR="00095068">
              <w:rPr>
                <w:noProof/>
                <w:webHidden/>
              </w:rPr>
              <w:fldChar w:fldCharType="begin"/>
            </w:r>
            <w:r w:rsidR="00095068">
              <w:rPr>
                <w:noProof/>
                <w:webHidden/>
              </w:rPr>
              <w:instrText xml:space="preserve"> PAGEREF _Toc449097733 \h </w:instrText>
            </w:r>
            <w:r w:rsidR="00095068">
              <w:rPr>
                <w:noProof/>
                <w:webHidden/>
              </w:rPr>
            </w:r>
            <w:r w:rsidR="00095068">
              <w:rPr>
                <w:noProof/>
                <w:webHidden/>
              </w:rPr>
              <w:fldChar w:fldCharType="separate"/>
            </w:r>
            <w:r w:rsidR="003D63ED">
              <w:rPr>
                <w:noProof/>
                <w:webHidden/>
              </w:rPr>
              <w:t>44</w:t>
            </w:r>
            <w:r w:rsidR="00095068">
              <w:rPr>
                <w:noProof/>
                <w:webHidden/>
              </w:rPr>
              <w:fldChar w:fldCharType="end"/>
            </w:r>
          </w:hyperlink>
        </w:p>
        <w:p w:rsidR="00095068" w:rsidRDefault="000D713D">
          <w:pPr>
            <w:pStyle w:val="Spistreci1"/>
            <w:rPr>
              <w:noProof/>
            </w:rPr>
          </w:pPr>
          <w:hyperlink w:anchor="_Toc449097734" w:history="1">
            <w:r w:rsidR="00095068" w:rsidRPr="003F491C">
              <w:rPr>
                <w:rStyle w:val="Hipercze"/>
                <w:rFonts w:ascii="Times New Roman" w:hAnsi="Times New Roman" w:cs="Times New Roman"/>
                <w:noProof/>
              </w:rPr>
              <w:t>Dotychczasowe działania Miasta i Gminy Kańczuga w zakresie efektywności energetycznej, gospodarki niskoemisyjnej oraz wykorzystania odnawialnych źródeł energii</w:t>
            </w:r>
            <w:r w:rsidR="00095068">
              <w:rPr>
                <w:noProof/>
                <w:webHidden/>
              </w:rPr>
              <w:tab/>
            </w:r>
            <w:r w:rsidR="00095068">
              <w:rPr>
                <w:noProof/>
                <w:webHidden/>
              </w:rPr>
              <w:fldChar w:fldCharType="begin"/>
            </w:r>
            <w:r w:rsidR="00095068">
              <w:rPr>
                <w:noProof/>
                <w:webHidden/>
              </w:rPr>
              <w:instrText xml:space="preserve"> PAGEREF _Toc449097734 \h </w:instrText>
            </w:r>
            <w:r w:rsidR="00095068">
              <w:rPr>
                <w:noProof/>
                <w:webHidden/>
              </w:rPr>
            </w:r>
            <w:r w:rsidR="00095068">
              <w:rPr>
                <w:noProof/>
                <w:webHidden/>
              </w:rPr>
              <w:fldChar w:fldCharType="separate"/>
            </w:r>
            <w:r w:rsidR="003D63ED">
              <w:rPr>
                <w:noProof/>
                <w:webHidden/>
              </w:rPr>
              <w:t>45</w:t>
            </w:r>
            <w:r w:rsidR="00095068">
              <w:rPr>
                <w:noProof/>
                <w:webHidden/>
              </w:rPr>
              <w:fldChar w:fldCharType="end"/>
            </w:r>
          </w:hyperlink>
        </w:p>
        <w:p w:rsidR="00095068" w:rsidRDefault="000D713D">
          <w:pPr>
            <w:pStyle w:val="Spistreci1"/>
            <w:rPr>
              <w:noProof/>
            </w:rPr>
          </w:pPr>
          <w:hyperlink w:anchor="_Toc449097735" w:history="1">
            <w:r w:rsidR="00095068" w:rsidRPr="003F491C">
              <w:rPr>
                <w:rStyle w:val="Hipercze"/>
                <w:rFonts w:ascii="Times New Roman" w:hAnsi="Times New Roman" w:cs="Times New Roman"/>
                <w:noProof/>
              </w:rPr>
              <w:t>Stan środowiska na terenie Miasta i Gminy Kańczuga</w:t>
            </w:r>
            <w:r w:rsidR="00095068">
              <w:rPr>
                <w:noProof/>
                <w:webHidden/>
              </w:rPr>
              <w:tab/>
            </w:r>
            <w:r w:rsidR="00095068">
              <w:rPr>
                <w:noProof/>
                <w:webHidden/>
              </w:rPr>
              <w:fldChar w:fldCharType="begin"/>
            </w:r>
            <w:r w:rsidR="00095068">
              <w:rPr>
                <w:noProof/>
                <w:webHidden/>
              </w:rPr>
              <w:instrText xml:space="preserve"> PAGEREF _Toc449097735 \h </w:instrText>
            </w:r>
            <w:r w:rsidR="00095068">
              <w:rPr>
                <w:noProof/>
                <w:webHidden/>
              </w:rPr>
            </w:r>
            <w:r w:rsidR="00095068">
              <w:rPr>
                <w:noProof/>
                <w:webHidden/>
              </w:rPr>
              <w:fldChar w:fldCharType="separate"/>
            </w:r>
            <w:r w:rsidR="003D63ED">
              <w:rPr>
                <w:noProof/>
                <w:webHidden/>
              </w:rPr>
              <w:t>46</w:t>
            </w:r>
            <w:r w:rsidR="00095068">
              <w:rPr>
                <w:noProof/>
                <w:webHidden/>
              </w:rPr>
              <w:fldChar w:fldCharType="end"/>
            </w:r>
          </w:hyperlink>
        </w:p>
        <w:p w:rsidR="00095068" w:rsidRDefault="000D713D">
          <w:pPr>
            <w:pStyle w:val="Spistreci2"/>
            <w:tabs>
              <w:tab w:val="right" w:leader="dot" w:pos="9062"/>
            </w:tabs>
            <w:rPr>
              <w:noProof/>
            </w:rPr>
          </w:pPr>
          <w:hyperlink w:anchor="_Toc449097736" w:history="1">
            <w:r w:rsidR="00095068" w:rsidRPr="003F491C">
              <w:rPr>
                <w:rStyle w:val="Hipercze"/>
                <w:rFonts w:ascii="Times New Roman" w:hAnsi="Times New Roman" w:cs="Times New Roman"/>
                <w:noProof/>
              </w:rPr>
              <w:t>Główne zanieczyszczenia atmosferyczne</w:t>
            </w:r>
            <w:r w:rsidR="00095068">
              <w:rPr>
                <w:noProof/>
                <w:webHidden/>
              </w:rPr>
              <w:tab/>
            </w:r>
            <w:r w:rsidR="00095068">
              <w:rPr>
                <w:noProof/>
                <w:webHidden/>
              </w:rPr>
              <w:fldChar w:fldCharType="begin"/>
            </w:r>
            <w:r w:rsidR="00095068">
              <w:rPr>
                <w:noProof/>
                <w:webHidden/>
              </w:rPr>
              <w:instrText xml:space="preserve"> PAGEREF _Toc449097736 \h </w:instrText>
            </w:r>
            <w:r w:rsidR="00095068">
              <w:rPr>
                <w:noProof/>
                <w:webHidden/>
              </w:rPr>
            </w:r>
            <w:r w:rsidR="00095068">
              <w:rPr>
                <w:noProof/>
                <w:webHidden/>
              </w:rPr>
              <w:fldChar w:fldCharType="separate"/>
            </w:r>
            <w:r w:rsidR="003D63ED">
              <w:rPr>
                <w:noProof/>
                <w:webHidden/>
              </w:rPr>
              <w:t>46</w:t>
            </w:r>
            <w:r w:rsidR="00095068">
              <w:rPr>
                <w:noProof/>
                <w:webHidden/>
              </w:rPr>
              <w:fldChar w:fldCharType="end"/>
            </w:r>
          </w:hyperlink>
        </w:p>
        <w:p w:rsidR="00095068" w:rsidRDefault="000D713D">
          <w:pPr>
            <w:pStyle w:val="Spistreci2"/>
            <w:tabs>
              <w:tab w:val="right" w:leader="dot" w:pos="9062"/>
            </w:tabs>
            <w:rPr>
              <w:noProof/>
            </w:rPr>
          </w:pPr>
          <w:hyperlink w:anchor="_Toc449097737" w:history="1">
            <w:r w:rsidR="00095068" w:rsidRPr="003F491C">
              <w:rPr>
                <w:rStyle w:val="Hipercze"/>
                <w:rFonts w:ascii="Times New Roman" w:hAnsi="Times New Roman" w:cs="Times New Roman"/>
                <w:noProof/>
              </w:rPr>
              <w:t>Warunki meteorologiczne na terenie Miasta i Gminy Kańczuga</w:t>
            </w:r>
            <w:r w:rsidR="00095068">
              <w:rPr>
                <w:noProof/>
                <w:webHidden/>
              </w:rPr>
              <w:tab/>
            </w:r>
            <w:r w:rsidR="00095068">
              <w:rPr>
                <w:noProof/>
                <w:webHidden/>
              </w:rPr>
              <w:fldChar w:fldCharType="begin"/>
            </w:r>
            <w:r w:rsidR="00095068">
              <w:rPr>
                <w:noProof/>
                <w:webHidden/>
              </w:rPr>
              <w:instrText xml:space="preserve"> PAGEREF _Toc449097737 \h </w:instrText>
            </w:r>
            <w:r w:rsidR="00095068">
              <w:rPr>
                <w:noProof/>
                <w:webHidden/>
              </w:rPr>
            </w:r>
            <w:r w:rsidR="00095068">
              <w:rPr>
                <w:noProof/>
                <w:webHidden/>
              </w:rPr>
              <w:fldChar w:fldCharType="separate"/>
            </w:r>
            <w:r w:rsidR="003D63ED">
              <w:rPr>
                <w:noProof/>
                <w:webHidden/>
              </w:rPr>
              <w:t>49</w:t>
            </w:r>
            <w:r w:rsidR="00095068">
              <w:rPr>
                <w:noProof/>
                <w:webHidden/>
              </w:rPr>
              <w:fldChar w:fldCharType="end"/>
            </w:r>
          </w:hyperlink>
        </w:p>
        <w:p w:rsidR="00095068" w:rsidRDefault="000D713D">
          <w:pPr>
            <w:pStyle w:val="Spistreci2"/>
            <w:tabs>
              <w:tab w:val="right" w:leader="dot" w:pos="9062"/>
            </w:tabs>
            <w:rPr>
              <w:noProof/>
            </w:rPr>
          </w:pPr>
          <w:hyperlink w:anchor="_Toc449097738" w:history="1">
            <w:r w:rsidR="00095068" w:rsidRPr="003F491C">
              <w:rPr>
                <w:rStyle w:val="Hipercze"/>
                <w:rFonts w:ascii="Times New Roman" w:hAnsi="Times New Roman" w:cs="Times New Roman"/>
                <w:noProof/>
              </w:rPr>
              <w:t>Ocena jakości powietrza województwa podkarpackiego oraz Miasta i Gminy Kańczuga</w:t>
            </w:r>
            <w:r w:rsidR="00095068">
              <w:rPr>
                <w:noProof/>
                <w:webHidden/>
              </w:rPr>
              <w:tab/>
            </w:r>
            <w:r w:rsidR="00095068">
              <w:rPr>
                <w:noProof/>
                <w:webHidden/>
              </w:rPr>
              <w:fldChar w:fldCharType="begin"/>
            </w:r>
            <w:r w:rsidR="00095068">
              <w:rPr>
                <w:noProof/>
                <w:webHidden/>
              </w:rPr>
              <w:instrText xml:space="preserve"> PAGEREF _Toc449097738 \h </w:instrText>
            </w:r>
            <w:r w:rsidR="00095068">
              <w:rPr>
                <w:noProof/>
                <w:webHidden/>
              </w:rPr>
            </w:r>
            <w:r w:rsidR="00095068">
              <w:rPr>
                <w:noProof/>
                <w:webHidden/>
              </w:rPr>
              <w:fldChar w:fldCharType="separate"/>
            </w:r>
            <w:r w:rsidR="003D63ED">
              <w:rPr>
                <w:noProof/>
                <w:webHidden/>
              </w:rPr>
              <w:t>53</w:t>
            </w:r>
            <w:r w:rsidR="00095068">
              <w:rPr>
                <w:noProof/>
                <w:webHidden/>
              </w:rPr>
              <w:fldChar w:fldCharType="end"/>
            </w:r>
          </w:hyperlink>
        </w:p>
        <w:p w:rsidR="00095068" w:rsidRDefault="000D713D">
          <w:pPr>
            <w:pStyle w:val="Spistreci1"/>
            <w:rPr>
              <w:noProof/>
            </w:rPr>
          </w:pPr>
          <w:hyperlink w:anchor="_Toc449097739" w:history="1">
            <w:r w:rsidR="00095068" w:rsidRPr="003F491C">
              <w:rPr>
                <w:rStyle w:val="Hipercze"/>
                <w:rFonts w:ascii="Times New Roman" w:hAnsi="Times New Roman" w:cs="Times New Roman"/>
                <w:noProof/>
              </w:rPr>
              <w:t>Inwentaryzacja emisji dwutlenku węgla</w:t>
            </w:r>
            <w:r w:rsidR="00095068">
              <w:rPr>
                <w:noProof/>
                <w:webHidden/>
              </w:rPr>
              <w:tab/>
            </w:r>
            <w:r w:rsidR="00095068">
              <w:rPr>
                <w:noProof/>
                <w:webHidden/>
              </w:rPr>
              <w:fldChar w:fldCharType="begin"/>
            </w:r>
            <w:r w:rsidR="00095068">
              <w:rPr>
                <w:noProof/>
                <w:webHidden/>
              </w:rPr>
              <w:instrText xml:space="preserve"> PAGEREF _Toc449097739 \h </w:instrText>
            </w:r>
            <w:r w:rsidR="00095068">
              <w:rPr>
                <w:noProof/>
                <w:webHidden/>
              </w:rPr>
            </w:r>
            <w:r w:rsidR="00095068">
              <w:rPr>
                <w:noProof/>
                <w:webHidden/>
              </w:rPr>
              <w:fldChar w:fldCharType="separate"/>
            </w:r>
            <w:r w:rsidR="003D63ED">
              <w:rPr>
                <w:noProof/>
                <w:webHidden/>
              </w:rPr>
              <w:t>78</w:t>
            </w:r>
            <w:r w:rsidR="00095068">
              <w:rPr>
                <w:noProof/>
                <w:webHidden/>
              </w:rPr>
              <w:fldChar w:fldCharType="end"/>
            </w:r>
          </w:hyperlink>
        </w:p>
        <w:p w:rsidR="00095068" w:rsidRDefault="000D713D">
          <w:pPr>
            <w:pStyle w:val="Spistreci2"/>
            <w:tabs>
              <w:tab w:val="right" w:leader="dot" w:pos="9062"/>
            </w:tabs>
            <w:rPr>
              <w:noProof/>
            </w:rPr>
          </w:pPr>
          <w:hyperlink w:anchor="_Toc449097740" w:history="1">
            <w:r w:rsidR="00095068" w:rsidRPr="003F491C">
              <w:rPr>
                <w:rStyle w:val="Hipercze"/>
                <w:rFonts w:ascii="Times New Roman" w:hAnsi="Times New Roman" w:cs="Times New Roman"/>
                <w:noProof/>
              </w:rPr>
              <w:t>Metodologia inwentaryzacji</w:t>
            </w:r>
            <w:r w:rsidR="00095068">
              <w:rPr>
                <w:noProof/>
                <w:webHidden/>
              </w:rPr>
              <w:tab/>
            </w:r>
            <w:r w:rsidR="00095068">
              <w:rPr>
                <w:noProof/>
                <w:webHidden/>
              </w:rPr>
              <w:fldChar w:fldCharType="begin"/>
            </w:r>
            <w:r w:rsidR="00095068">
              <w:rPr>
                <w:noProof/>
                <w:webHidden/>
              </w:rPr>
              <w:instrText xml:space="preserve"> PAGEREF _Toc449097740 \h </w:instrText>
            </w:r>
            <w:r w:rsidR="00095068">
              <w:rPr>
                <w:noProof/>
                <w:webHidden/>
              </w:rPr>
            </w:r>
            <w:r w:rsidR="00095068">
              <w:rPr>
                <w:noProof/>
                <w:webHidden/>
              </w:rPr>
              <w:fldChar w:fldCharType="separate"/>
            </w:r>
            <w:r w:rsidR="003D63ED">
              <w:rPr>
                <w:noProof/>
                <w:webHidden/>
              </w:rPr>
              <w:t>78</w:t>
            </w:r>
            <w:r w:rsidR="00095068">
              <w:rPr>
                <w:noProof/>
                <w:webHidden/>
              </w:rPr>
              <w:fldChar w:fldCharType="end"/>
            </w:r>
          </w:hyperlink>
        </w:p>
        <w:p w:rsidR="00095068" w:rsidRDefault="000D713D">
          <w:pPr>
            <w:pStyle w:val="Spistreci2"/>
            <w:tabs>
              <w:tab w:val="right" w:leader="dot" w:pos="9062"/>
            </w:tabs>
            <w:rPr>
              <w:noProof/>
            </w:rPr>
          </w:pPr>
          <w:hyperlink w:anchor="_Toc449097741" w:history="1">
            <w:r w:rsidR="00095068" w:rsidRPr="003F491C">
              <w:rPr>
                <w:rStyle w:val="Hipercze"/>
                <w:rFonts w:ascii="Times New Roman" w:hAnsi="Times New Roman" w:cs="Times New Roman"/>
                <w:noProof/>
              </w:rPr>
              <w:t>Wskaźniki i wielkości emisji</w:t>
            </w:r>
            <w:r w:rsidR="00095068">
              <w:rPr>
                <w:noProof/>
                <w:webHidden/>
              </w:rPr>
              <w:tab/>
            </w:r>
            <w:r w:rsidR="00095068">
              <w:rPr>
                <w:noProof/>
                <w:webHidden/>
              </w:rPr>
              <w:fldChar w:fldCharType="begin"/>
            </w:r>
            <w:r w:rsidR="00095068">
              <w:rPr>
                <w:noProof/>
                <w:webHidden/>
              </w:rPr>
              <w:instrText xml:space="preserve"> PAGEREF _Toc449097741 \h </w:instrText>
            </w:r>
            <w:r w:rsidR="00095068">
              <w:rPr>
                <w:noProof/>
                <w:webHidden/>
              </w:rPr>
            </w:r>
            <w:r w:rsidR="00095068">
              <w:rPr>
                <w:noProof/>
                <w:webHidden/>
              </w:rPr>
              <w:fldChar w:fldCharType="separate"/>
            </w:r>
            <w:r w:rsidR="003D63ED">
              <w:rPr>
                <w:noProof/>
                <w:webHidden/>
              </w:rPr>
              <w:t>80</w:t>
            </w:r>
            <w:r w:rsidR="00095068">
              <w:rPr>
                <w:noProof/>
                <w:webHidden/>
              </w:rPr>
              <w:fldChar w:fldCharType="end"/>
            </w:r>
          </w:hyperlink>
        </w:p>
        <w:p w:rsidR="00095068" w:rsidRDefault="000D713D">
          <w:pPr>
            <w:pStyle w:val="Spistreci2"/>
            <w:tabs>
              <w:tab w:val="right" w:leader="dot" w:pos="9062"/>
            </w:tabs>
            <w:rPr>
              <w:noProof/>
            </w:rPr>
          </w:pPr>
          <w:hyperlink w:anchor="_Toc449097742" w:history="1">
            <w:r w:rsidR="00095068" w:rsidRPr="003F491C">
              <w:rPr>
                <w:rStyle w:val="Hipercze"/>
                <w:rFonts w:ascii="Times New Roman" w:hAnsi="Times New Roman" w:cs="Times New Roman"/>
                <w:noProof/>
              </w:rPr>
              <w:t>Budynki mieszkalne</w:t>
            </w:r>
            <w:r w:rsidR="00095068">
              <w:rPr>
                <w:noProof/>
                <w:webHidden/>
              </w:rPr>
              <w:tab/>
            </w:r>
            <w:r w:rsidR="00095068">
              <w:rPr>
                <w:noProof/>
                <w:webHidden/>
              </w:rPr>
              <w:fldChar w:fldCharType="begin"/>
            </w:r>
            <w:r w:rsidR="00095068">
              <w:rPr>
                <w:noProof/>
                <w:webHidden/>
              </w:rPr>
              <w:instrText xml:space="preserve"> PAGEREF _Toc449097742 \h </w:instrText>
            </w:r>
            <w:r w:rsidR="00095068">
              <w:rPr>
                <w:noProof/>
                <w:webHidden/>
              </w:rPr>
            </w:r>
            <w:r w:rsidR="00095068">
              <w:rPr>
                <w:noProof/>
                <w:webHidden/>
              </w:rPr>
              <w:fldChar w:fldCharType="separate"/>
            </w:r>
            <w:r w:rsidR="003D63ED">
              <w:rPr>
                <w:noProof/>
                <w:webHidden/>
              </w:rPr>
              <w:t>81</w:t>
            </w:r>
            <w:r w:rsidR="00095068">
              <w:rPr>
                <w:noProof/>
                <w:webHidden/>
              </w:rPr>
              <w:fldChar w:fldCharType="end"/>
            </w:r>
          </w:hyperlink>
        </w:p>
        <w:p w:rsidR="00095068" w:rsidRDefault="000D713D">
          <w:pPr>
            <w:pStyle w:val="Spistreci2"/>
            <w:tabs>
              <w:tab w:val="right" w:leader="dot" w:pos="9062"/>
            </w:tabs>
            <w:rPr>
              <w:noProof/>
            </w:rPr>
          </w:pPr>
          <w:hyperlink w:anchor="_Toc449097743" w:history="1">
            <w:r w:rsidR="00095068" w:rsidRPr="003F491C">
              <w:rPr>
                <w:rStyle w:val="Hipercze"/>
                <w:rFonts w:ascii="Times New Roman" w:hAnsi="Times New Roman" w:cs="Times New Roman"/>
                <w:noProof/>
              </w:rPr>
              <w:t>Budynki użyteczności publicznej</w:t>
            </w:r>
            <w:r w:rsidR="00095068">
              <w:rPr>
                <w:noProof/>
                <w:webHidden/>
              </w:rPr>
              <w:tab/>
            </w:r>
            <w:r w:rsidR="00095068">
              <w:rPr>
                <w:noProof/>
                <w:webHidden/>
              </w:rPr>
              <w:fldChar w:fldCharType="begin"/>
            </w:r>
            <w:r w:rsidR="00095068">
              <w:rPr>
                <w:noProof/>
                <w:webHidden/>
              </w:rPr>
              <w:instrText xml:space="preserve"> PAGEREF _Toc449097743 \h </w:instrText>
            </w:r>
            <w:r w:rsidR="00095068">
              <w:rPr>
                <w:noProof/>
                <w:webHidden/>
              </w:rPr>
            </w:r>
            <w:r w:rsidR="00095068">
              <w:rPr>
                <w:noProof/>
                <w:webHidden/>
              </w:rPr>
              <w:fldChar w:fldCharType="separate"/>
            </w:r>
            <w:r w:rsidR="003D63ED">
              <w:rPr>
                <w:noProof/>
                <w:webHidden/>
              </w:rPr>
              <w:t>83</w:t>
            </w:r>
            <w:r w:rsidR="00095068">
              <w:rPr>
                <w:noProof/>
                <w:webHidden/>
              </w:rPr>
              <w:fldChar w:fldCharType="end"/>
            </w:r>
          </w:hyperlink>
        </w:p>
        <w:p w:rsidR="00095068" w:rsidRDefault="000D713D">
          <w:pPr>
            <w:pStyle w:val="Spistreci2"/>
            <w:tabs>
              <w:tab w:val="right" w:leader="dot" w:pos="9062"/>
            </w:tabs>
            <w:rPr>
              <w:noProof/>
            </w:rPr>
          </w:pPr>
          <w:hyperlink w:anchor="_Toc449097744" w:history="1">
            <w:r w:rsidR="00095068" w:rsidRPr="003F491C">
              <w:rPr>
                <w:rStyle w:val="Hipercze"/>
                <w:rFonts w:ascii="Times New Roman" w:hAnsi="Times New Roman" w:cs="Times New Roman"/>
                <w:noProof/>
              </w:rPr>
              <w:t>Spółdzielnie i wspólnoty mieszkaniowe</w:t>
            </w:r>
            <w:r w:rsidR="00095068">
              <w:rPr>
                <w:noProof/>
                <w:webHidden/>
              </w:rPr>
              <w:tab/>
            </w:r>
            <w:r w:rsidR="00095068">
              <w:rPr>
                <w:noProof/>
                <w:webHidden/>
              </w:rPr>
              <w:fldChar w:fldCharType="begin"/>
            </w:r>
            <w:r w:rsidR="00095068">
              <w:rPr>
                <w:noProof/>
                <w:webHidden/>
              </w:rPr>
              <w:instrText xml:space="preserve"> PAGEREF _Toc449097744 \h </w:instrText>
            </w:r>
            <w:r w:rsidR="00095068">
              <w:rPr>
                <w:noProof/>
                <w:webHidden/>
              </w:rPr>
            </w:r>
            <w:r w:rsidR="00095068">
              <w:rPr>
                <w:noProof/>
                <w:webHidden/>
              </w:rPr>
              <w:fldChar w:fldCharType="separate"/>
            </w:r>
            <w:r w:rsidR="003D63ED">
              <w:rPr>
                <w:noProof/>
                <w:webHidden/>
              </w:rPr>
              <w:t>84</w:t>
            </w:r>
            <w:r w:rsidR="00095068">
              <w:rPr>
                <w:noProof/>
                <w:webHidden/>
              </w:rPr>
              <w:fldChar w:fldCharType="end"/>
            </w:r>
          </w:hyperlink>
        </w:p>
        <w:p w:rsidR="00095068" w:rsidRDefault="000D713D">
          <w:pPr>
            <w:pStyle w:val="Spistreci2"/>
            <w:tabs>
              <w:tab w:val="right" w:leader="dot" w:pos="9062"/>
            </w:tabs>
            <w:rPr>
              <w:noProof/>
            </w:rPr>
          </w:pPr>
          <w:hyperlink w:anchor="_Toc449097745" w:history="1">
            <w:r w:rsidR="00095068" w:rsidRPr="003F491C">
              <w:rPr>
                <w:rStyle w:val="Hipercze"/>
                <w:rFonts w:ascii="Times New Roman" w:hAnsi="Times New Roman" w:cs="Times New Roman"/>
                <w:noProof/>
              </w:rPr>
              <w:t>Obiekty sakralne</w:t>
            </w:r>
            <w:r w:rsidR="00095068">
              <w:rPr>
                <w:noProof/>
                <w:webHidden/>
              </w:rPr>
              <w:tab/>
            </w:r>
            <w:r w:rsidR="00095068">
              <w:rPr>
                <w:noProof/>
                <w:webHidden/>
              </w:rPr>
              <w:fldChar w:fldCharType="begin"/>
            </w:r>
            <w:r w:rsidR="00095068">
              <w:rPr>
                <w:noProof/>
                <w:webHidden/>
              </w:rPr>
              <w:instrText xml:space="preserve"> PAGEREF _Toc449097745 \h </w:instrText>
            </w:r>
            <w:r w:rsidR="00095068">
              <w:rPr>
                <w:noProof/>
                <w:webHidden/>
              </w:rPr>
            </w:r>
            <w:r w:rsidR="00095068">
              <w:rPr>
                <w:noProof/>
                <w:webHidden/>
              </w:rPr>
              <w:fldChar w:fldCharType="separate"/>
            </w:r>
            <w:r w:rsidR="003D63ED">
              <w:rPr>
                <w:noProof/>
                <w:webHidden/>
              </w:rPr>
              <w:t>86</w:t>
            </w:r>
            <w:r w:rsidR="00095068">
              <w:rPr>
                <w:noProof/>
                <w:webHidden/>
              </w:rPr>
              <w:fldChar w:fldCharType="end"/>
            </w:r>
          </w:hyperlink>
        </w:p>
        <w:p w:rsidR="00095068" w:rsidRDefault="000D713D">
          <w:pPr>
            <w:pStyle w:val="Spistreci2"/>
            <w:tabs>
              <w:tab w:val="right" w:leader="dot" w:pos="9062"/>
            </w:tabs>
            <w:rPr>
              <w:noProof/>
            </w:rPr>
          </w:pPr>
          <w:hyperlink w:anchor="_Toc449097746" w:history="1">
            <w:r w:rsidR="00095068" w:rsidRPr="003F491C">
              <w:rPr>
                <w:rStyle w:val="Hipercze"/>
                <w:rFonts w:ascii="Times New Roman" w:hAnsi="Times New Roman" w:cs="Times New Roman"/>
                <w:noProof/>
              </w:rPr>
              <w:t>Oświetlenie uliczne</w:t>
            </w:r>
            <w:r w:rsidR="00095068">
              <w:rPr>
                <w:noProof/>
                <w:webHidden/>
              </w:rPr>
              <w:tab/>
            </w:r>
            <w:r w:rsidR="00095068">
              <w:rPr>
                <w:noProof/>
                <w:webHidden/>
              </w:rPr>
              <w:fldChar w:fldCharType="begin"/>
            </w:r>
            <w:r w:rsidR="00095068">
              <w:rPr>
                <w:noProof/>
                <w:webHidden/>
              </w:rPr>
              <w:instrText xml:space="preserve"> PAGEREF _Toc449097746 \h </w:instrText>
            </w:r>
            <w:r w:rsidR="00095068">
              <w:rPr>
                <w:noProof/>
                <w:webHidden/>
              </w:rPr>
            </w:r>
            <w:r w:rsidR="00095068">
              <w:rPr>
                <w:noProof/>
                <w:webHidden/>
              </w:rPr>
              <w:fldChar w:fldCharType="separate"/>
            </w:r>
            <w:r w:rsidR="003D63ED">
              <w:rPr>
                <w:noProof/>
                <w:webHidden/>
              </w:rPr>
              <w:t>87</w:t>
            </w:r>
            <w:r w:rsidR="00095068">
              <w:rPr>
                <w:noProof/>
                <w:webHidden/>
              </w:rPr>
              <w:fldChar w:fldCharType="end"/>
            </w:r>
          </w:hyperlink>
        </w:p>
        <w:p w:rsidR="00095068" w:rsidRDefault="000D713D">
          <w:pPr>
            <w:pStyle w:val="Spistreci2"/>
            <w:tabs>
              <w:tab w:val="right" w:leader="dot" w:pos="9062"/>
            </w:tabs>
            <w:rPr>
              <w:noProof/>
            </w:rPr>
          </w:pPr>
          <w:hyperlink w:anchor="_Toc449097747" w:history="1">
            <w:r w:rsidR="00095068" w:rsidRPr="003F491C">
              <w:rPr>
                <w:rStyle w:val="Hipercze"/>
                <w:rFonts w:ascii="Times New Roman" w:hAnsi="Times New Roman" w:cs="Times New Roman"/>
                <w:noProof/>
              </w:rPr>
              <w:t>Transport</w:t>
            </w:r>
            <w:r w:rsidR="00095068">
              <w:rPr>
                <w:noProof/>
                <w:webHidden/>
              </w:rPr>
              <w:tab/>
            </w:r>
            <w:r w:rsidR="00095068">
              <w:rPr>
                <w:noProof/>
                <w:webHidden/>
              </w:rPr>
              <w:fldChar w:fldCharType="begin"/>
            </w:r>
            <w:r w:rsidR="00095068">
              <w:rPr>
                <w:noProof/>
                <w:webHidden/>
              </w:rPr>
              <w:instrText xml:space="preserve"> PAGEREF _Toc449097747 \h </w:instrText>
            </w:r>
            <w:r w:rsidR="00095068">
              <w:rPr>
                <w:noProof/>
                <w:webHidden/>
              </w:rPr>
            </w:r>
            <w:r w:rsidR="00095068">
              <w:rPr>
                <w:noProof/>
                <w:webHidden/>
              </w:rPr>
              <w:fldChar w:fldCharType="separate"/>
            </w:r>
            <w:r w:rsidR="003D63ED">
              <w:rPr>
                <w:noProof/>
                <w:webHidden/>
              </w:rPr>
              <w:t>88</w:t>
            </w:r>
            <w:r w:rsidR="00095068">
              <w:rPr>
                <w:noProof/>
                <w:webHidden/>
              </w:rPr>
              <w:fldChar w:fldCharType="end"/>
            </w:r>
          </w:hyperlink>
        </w:p>
        <w:p w:rsidR="00095068" w:rsidRDefault="000D713D">
          <w:pPr>
            <w:pStyle w:val="Spistreci2"/>
            <w:tabs>
              <w:tab w:val="right" w:leader="dot" w:pos="9062"/>
            </w:tabs>
            <w:rPr>
              <w:noProof/>
            </w:rPr>
          </w:pPr>
          <w:hyperlink w:anchor="_Toc449097748" w:history="1">
            <w:r w:rsidR="00095068" w:rsidRPr="003F491C">
              <w:rPr>
                <w:rStyle w:val="Hipercze"/>
                <w:rFonts w:ascii="Times New Roman" w:hAnsi="Times New Roman" w:cs="Times New Roman"/>
                <w:noProof/>
              </w:rPr>
              <w:t>Przemysł</w:t>
            </w:r>
            <w:r w:rsidR="00095068">
              <w:rPr>
                <w:noProof/>
                <w:webHidden/>
              </w:rPr>
              <w:tab/>
            </w:r>
            <w:r w:rsidR="00095068">
              <w:rPr>
                <w:noProof/>
                <w:webHidden/>
              </w:rPr>
              <w:fldChar w:fldCharType="begin"/>
            </w:r>
            <w:r w:rsidR="00095068">
              <w:rPr>
                <w:noProof/>
                <w:webHidden/>
              </w:rPr>
              <w:instrText xml:space="preserve"> PAGEREF _Toc449097748 \h </w:instrText>
            </w:r>
            <w:r w:rsidR="00095068">
              <w:rPr>
                <w:noProof/>
                <w:webHidden/>
              </w:rPr>
            </w:r>
            <w:r w:rsidR="00095068">
              <w:rPr>
                <w:noProof/>
                <w:webHidden/>
              </w:rPr>
              <w:fldChar w:fldCharType="separate"/>
            </w:r>
            <w:r w:rsidR="003D63ED">
              <w:rPr>
                <w:noProof/>
                <w:webHidden/>
              </w:rPr>
              <w:t>89</w:t>
            </w:r>
            <w:r w:rsidR="00095068">
              <w:rPr>
                <w:noProof/>
                <w:webHidden/>
              </w:rPr>
              <w:fldChar w:fldCharType="end"/>
            </w:r>
          </w:hyperlink>
        </w:p>
        <w:p w:rsidR="00095068" w:rsidRDefault="000D713D">
          <w:pPr>
            <w:pStyle w:val="Spistreci2"/>
            <w:tabs>
              <w:tab w:val="right" w:leader="dot" w:pos="9062"/>
            </w:tabs>
            <w:rPr>
              <w:noProof/>
            </w:rPr>
          </w:pPr>
          <w:hyperlink w:anchor="_Toc449097749" w:history="1">
            <w:r w:rsidR="00095068" w:rsidRPr="003F491C">
              <w:rPr>
                <w:rStyle w:val="Hipercze"/>
                <w:rFonts w:ascii="Times New Roman" w:hAnsi="Times New Roman" w:cs="Times New Roman"/>
                <w:noProof/>
              </w:rPr>
              <w:t>Usługi</w:t>
            </w:r>
            <w:r w:rsidR="00095068">
              <w:rPr>
                <w:noProof/>
                <w:webHidden/>
              </w:rPr>
              <w:tab/>
            </w:r>
            <w:r w:rsidR="00095068">
              <w:rPr>
                <w:noProof/>
                <w:webHidden/>
              </w:rPr>
              <w:fldChar w:fldCharType="begin"/>
            </w:r>
            <w:r w:rsidR="00095068">
              <w:rPr>
                <w:noProof/>
                <w:webHidden/>
              </w:rPr>
              <w:instrText xml:space="preserve"> PAGEREF _Toc449097749 \h </w:instrText>
            </w:r>
            <w:r w:rsidR="00095068">
              <w:rPr>
                <w:noProof/>
                <w:webHidden/>
              </w:rPr>
            </w:r>
            <w:r w:rsidR="00095068">
              <w:rPr>
                <w:noProof/>
                <w:webHidden/>
              </w:rPr>
              <w:fldChar w:fldCharType="separate"/>
            </w:r>
            <w:r w:rsidR="003D63ED">
              <w:rPr>
                <w:noProof/>
                <w:webHidden/>
              </w:rPr>
              <w:t>91</w:t>
            </w:r>
            <w:r w:rsidR="00095068">
              <w:rPr>
                <w:noProof/>
                <w:webHidden/>
              </w:rPr>
              <w:fldChar w:fldCharType="end"/>
            </w:r>
          </w:hyperlink>
        </w:p>
        <w:p w:rsidR="00095068" w:rsidRDefault="000D713D">
          <w:pPr>
            <w:pStyle w:val="Spistreci2"/>
            <w:tabs>
              <w:tab w:val="right" w:leader="dot" w:pos="9062"/>
            </w:tabs>
            <w:rPr>
              <w:noProof/>
            </w:rPr>
          </w:pPr>
          <w:hyperlink w:anchor="_Toc449097750" w:history="1">
            <w:r w:rsidR="00095068" w:rsidRPr="003F491C">
              <w:rPr>
                <w:rStyle w:val="Hipercze"/>
                <w:rFonts w:ascii="Times New Roman" w:hAnsi="Times New Roman" w:cs="Times New Roman"/>
                <w:noProof/>
              </w:rPr>
              <w:t>Podsumowanie inwentaryzacji</w:t>
            </w:r>
            <w:r w:rsidR="00095068">
              <w:rPr>
                <w:noProof/>
                <w:webHidden/>
              </w:rPr>
              <w:tab/>
            </w:r>
            <w:r w:rsidR="00095068">
              <w:rPr>
                <w:noProof/>
                <w:webHidden/>
              </w:rPr>
              <w:fldChar w:fldCharType="begin"/>
            </w:r>
            <w:r w:rsidR="00095068">
              <w:rPr>
                <w:noProof/>
                <w:webHidden/>
              </w:rPr>
              <w:instrText xml:space="preserve"> PAGEREF _Toc449097750 \h </w:instrText>
            </w:r>
            <w:r w:rsidR="00095068">
              <w:rPr>
                <w:noProof/>
                <w:webHidden/>
              </w:rPr>
            </w:r>
            <w:r w:rsidR="00095068">
              <w:rPr>
                <w:noProof/>
                <w:webHidden/>
              </w:rPr>
              <w:fldChar w:fldCharType="separate"/>
            </w:r>
            <w:r w:rsidR="003D63ED">
              <w:rPr>
                <w:noProof/>
                <w:webHidden/>
              </w:rPr>
              <w:t>92</w:t>
            </w:r>
            <w:r w:rsidR="00095068">
              <w:rPr>
                <w:noProof/>
                <w:webHidden/>
              </w:rPr>
              <w:fldChar w:fldCharType="end"/>
            </w:r>
          </w:hyperlink>
        </w:p>
        <w:p w:rsidR="00095068" w:rsidRDefault="000D713D">
          <w:pPr>
            <w:pStyle w:val="Spistreci2"/>
            <w:tabs>
              <w:tab w:val="right" w:leader="dot" w:pos="9062"/>
            </w:tabs>
            <w:rPr>
              <w:noProof/>
            </w:rPr>
          </w:pPr>
          <w:hyperlink w:anchor="_Toc449097751" w:history="1">
            <w:r w:rsidR="00095068" w:rsidRPr="003F491C">
              <w:rPr>
                <w:rStyle w:val="Hipercze"/>
                <w:rFonts w:ascii="Times New Roman" w:hAnsi="Times New Roman" w:cs="Times New Roman"/>
                <w:noProof/>
              </w:rPr>
              <w:t>Modernizacje budynków jednorodzinnych</w:t>
            </w:r>
            <w:r w:rsidR="00095068">
              <w:rPr>
                <w:noProof/>
                <w:webHidden/>
              </w:rPr>
              <w:tab/>
            </w:r>
            <w:r w:rsidR="00095068">
              <w:rPr>
                <w:noProof/>
                <w:webHidden/>
              </w:rPr>
              <w:fldChar w:fldCharType="begin"/>
            </w:r>
            <w:r w:rsidR="00095068">
              <w:rPr>
                <w:noProof/>
                <w:webHidden/>
              </w:rPr>
              <w:instrText xml:space="preserve"> PAGEREF _Toc449097751 \h </w:instrText>
            </w:r>
            <w:r w:rsidR="00095068">
              <w:rPr>
                <w:noProof/>
                <w:webHidden/>
              </w:rPr>
            </w:r>
            <w:r w:rsidR="00095068">
              <w:rPr>
                <w:noProof/>
                <w:webHidden/>
              </w:rPr>
              <w:fldChar w:fldCharType="separate"/>
            </w:r>
            <w:r w:rsidR="003D63ED">
              <w:rPr>
                <w:noProof/>
                <w:webHidden/>
              </w:rPr>
              <w:t>96</w:t>
            </w:r>
            <w:r w:rsidR="00095068">
              <w:rPr>
                <w:noProof/>
                <w:webHidden/>
              </w:rPr>
              <w:fldChar w:fldCharType="end"/>
            </w:r>
          </w:hyperlink>
        </w:p>
        <w:p w:rsidR="00095068" w:rsidRDefault="000D713D">
          <w:pPr>
            <w:pStyle w:val="Spistreci1"/>
            <w:rPr>
              <w:noProof/>
            </w:rPr>
          </w:pPr>
          <w:hyperlink w:anchor="_Toc449097752" w:history="1">
            <w:r w:rsidR="00095068" w:rsidRPr="003F491C">
              <w:rPr>
                <w:rStyle w:val="Hipercze"/>
                <w:rFonts w:ascii="Times New Roman" w:hAnsi="Times New Roman" w:cs="Times New Roman"/>
                <w:noProof/>
              </w:rPr>
              <w:t>Analiza ekonomiczna i harmonogram finansowania</w:t>
            </w:r>
            <w:r w:rsidR="00095068">
              <w:rPr>
                <w:noProof/>
                <w:webHidden/>
              </w:rPr>
              <w:tab/>
            </w:r>
            <w:r w:rsidR="00095068">
              <w:rPr>
                <w:noProof/>
                <w:webHidden/>
              </w:rPr>
              <w:fldChar w:fldCharType="begin"/>
            </w:r>
            <w:r w:rsidR="00095068">
              <w:rPr>
                <w:noProof/>
                <w:webHidden/>
              </w:rPr>
              <w:instrText xml:space="preserve"> PAGEREF _Toc449097752 \h </w:instrText>
            </w:r>
            <w:r w:rsidR="00095068">
              <w:rPr>
                <w:noProof/>
                <w:webHidden/>
              </w:rPr>
            </w:r>
            <w:r w:rsidR="00095068">
              <w:rPr>
                <w:noProof/>
                <w:webHidden/>
              </w:rPr>
              <w:fldChar w:fldCharType="separate"/>
            </w:r>
            <w:r w:rsidR="003D63ED">
              <w:rPr>
                <w:noProof/>
                <w:webHidden/>
              </w:rPr>
              <w:t>104</w:t>
            </w:r>
            <w:r w:rsidR="00095068">
              <w:rPr>
                <w:noProof/>
                <w:webHidden/>
              </w:rPr>
              <w:fldChar w:fldCharType="end"/>
            </w:r>
          </w:hyperlink>
        </w:p>
        <w:p w:rsidR="00095068" w:rsidRDefault="000D713D">
          <w:pPr>
            <w:pStyle w:val="Spistreci2"/>
            <w:tabs>
              <w:tab w:val="right" w:leader="dot" w:pos="9062"/>
            </w:tabs>
            <w:rPr>
              <w:noProof/>
            </w:rPr>
          </w:pPr>
          <w:hyperlink w:anchor="_Toc449097753" w:history="1">
            <w:r w:rsidR="00095068" w:rsidRPr="003F491C">
              <w:rPr>
                <w:rStyle w:val="Hipercze"/>
                <w:rFonts w:ascii="Times New Roman" w:hAnsi="Times New Roman" w:cs="Times New Roman"/>
                <w:noProof/>
              </w:rPr>
              <w:t>Źródła finansowania</w:t>
            </w:r>
            <w:r w:rsidR="00095068">
              <w:rPr>
                <w:noProof/>
                <w:webHidden/>
              </w:rPr>
              <w:tab/>
            </w:r>
            <w:r w:rsidR="00095068">
              <w:rPr>
                <w:noProof/>
                <w:webHidden/>
              </w:rPr>
              <w:fldChar w:fldCharType="begin"/>
            </w:r>
            <w:r w:rsidR="00095068">
              <w:rPr>
                <w:noProof/>
                <w:webHidden/>
              </w:rPr>
              <w:instrText xml:space="preserve"> PAGEREF _Toc449097753 \h </w:instrText>
            </w:r>
            <w:r w:rsidR="00095068">
              <w:rPr>
                <w:noProof/>
                <w:webHidden/>
              </w:rPr>
            </w:r>
            <w:r w:rsidR="00095068">
              <w:rPr>
                <w:noProof/>
                <w:webHidden/>
              </w:rPr>
              <w:fldChar w:fldCharType="separate"/>
            </w:r>
            <w:r w:rsidR="003D63ED">
              <w:rPr>
                <w:noProof/>
                <w:webHidden/>
              </w:rPr>
              <w:t>104</w:t>
            </w:r>
            <w:r w:rsidR="00095068">
              <w:rPr>
                <w:noProof/>
                <w:webHidden/>
              </w:rPr>
              <w:fldChar w:fldCharType="end"/>
            </w:r>
          </w:hyperlink>
        </w:p>
        <w:p w:rsidR="00095068" w:rsidRDefault="000D713D">
          <w:pPr>
            <w:pStyle w:val="Spistreci1"/>
            <w:rPr>
              <w:noProof/>
            </w:rPr>
          </w:pPr>
          <w:hyperlink w:anchor="_Toc449097754" w:history="1">
            <w:r w:rsidR="00095068" w:rsidRPr="003F491C">
              <w:rPr>
                <w:rStyle w:val="Hipercze"/>
                <w:rFonts w:ascii="Times New Roman" w:hAnsi="Times New Roman" w:cs="Times New Roman"/>
                <w:noProof/>
              </w:rPr>
              <w:t>Strategia do 2021 roku oraz działania i środki zaplanowane na okres objęty planem</w:t>
            </w:r>
            <w:r w:rsidR="00095068">
              <w:rPr>
                <w:noProof/>
                <w:webHidden/>
              </w:rPr>
              <w:tab/>
            </w:r>
            <w:r w:rsidR="00095068">
              <w:rPr>
                <w:noProof/>
                <w:webHidden/>
              </w:rPr>
              <w:fldChar w:fldCharType="begin"/>
            </w:r>
            <w:r w:rsidR="00095068">
              <w:rPr>
                <w:noProof/>
                <w:webHidden/>
              </w:rPr>
              <w:instrText xml:space="preserve"> PAGEREF _Toc449097754 \h </w:instrText>
            </w:r>
            <w:r w:rsidR="00095068">
              <w:rPr>
                <w:noProof/>
                <w:webHidden/>
              </w:rPr>
            </w:r>
            <w:r w:rsidR="00095068">
              <w:rPr>
                <w:noProof/>
                <w:webHidden/>
              </w:rPr>
              <w:fldChar w:fldCharType="separate"/>
            </w:r>
            <w:r w:rsidR="003D63ED">
              <w:rPr>
                <w:noProof/>
                <w:webHidden/>
              </w:rPr>
              <w:t>147</w:t>
            </w:r>
            <w:r w:rsidR="00095068">
              <w:rPr>
                <w:noProof/>
                <w:webHidden/>
              </w:rPr>
              <w:fldChar w:fldCharType="end"/>
            </w:r>
          </w:hyperlink>
        </w:p>
        <w:p w:rsidR="00095068" w:rsidRDefault="000D713D">
          <w:pPr>
            <w:pStyle w:val="Spistreci2"/>
            <w:tabs>
              <w:tab w:val="right" w:leader="dot" w:pos="9062"/>
            </w:tabs>
            <w:rPr>
              <w:noProof/>
            </w:rPr>
          </w:pPr>
          <w:hyperlink w:anchor="_Toc449097755" w:history="1">
            <w:r w:rsidR="00095068" w:rsidRPr="003F491C">
              <w:rPr>
                <w:rStyle w:val="Hipercze"/>
                <w:rFonts w:ascii="Times New Roman" w:hAnsi="Times New Roman" w:cs="Times New Roman"/>
                <w:noProof/>
              </w:rPr>
              <w:t>Długoterminowa strategia Miasta i Gminy Kańczuga</w:t>
            </w:r>
            <w:r w:rsidR="00095068">
              <w:rPr>
                <w:noProof/>
                <w:webHidden/>
              </w:rPr>
              <w:tab/>
            </w:r>
            <w:r w:rsidR="00095068">
              <w:rPr>
                <w:noProof/>
                <w:webHidden/>
              </w:rPr>
              <w:fldChar w:fldCharType="begin"/>
            </w:r>
            <w:r w:rsidR="00095068">
              <w:rPr>
                <w:noProof/>
                <w:webHidden/>
              </w:rPr>
              <w:instrText xml:space="preserve"> PAGEREF _Toc449097755 \h </w:instrText>
            </w:r>
            <w:r w:rsidR="00095068">
              <w:rPr>
                <w:noProof/>
                <w:webHidden/>
              </w:rPr>
            </w:r>
            <w:r w:rsidR="00095068">
              <w:rPr>
                <w:noProof/>
                <w:webHidden/>
              </w:rPr>
              <w:fldChar w:fldCharType="separate"/>
            </w:r>
            <w:r w:rsidR="003D63ED">
              <w:rPr>
                <w:noProof/>
                <w:webHidden/>
              </w:rPr>
              <w:t>147</w:t>
            </w:r>
            <w:r w:rsidR="00095068">
              <w:rPr>
                <w:noProof/>
                <w:webHidden/>
              </w:rPr>
              <w:fldChar w:fldCharType="end"/>
            </w:r>
          </w:hyperlink>
        </w:p>
        <w:p w:rsidR="00095068" w:rsidRDefault="000D713D">
          <w:pPr>
            <w:pStyle w:val="Spistreci2"/>
            <w:tabs>
              <w:tab w:val="right" w:leader="dot" w:pos="9062"/>
            </w:tabs>
            <w:rPr>
              <w:noProof/>
            </w:rPr>
          </w:pPr>
          <w:hyperlink w:anchor="_Toc449097756" w:history="1">
            <w:r w:rsidR="00095068" w:rsidRPr="003F491C">
              <w:rPr>
                <w:rStyle w:val="Hipercze"/>
                <w:rFonts w:ascii="Times New Roman" w:hAnsi="Times New Roman" w:cs="Times New Roman"/>
                <w:noProof/>
              </w:rPr>
              <w:t>Analiza SWOT</w:t>
            </w:r>
            <w:r w:rsidR="00095068">
              <w:rPr>
                <w:noProof/>
                <w:webHidden/>
              </w:rPr>
              <w:tab/>
            </w:r>
            <w:r w:rsidR="00095068">
              <w:rPr>
                <w:noProof/>
                <w:webHidden/>
              </w:rPr>
              <w:fldChar w:fldCharType="begin"/>
            </w:r>
            <w:r w:rsidR="00095068">
              <w:rPr>
                <w:noProof/>
                <w:webHidden/>
              </w:rPr>
              <w:instrText xml:space="preserve"> PAGEREF _Toc449097756 \h </w:instrText>
            </w:r>
            <w:r w:rsidR="00095068">
              <w:rPr>
                <w:noProof/>
                <w:webHidden/>
              </w:rPr>
            </w:r>
            <w:r w:rsidR="00095068">
              <w:rPr>
                <w:noProof/>
                <w:webHidden/>
              </w:rPr>
              <w:fldChar w:fldCharType="separate"/>
            </w:r>
            <w:r w:rsidR="003D63ED">
              <w:rPr>
                <w:noProof/>
                <w:webHidden/>
              </w:rPr>
              <w:t>148</w:t>
            </w:r>
            <w:r w:rsidR="00095068">
              <w:rPr>
                <w:noProof/>
                <w:webHidden/>
              </w:rPr>
              <w:fldChar w:fldCharType="end"/>
            </w:r>
          </w:hyperlink>
        </w:p>
        <w:p w:rsidR="00095068" w:rsidRDefault="000D713D">
          <w:pPr>
            <w:pStyle w:val="Spistreci3"/>
            <w:rPr>
              <w:noProof/>
            </w:rPr>
          </w:pPr>
          <w:hyperlink w:anchor="_Toc449097757" w:history="1">
            <w:r w:rsidR="00095068" w:rsidRPr="003F491C">
              <w:rPr>
                <w:rStyle w:val="Hipercze"/>
                <w:rFonts w:ascii="Times New Roman" w:hAnsi="Times New Roman" w:cs="Times New Roman"/>
                <w:noProof/>
              </w:rPr>
              <w:t>Krótko/średnioterminowe działania/zadania na lata 2016 – 2021 w Mieście i Gminie Kańczuga</w:t>
            </w:r>
            <w:r w:rsidR="00095068">
              <w:rPr>
                <w:noProof/>
                <w:webHidden/>
              </w:rPr>
              <w:tab/>
            </w:r>
            <w:r w:rsidR="00095068">
              <w:rPr>
                <w:noProof/>
                <w:webHidden/>
              </w:rPr>
              <w:fldChar w:fldCharType="begin"/>
            </w:r>
            <w:r w:rsidR="00095068">
              <w:rPr>
                <w:noProof/>
                <w:webHidden/>
              </w:rPr>
              <w:instrText xml:space="preserve"> PAGEREF _Toc449097757 \h </w:instrText>
            </w:r>
            <w:r w:rsidR="00095068">
              <w:rPr>
                <w:noProof/>
                <w:webHidden/>
              </w:rPr>
            </w:r>
            <w:r w:rsidR="00095068">
              <w:rPr>
                <w:noProof/>
                <w:webHidden/>
              </w:rPr>
              <w:fldChar w:fldCharType="separate"/>
            </w:r>
            <w:r w:rsidR="003D63ED">
              <w:rPr>
                <w:noProof/>
                <w:webHidden/>
              </w:rPr>
              <w:t>151</w:t>
            </w:r>
            <w:r w:rsidR="00095068">
              <w:rPr>
                <w:noProof/>
                <w:webHidden/>
              </w:rPr>
              <w:fldChar w:fldCharType="end"/>
            </w:r>
          </w:hyperlink>
        </w:p>
        <w:p w:rsidR="00095068" w:rsidRDefault="000D713D">
          <w:pPr>
            <w:pStyle w:val="Spistreci2"/>
            <w:tabs>
              <w:tab w:val="right" w:leader="dot" w:pos="9062"/>
            </w:tabs>
            <w:rPr>
              <w:noProof/>
            </w:rPr>
          </w:pPr>
          <w:hyperlink w:anchor="_Toc449097758" w:history="1">
            <w:r w:rsidR="00095068" w:rsidRPr="003F491C">
              <w:rPr>
                <w:rStyle w:val="Hipercze"/>
                <w:rFonts w:ascii="Times New Roman" w:hAnsi="Times New Roman" w:cs="Times New Roman"/>
                <w:noProof/>
              </w:rPr>
              <w:t>Efekt realizacji działań objętych Planem Gospodarki Niskoemisyjnej</w:t>
            </w:r>
            <w:r w:rsidR="00095068">
              <w:rPr>
                <w:noProof/>
                <w:webHidden/>
              </w:rPr>
              <w:tab/>
            </w:r>
            <w:r w:rsidR="00095068">
              <w:rPr>
                <w:noProof/>
                <w:webHidden/>
              </w:rPr>
              <w:fldChar w:fldCharType="begin"/>
            </w:r>
            <w:r w:rsidR="00095068">
              <w:rPr>
                <w:noProof/>
                <w:webHidden/>
              </w:rPr>
              <w:instrText xml:space="preserve"> PAGEREF _Toc449097758 \h </w:instrText>
            </w:r>
            <w:r w:rsidR="00095068">
              <w:rPr>
                <w:noProof/>
                <w:webHidden/>
              </w:rPr>
            </w:r>
            <w:r w:rsidR="00095068">
              <w:rPr>
                <w:noProof/>
                <w:webHidden/>
              </w:rPr>
              <w:fldChar w:fldCharType="separate"/>
            </w:r>
            <w:r w:rsidR="003D63ED">
              <w:rPr>
                <w:noProof/>
                <w:webHidden/>
              </w:rPr>
              <w:t>156</w:t>
            </w:r>
            <w:r w:rsidR="00095068">
              <w:rPr>
                <w:noProof/>
                <w:webHidden/>
              </w:rPr>
              <w:fldChar w:fldCharType="end"/>
            </w:r>
          </w:hyperlink>
        </w:p>
        <w:p w:rsidR="00095068" w:rsidRDefault="000D713D">
          <w:pPr>
            <w:pStyle w:val="Spistreci2"/>
            <w:tabs>
              <w:tab w:val="right" w:leader="dot" w:pos="9062"/>
            </w:tabs>
            <w:rPr>
              <w:noProof/>
            </w:rPr>
          </w:pPr>
          <w:hyperlink w:anchor="_Toc449097759" w:history="1">
            <w:r w:rsidR="00095068" w:rsidRPr="003F491C">
              <w:rPr>
                <w:rStyle w:val="Hipercze"/>
                <w:rFonts w:ascii="Times New Roman" w:hAnsi="Times New Roman" w:cs="Times New Roman"/>
                <w:noProof/>
              </w:rPr>
              <w:t>Aspekty organizacyjne i monitoring realizacji Planu Gospodarki Niskoemisyjnej dla Miasta i Gminy Kańczuga</w:t>
            </w:r>
            <w:r w:rsidR="00095068">
              <w:rPr>
                <w:noProof/>
                <w:webHidden/>
              </w:rPr>
              <w:tab/>
            </w:r>
            <w:r w:rsidR="00095068">
              <w:rPr>
                <w:noProof/>
                <w:webHidden/>
              </w:rPr>
              <w:fldChar w:fldCharType="begin"/>
            </w:r>
            <w:r w:rsidR="00095068">
              <w:rPr>
                <w:noProof/>
                <w:webHidden/>
              </w:rPr>
              <w:instrText xml:space="preserve"> PAGEREF _Toc449097759 \h </w:instrText>
            </w:r>
            <w:r w:rsidR="00095068">
              <w:rPr>
                <w:noProof/>
                <w:webHidden/>
              </w:rPr>
            </w:r>
            <w:r w:rsidR="00095068">
              <w:rPr>
                <w:noProof/>
                <w:webHidden/>
              </w:rPr>
              <w:fldChar w:fldCharType="separate"/>
            </w:r>
            <w:r w:rsidR="003D63ED">
              <w:rPr>
                <w:noProof/>
                <w:webHidden/>
              </w:rPr>
              <w:t>158</w:t>
            </w:r>
            <w:r w:rsidR="00095068">
              <w:rPr>
                <w:noProof/>
                <w:webHidden/>
              </w:rPr>
              <w:fldChar w:fldCharType="end"/>
            </w:r>
          </w:hyperlink>
        </w:p>
        <w:p w:rsidR="00DD03EE" w:rsidRPr="00BE6FA1" w:rsidRDefault="00BB43A3" w:rsidP="008C1C45">
          <w:pPr>
            <w:jc w:val="both"/>
            <w:rPr>
              <w:rFonts w:ascii="Times New Roman" w:hAnsi="Times New Roman" w:cs="Times New Roman"/>
              <w:sz w:val="24"/>
              <w:szCs w:val="24"/>
            </w:rPr>
            <w:sectPr w:rsidR="00DD03EE" w:rsidRPr="00BE6FA1">
              <w:pgSz w:w="11906" w:h="16838"/>
              <w:pgMar w:top="1417" w:right="1417" w:bottom="1417" w:left="1417" w:header="708" w:footer="708" w:gutter="0"/>
              <w:cols w:space="708"/>
              <w:docGrid w:linePitch="360"/>
            </w:sectPr>
          </w:pPr>
          <w:r w:rsidRPr="00BE6FA1">
            <w:rPr>
              <w:rFonts w:ascii="Times New Roman" w:hAnsi="Times New Roman" w:cs="Times New Roman"/>
              <w:b/>
              <w:bCs/>
              <w:sz w:val="24"/>
              <w:szCs w:val="24"/>
            </w:rPr>
            <w:fldChar w:fldCharType="end"/>
          </w:r>
        </w:p>
      </w:sdtContent>
    </w:sdt>
    <w:p w:rsidR="004568D6" w:rsidRPr="00BE6FA1" w:rsidRDefault="004568D6" w:rsidP="004568D6">
      <w:pPr>
        <w:pStyle w:val="Spisilustracji"/>
        <w:tabs>
          <w:tab w:val="right" w:leader="dot" w:pos="9062"/>
        </w:tabs>
        <w:spacing w:after="120"/>
        <w:rPr>
          <w:rFonts w:ascii="Times New Roman" w:hAnsi="Times New Roman" w:cs="Times New Roman"/>
          <w:b/>
          <w:sz w:val="24"/>
        </w:rPr>
      </w:pPr>
      <w:r w:rsidRPr="00BE6FA1">
        <w:rPr>
          <w:rFonts w:ascii="Times New Roman" w:hAnsi="Times New Roman" w:cs="Times New Roman"/>
          <w:b/>
          <w:sz w:val="24"/>
        </w:rPr>
        <w:lastRenderedPageBreak/>
        <w:t>Spis rysunków</w:t>
      </w:r>
    </w:p>
    <w:p w:rsidR="008C1C45" w:rsidRPr="00BE6FA1" w:rsidRDefault="00BB43A3"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sz w:val="24"/>
          <w:szCs w:val="24"/>
        </w:rPr>
        <w:fldChar w:fldCharType="begin"/>
      </w:r>
      <w:r w:rsidR="004568D6" w:rsidRPr="00BE6FA1">
        <w:rPr>
          <w:rFonts w:ascii="Times New Roman" w:hAnsi="Times New Roman" w:cs="Times New Roman"/>
          <w:sz w:val="24"/>
          <w:szCs w:val="24"/>
        </w:rPr>
        <w:instrText xml:space="preserve"> TOC \c "Rysunek" </w:instrText>
      </w:r>
      <w:r w:rsidRPr="00BE6FA1">
        <w:rPr>
          <w:rFonts w:ascii="Times New Roman" w:hAnsi="Times New Roman" w:cs="Times New Roman"/>
          <w:sz w:val="24"/>
          <w:szCs w:val="24"/>
        </w:rPr>
        <w:fldChar w:fldCharType="separate"/>
      </w:r>
      <w:r w:rsidR="008C1C45" w:rsidRPr="00BE6FA1">
        <w:rPr>
          <w:rFonts w:ascii="Times New Roman" w:hAnsi="Times New Roman" w:cs="Times New Roman"/>
          <w:noProof/>
          <w:sz w:val="24"/>
          <w:szCs w:val="24"/>
        </w:rPr>
        <w:t>Rysunek 1. Miasto i Gmina Kańczuga na tle powiatu przeworskiego</w:t>
      </w:r>
      <w:r w:rsidR="008C1C45"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008C1C45" w:rsidRPr="00BE6FA1">
        <w:rPr>
          <w:rFonts w:ascii="Times New Roman" w:hAnsi="Times New Roman" w:cs="Times New Roman"/>
          <w:noProof/>
          <w:sz w:val="24"/>
          <w:szCs w:val="24"/>
        </w:rPr>
        <w:instrText xml:space="preserve"> PAGEREF _Toc445289814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17</w:t>
      </w:r>
      <w:r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 Miasto i Gmina Kańczuga</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_Toc445289815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17</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3. Potencjał techniczny energetyki wodnej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_Toc445289816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37</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4. Potencjał techniczny energetyki wiatrowej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_Toc445289817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38</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5. Potencjał techniczny energetyki słonecznej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_Toc445289818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39</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6. Potencjał techniczny pozyskania biomasy leśnej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_Toc445289819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40</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7. Potencjał techniczny produkcji biomasy ze słomy i siana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_Toc445289820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41</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8. Potencjał techniczny upraw z roślin energetycznych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_Toc445289821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42</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9. Potencjał techniczny produkcji biogazu rolniczego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_Toc445289822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43</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10. Rozkład średniej rocznej wartości prędkości wiatru [m/s]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_Toc445289823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50</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11. Dominujący kierunek wiatru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_Toc445289824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50</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12. Rozkład średniej rocznej wartości temperatury powietrza [°C]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51</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13. Rozkład rocznej sumy opadów atmosferycznych [mm]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52</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14. Rozkład średniej rocznej wartości wilgotności względnej powietrza [%] </w:t>
      </w:r>
      <w:r w:rsidRPr="00BE6FA1">
        <w:rPr>
          <w:rFonts w:ascii="Times New Roman" w:hAnsi="Times New Roman" w:cs="Times New Roman"/>
          <w:noProof/>
          <w:sz w:val="24"/>
          <w:szCs w:val="24"/>
        </w:rPr>
        <w:br/>
        <w:t>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53</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15. Stanowiska pomiarowe SO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54</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16. Rozkład stężeń 1-godzinnych SO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_Toc445289829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55</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17. Rozkład stężeń 24-godzinnych SO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_Toc445289830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56</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18. Stanowiska pomiarowe NO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_Toc445289831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57</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19. Rozkład stężeń 1-godzinnych NO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_Toc445289832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58</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20. Rozkład stężeń średniorocznych NO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_Toc445289833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59</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21. Rozkład maksymalnych stężeń 8-godzinnych CO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_Toc445289834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60</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22. Stanowiska pomiarowe benzenu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61</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23. Rozkład stężeń średniorocznych benzenu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62</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24. Stanowiska pomiarowe pyłu zawieszonego PM10 w województwie podkarpackim</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63</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25. Rozkład średniorocznych stężeń pyłu PM10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64</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26. Liczba dni z przekroczeniem dobowego poziomu dopuszczalnego pyłu PM10 </w:t>
      </w:r>
      <w:r w:rsidRPr="00BE6FA1">
        <w:rPr>
          <w:rFonts w:ascii="Times New Roman" w:hAnsi="Times New Roman" w:cs="Times New Roman"/>
          <w:noProof/>
          <w:sz w:val="24"/>
          <w:szCs w:val="24"/>
        </w:rPr>
        <w:br/>
        <w:t>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_Toc445289839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65</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27. Stanowiska pomiarowe pyłu zawieszonego PM2.5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_Toc445289840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67</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lastRenderedPageBreak/>
        <w:t xml:space="preserve">Rysunek 28. Rozkład stężeń średniorocznych pyłu PM2.5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_Toc445289841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68</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29.  Stanowiska pomiarowe metali i benzo(a)pirenu w województwie podkarpackim w 2014r.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_Toc445289842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70</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30. Rozkład stężeń średniorocznych arsenu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_Toc445289843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71</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31. Rozkład stężeń średniorocznych kadmu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_Toc445289844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73</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32. Rozkład stężeń średniorocznych niklu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74</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Rysunek 33. Rozkład stężeń średniorocznych ołowiu w województwie podkarpackim </w:t>
      </w:r>
      <w:r w:rsidRPr="00BE6FA1">
        <w:rPr>
          <w:rFonts w:ascii="Times New Roman" w:hAnsi="Times New Roman" w:cs="Times New Roman"/>
          <w:noProof/>
          <w:sz w:val="24"/>
          <w:szCs w:val="24"/>
        </w:rPr>
        <w:br/>
        <w:t>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75</w:t>
      </w:r>
      <w:r w:rsidR="00BB43A3" w:rsidRPr="00BE6FA1">
        <w:rPr>
          <w:rFonts w:ascii="Times New Roman" w:hAnsi="Times New Roman" w:cs="Times New Roman"/>
          <w:noProof/>
          <w:sz w:val="24"/>
          <w:szCs w:val="24"/>
        </w:rPr>
        <w:fldChar w:fldCharType="end"/>
      </w:r>
    </w:p>
    <w:p w:rsidR="008C1C45" w:rsidRPr="00BE6FA1" w:rsidRDefault="008C1C45" w:rsidP="008C1C45">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Rysunek 34. Rozkład stężeń średniorocznych benzo(a)pirenu w województwie podkarpackim w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77</w:t>
      </w:r>
      <w:r w:rsidR="00BB43A3" w:rsidRPr="00BE6FA1">
        <w:rPr>
          <w:rFonts w:ascii="Times New Roman" w:hAnsi="Times New Roman" w:cs="Times New Roman"/>
          <w:noProof/>
          <w:sz w:val="24"/>
          <w:szCs w:val="24"/>
        </w:rPr>
        <w:fldChar w:fldCharType="end"/>
      </w:r>
    </w:p>
    <w:p w:rsidR="00B32DAF" w:rsidRPr="00BE6FA1" w:rsidRDefault="00BB43A3" w:rsidP="008C1C45">
      <w:pPr>
        <w:pStyle w:val="Spisilustracji"/>
        <w:tabs>
          <w:tab w:val="right" w:leader="dot" w:pos="9062"/>
        </w:tabs>
        <w:spacing w:after="120"/>
        <w:jc w:val="both"/>
        <w:rPr>
          <w:rFonts w:ascii="Times New Roman" w:hAnsi="Times New Roman" w:cs="Times New Roman"/>
          <w:b/>
          <w:sz w:val="18"/>
          <w:szCs w:val="24"/>
        </w:rPr>
      </w:pPr>
      <w:r w:rsidRPr="00BE6FA1">
        <w:rPr>
          <w:rFonts w:ascii="Times New Roman" w:hAnsi="Times New Roman" w:cs="Times New Roman"/>
          <w:sz w:val="24"/>
          <w:szCs w:val="24"/>
        </w:rPr>
        <w:fldChar w:fldCharType="end"/>
      </w:r>
    </w:p>
    <w:p w:rsidR="008C1C45" w:rsidRPr="00BE6FA1" w:rsidRDefault="00B32DAF"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b/>
          <w:sz w:val="24"/>
          <w:szCs w:val="24"/>
        </w:rPr>
        <w:t>Spis tabel</w:t>
      </w:r>
      <w:r w:rsidR="00BB43A3" w:rsidRPr="00BE6FA1">
        <w:rPr>
          <w:rFonts w:ascii="Times New Roman" w:hAnsi="Times New Roman" w:cs="Times New Roman"/>
          <w:sz w:val="24"/>
          <w:szCs w:val="24"/>
        </w:rPr>
        <w:fldChar w:fldCharType="begin"/>
      </w:r>
      <w:r w:rsidRPr="00BE6FA1">
        <w:rPr>
          <w:rFonts w:ascii="Times New Roman" w:hAnsi="Times New Roman" w:cs="Times New Roman"/>
          <w:sz w:val="24"/>
          <w:szCs w:val="24"/>
        </w:rPr>
        <w:instrText xml:space="preserve"> TOC \c "Tabela" </w:instrText>
      </w:r>
      <w:r w:rsidR="00BB43A3" w:rsidRPr="00BE6FA1">
        <w:rPr>
          <w:rFonts w:ascii="Times New Roman" w:hAnsi="Times New Roman" w:cs="Times New Roman"/>
          <w:sz w:val="24"/>
          <w:szCs w:val="24"/>
        </w:rPr>
        <w:fldChar w:fldCharType="separate"/>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 Powierzchnia geodezyjna według form użytkowania terenu (BDL, dane z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18</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2. Liczba ludności w Mieście i Gminie Kańczuga (BDL, dane z 2000 - 2014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_Toc445289849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22</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3. Działalność gospodarcza w Gminie Kańczuga (Urząd Gminy, dane z 2016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_Toc445289850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24</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4. Charakterystyka sieci wodociągowej w Gminie Kańczuga (BDL, dane z 2000 - 2014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_Toc445289851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28</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5. Charakterystyka sieci kanalizacyjnej w Gminie Kańczuga (BDL, dane z 2000 - 2014 r.)</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_Toc445289852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28</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6. Sieć SN i nN na terenie Miasta i Gminy Kańczuga (dane z: PGE Dystrybucja S.A. Oddział Zamość)</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_Toc445289853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33</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7. Urządzenia obce (dane z: PGE Dystrybucja S.A. Oddział Zamość)</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_Toc445289854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33</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8. Struktura odbiorców w Gminie Kańczuga w latach 2010-2014 (dane z:  PGE Dystrybucja S.A. Oddział Zamość)</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34</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9. Zadania związane z modernizacją i odtworzeniem majątku (dane z: PGE Dystrybucja S.A. Oddział Zamość)</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35</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10. Wartości opałowe (WO) i wskaźniki emisji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80</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11. Zużycie energii i emisja CO</w:t>
      </w:r>
      <w:r w:rsidRPr="00BE6FA1">
        <w:rPr>
          <w:rFonts w:ascii="Times New Roman" w:hAnsi="Times New Roman" w:cs="Times New Roman"/>
          <w:noProof/>
          <w:sz w:val="24"/>
          <w:szCs w:val="24"/>
          <w:vertAlign w:val="subscript"/>
        </w:rPr>
        <w:t xml:space="preserve">2 </w:t>
      </w:r>
      <w:r w:rsidRPr="00BE6FA1">
        <w:rPr>
          <w:rFonts w:ascii="Times New Roman" w:hAnsi="Times New Roman" w:cs="Times New Roman"/>
          <w:noProof/>
          <w:sz w:val="24"/>
          <w:szCs w:val="24"/>
        </w:rPr>
        <w:t>w budynkach mieszkalnych</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81</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12.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budynkach użyteczności publicznej</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_Toc445289859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83</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13.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spółdzielniach i wspólnotach mieszkaniowych</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_Toc445289860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84</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14.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obiektach sakralnych</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_Toc445289861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86</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15.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z oświetlenia ulicznego</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_Toc445289862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87</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16.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z transportu</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_Toc445289863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88</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17. Zużycie energii i emisja CO</w:t>
      </w:r>
      <w:r w:rsidRPr="00BE6FA1">
        <w:rPr>
          <w:rFonts w:ascii="Times New Roman" w:hAnsi="Times New Roman" w:cs="Times New Roman"/>
          <w:noProof/>
          <w:sz w:val="24"/>
          <w:szCs w:val="24"/>
          <w:vertAlign w:val="subscript"/>
        </w:rPr>
        <w:t xml:space="preserve">2 </w:t>
      </w:r>
      <w:r w:rsidRPr="00BE6FA1">
        <w:rPr>
          <w:rFonts w:ascii="Times New Roman" w:hAnsi="Times New Roman" w:cs="Times New Roman"/>
          <w:noProof/>
          <w:sz w:val="24"/>
          <w:szCs w:val="24"/>
        </w:rPr>
        <w:t>z przemysłu</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_Toc445289864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89</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18.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z podmiotów usługowych</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_Toc445289865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91</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19. Zużycie energii i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 podsumowanie inwentaryzacji</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_Toc445289866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93</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20. Analiza SWOT</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_Toc445289867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150</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 xml:space="preserve">Tabela 21. </w:t>
      </w:r>
      <w:r w:rsidRPr="00BE6FA1">
        <w:rPr>
          <w:rFonts w:ascii="Times New Roman" w:eastAsiaTheme="majorEastAsia" w:hAnsi="Times New Roman" w:cs="Times New Roman"/>
          <w:bCs/>
          <w:noProof/>
          <w:sz w:val="24"/>
          <w:szCs w:val="24"/>
        </w:rPr>
        <w:t>Krótko/średnioterminowe dział</w:t>
      </w:r>
      <w:r w:rsidR="00D06187">
        <w:rPr>
          <w:rFonts w:ascii="Times New Roman" w:eastAsiaTheme="majorEastAsia" w:hAnsi="Times New Roman" w:cs="Times New Roman"/>
          <w:bCs/>
          <w:noProof/>
          <w:sz w:val="24"/>
          <w:szCs w:val="24"/>
        </w:rPr>
        <w:t>ania/zadania na lata 2016 – 2021</w:t>
      </w:r>
      <w:r w:rsidRPr="00BE6FA1">
        <w:rPr>
          <w:rFonts w:ascii="Times New Roman" w:eastAsiaTheme="majorEastAsia" w:hAnsi="Times New Roman" w:cs="Times New Roman"/>
          <w:bCs/>
          <w:noProof/>
          <w:sz w:val="24"/>
          <w:szCs w:val="24"/>
        </w:rPr>
        <w:t xml:space="preserve"> w mieście </w:t>
      </w:r>
      <w:r w:rsidR="00670E44" w:rsidRPr="00BE6FA1">
        <w:rPr>
          <w:rFonts w:ascii="Times New Roman" w:eastAsiaTheme="majorEastAsia" w:hAnsi="Times New Roman" w:cs="Times New Roman"/>
          <w:bCs/>
          <w:noProof/>
          <w:sz w:val="24"/>
          <w:szCs w:val="24"/>
        </w:rPr>
        <w:br/>
      </w:r>
      <w:r w:rsidRPr="00BE6FA1">
        <w:rPr>
          <w:rFonts w:ascii="Times New Roman" w:eastAsiaTheme="majorEastAsia" w:hAnsi="Times New Roman" w:cs="Times New Roman"/>
          <w:bCs/>
          <w:noProof/>
          <w:sz w:val="24"/>
          <w:szCs w:val="24"/>
        </w:rPr>
        <w:t>i gminie Kańczuga</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_Toc445289868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155</w:t>
      </w:r>
      <w:r w:rsidR="00BB43A3" w:rsidRPr="00BE6FA1">
        <w:rPr>
          <w:rFonts w:ascii="Times New Roman" w:hAnsi="Times New Roman" w:cs="Times New Roman"/>
          <w:noProof/>
          <w:sz w:val="24"/>
          <w:szCs w:val="24"/>
        </w:rPr>
        <w:fldChar w:fldCharType="end"/>
      </w:r>
    </w:p>
    <w:p w:rsidR="008C1C45" w:rsidRPr="00BE6FA1" w:rsidRDefault="008C1C45" w:rsidP="00DD4300">
      <w:pPr>
        <w:pStyle w:val="Spisilustracji"/>
        <w:tabs>
          <w:tab w:val="right" w:leader="dot" w:pos="9062"/>
        </w:tabs>
        <w:jc w:val="both"/>
        <w:rPr>
          <w:rFonts w:ascii="Times New Roman" w:hAnsi="Times New Roman" w:cs="Times New Roman"/>
          <w:noProof/>
          <w:sz w:val="24"/>
          <w:szCs w:val="24"/>
        </w:rPr>
      </w:pPr>
      <w:r w:rsidRPr="00BE6FA1">
        <w:rPr>
          <w:rFonts w:ascii="Times New Roman" w:hAnsi="Times New Roman" w:cs="Times New Roman"/>
          <w:noProof/>
          <w:sz w:val="24"/>
          <w:szCs w:val="24"/>
        </w:rPr>
        <w:t>Tabela 22. Przewidywane wartości wskaźników realizacji PGN</w:t>
      </w:r>
      <w:r w:rsidRPr="00BE6FA1">
        <w:rPr>
          <w:rFonts w:ascii="Times New Roman" w:hAnsi="Times New Roman" w:cs="Times New Roman"/>
          <w:noProof/>
          <w:sz w:val="24"/>
          <w:szCs w:val="24"/>
        </w:rPr>
        <w:tab/>
      </w:r>
      <w:r w:rsidR="00BB43A3"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_Toc445289869 \h </w:instrText>
      </w:r>
      <w:r w:rsidR="00BB43A3" w:rsidRPr="00BE6FA1">
        <w:rPr>
          <w:rFonts w:ascii="Times New Roman" w:hAnsi="Times New Roman" w:cs="Times New Roman"/>
          <w:noProof/>
          <w:sz w:val="24"/>
          <w:szCs w:val="24"/>
        </w:rPr>
      </w:r>
      <w:r w:rsidR="00BB43A3"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161</w:t>
      </w:r>
      <w:r w:rsidR="00BB43A3" w:rsidRPr="00BE6FA1">
        <w:rPr>
          <w:rFonts w:ascii="Times New Roman" w:hAnsi="Times New Roman" w:cs="Times New Roman"/>
          <w:noProof/>
          <w:sz w:val="24"/>
          <w:szCs w:val="24"/>
        </w:rPr>
        <w:fldChar w:fldCharType="end"/>
      </w:r>
    </w:p>
    <w:p w:rsidR="00DD4300" w:rsidRPr="00BE6FA1" w:rsidRDefault="00BB43A3" w:rsidP="00DD4300">
      <w:pPr>
        <w:pStyle w:val="Spisilustracji"/>
        <w:tabs>
          <w:tab w:val="right" w:leader="dot" w:pos="9062"/>
        </w:tabs>
        <w:spacing w:after="120"/>
        <w:rPr>
          <w:rFonts w:ascii="Times New Roman" w:hAnsi="Times New Roman" w:cs="Times New Roman"/>
          <w:noProof/>
          <w:sz w:val="24"/>
          <w:szCs w:val="24"/>
        </w:rPr>
      </w:pPr>
      <w:r w:rsidRPr="00BE6FA1">
        <w:rPr>
          <w:rFonts w:ascii="Times New Roman" w:hAnsi="Times New Roman" w:cs="Times New Roman"/>
          <w:b/>
          <w:sz w:val="24"/>
          <w:szCs w:val="24"/>
        </w:rPr>
        <w:lastRenderedPageBreak/>
        <w:fldChar w:fldCharType="end"/>
      </w:r>
      <w:r w:rsidR="00DF73E8" w:rsidRPr="00BE6FA1">
        <w:rPr>
          <w:rFonts w:ascii="Times New Roman" w:hAnsi="Times New Roman" w:cs="Times New Roman"/>
          <w:b/>
          <w:sz w:val="24"/>
        </w:rPr>
        <w:t xml:space="preserve"> Spis wykresów</w:t>
      </w:r>
      <w:r w:rsidR="00EA3884" w:rsidRPr="00BE6FA1">
        <w:rPr>
          <w:rFonts w:ascii="Times New Roman" w:hAnsi="Times New Roman" w:cs="Times New Roman"/>
          <w:b/>
          <w:sz w:val="24"/>
          <w:szCs w:val="24"/>
        </w:rPr>
        <w:fldChar w:fldCharType="begin"/>
      </w:r>
      <w:r w:rsidR="00EA3884" w:rsidRPr="00BE6FA1">
        <w:rPr>
          <w:rFonts w:ascii="Times New Roman" w:hAnsi="Times New Roman" w:cs="Times New Roman"/>
          <w:b/>
          <w:sz w:val="24"/>
          <w:szCs w:val="24"/>
        </w:rPr>
        <w:instrText xml:space="preserve"> TOC \c "Wykres" </w:instrText>
      </w:r>
      <w:r w:rsidR="00EA3884" w:rsidRPr="00BE6FA1">
        <w:rPr>
          <w:rFonts w:ascii="Times New Roman" w:hAnsi="Times New Roman" w:cs="Times New Roman"/>
          <w:b/>
          <w:sz w:val="24"/>
          <w:szCs w:val="24"/>
        </w:rPr>
        <w:fldChar w:fldCharType="separate"/>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 Formy użytkowania terenu Gminy Kańczuga (BDL, dane z 2014 r.)</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_Toc448844730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19</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 Liczba ludności w Gminie Kańczuga (BDL, dane z 2000 - 2014 r.)</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_Toc448844731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22</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3. Liczba ludności w Mieście Kańczuga (BDL, dane z 2000 - 2014 r.)</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_Toc448844732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23</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4. Struktura wieku i płci w Gminie Kańczuga (BDL, dane z 2014 r.)</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_Toc448844733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23</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5. Całkowity potencjał techniczny OZE dla sektora energetycznego w powiatach województwa podkarpackiego (źródło: Wojewódzki Program Rozwoju Odnawialnych Źródeł Energii dla Województwa Podkarpackiego)</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_Toc448844734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36</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6. Zużycie energii przez budynki użyteczności publicznej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_Toc448844735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82</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7.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budynki użyteczności publicznej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_Toc448844736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82</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8. Zużycie energii przez budynki użyteczności publicznej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_Toc448844737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83</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9.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budynki użyteczności publicznej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_Toc448844738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84</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10. Zużycie energii przez spółdzielnie i wspólnoty mieszkaniowe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_Toc448844739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85</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11.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spółdzielnie i wspólnoty mieszkaniowe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_Toc448844740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85</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12. Zużycie energii przez obiekty sakralne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_Toc448844741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86</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13.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obiekty sakralne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_Toc448844742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87</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14. Zużycie energii przez transport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_Toc448844743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88</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15. Zużycie energii przez transport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_Toc448844744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89</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16. Zużycie energii przez budynki przedsiębiorstw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_Toc448844745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90</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17.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budynki przedsiębiorstw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_Toc448844746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90</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18. Zużycie energii przez budynki usługowe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_Toc448844747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91</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19.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przez budynki usługowe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_Toc448844748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92</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20. Zużycie energii w Mieście i Gminie Kańczuga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_Toc448844749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93</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21.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Mieście i Gminie Kańczuga w podziale na nośniki energii</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_Toc448844750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94</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22. Zużycie energii w Mieście i Gminie Kańczuga w podziale na sektory odbiorców</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_Toc448844751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95</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23. Emisja CO</w:t>
      </w:r>
      <w:r w:rsidRPr="00BE6FA1">
        <w:rPr>
          <w:rFonts w:ascii="Times New Roman" w:hAnsi="Times New Roman" w:cs="Times New Roman"/>
          <w:noProof/>
          <w:sz w:val="24"/>
          <w:szCs w:val="24"/>
          <w:vertAlign w:val="subscript"/>
        </w:rPr>
        <w:t>2</w:t>
      </w:r>
      <w:r w:rsidRPr="00BE6FA1">
        <w:rPr>
          <w:rFonts w:ascii="Times New Roman" w:hAnsi="Times New Roman" w:cs="Times New Roman"/>
          <w:noProof/>
          <w:sz w:val="24"/>
          <w:szCs w:val="24"/>
        </w:rPr>
        <w:t xml:space="preserve"> w Mieście i Gminie Kańczuga w podziale na sektory odbiorców</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_Toc448844752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95</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24. Wykonane termomodernizacje budynków jednorodzinnych w Mieście i Gminie Kańczuga</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_Toc448844753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96</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25. Planowane termomodernizacje budynków jednorodzinnych w Mieście i Gminie Kańczuga</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_Toc448844754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97</w:t>
      </w:r>
      <w:r w:rsidRPr="00BE6FA1">
        <w:rPr>
          <w:rFonts w:ascii="Times New Roman" w:hAnsi="Times New Roman" w:cs="Times New Roman"/>
          <w:noProof/>
          <w:sz w:val="24"/>
          <w:szCs w:val="24"/>
        </w:rPr>
        <w:fldChar w:fldCharType="end"/>
      </w:r>
    </w:p>
    <w:p w:rsidR="00DD4300" w:rsidRPr="00BE6FA1" w:rsidRDefault="00DD4300" w:rsidP="00DD4300">
      <w:pPr>
        <w:pStyle w:val="Spisilustracji"/>
        <w:tabs>
          <w:tab w:val="right" w:leader="dot" w:pos="9062"/>
        </w:tabs>
        <w:rPr>
          <w:rFonts w:ascii="Times New Roman" w:hAnsi="Times New Roman" w:cs="Times New Roman"/>
          <w:noProof/>
          <w:sz w:val="24"/>
          <w:szCs w:val="24"/>
        </w:rPr>
      </w:pPr>
      <w:r w:rsidRPr="00BE6FA1">
        <w:rPr>
          <w:rFonts w:ascii="Times New Roman" w:hAnsi="Times New Roman" w:cs="Times New Roman"/>
          <w:noProof/>
          <w:sz w:val="24"/>
          <w:szCs w:val="24"/>
        </w:rPr>
        <w:t>Wykres 26. Zainteresowanie mieszkańców Miasta i Gminy Kańczuga dofinansowaniem na zmianę sposobu ogrzewania</w:t>
      </w:r>
      <w:r w:rsidRPr="00BE6FA1">
        <w:rPr>
          <w:rFonts w:ascii="Times New Roman" w:hAnsi="Times New Roman" w:cs="Times New Roman"/>
          <w:noProof/>
          <w:sz w:val="24"/>
          <w:szCs w:val="24"/>
        </w:rPr>
        <w:tab/>
      </w:r>
      <w:r w:rsidRPr="00BE6FA1">
        <w:rPr>
          <w:rFonts w:ascii="Times New Roman" w:hAnsi="Times New Roman" w:cs="Times New Roman"/>
          <w:noProof/>
          <w:sz w:val="24"/>
          <w:szCs w:val="24"/>
        </w:rPr>
        <w:fldChar w:fldCharType="begin"/>
      </w:r>
      <w:r w:rsidRPr="00BE6FA1">
        <w:rPr>
          <w:rFonts w:ascii="Times New Roman" w:hAnsi="Times New Roman" w:cs="Times New Roman"/>
          <w:noProof/>
          <w:sz w:val="24"/>
          <w:szCs w:val="24"/>
        </w:rPr>
        <w:instrText xml:space="preserve"> PAGEREF _Toc448844755 \h </w:instrText>
      </w:r>
      <w:r w:rsidRPr="00BE6FA1">
        <w:rPr>
          <w:rFonts w:ascii="Times New Roman" w:hAnsi="Times New Roman" w:cs="Times New Roman"/>
          <w:noProof/>
          <w:sz w:val="24"/>
          <w:szCs w:val="24"/>
        </w:rPr>
      </w:r>
      <w:r w:rsidRPr="00BE6FA1">
        <w:rPr>
          <w:rFonts w:ascii="Times New Roman" w:hAnsi="Times New Roman" w:cs="Times New Roman"/>
          <w:noProof/>
          <w:sz w:val="24"/>
          <w:szCs w:val="24"/>
        </w:rPr>
        <w:fldChar w:fldCharType="separate"/>
      </w:r>
      <w:r w:rsidR="003D63ED">
        <w:rPr>
          <w:rFonts w:ascii="Times New Roman" w:hAnsi="Times New Roman" w:cs="Times New Roman"/>
          <w:noProof/>
          <w:sz w:val="24"/>
          <w:szCs w:val="24"/>
        </w:rPr>
        <w:t>98</w:t>
      </w:r>
      <w:r w:rsidRPr="00BE6FA1">
        <w:rPr>
          <w:rFonts w:ascii="Times New Roman" w:hAnsi="Times New Roman" w:cs="Times New Roman"/>
          <w:noProof/>
          <w:sz w:val="24"/>
          <w:szCs w:val="24"/>
        </w:rPr>
        <w:fldChar w:fldCharType="end"/>
      </w:r>
    </w:p>
    <w:p w:rsidR="00DD4300" w:rsidRPr="00BE6FA1" w:rsidRDefault="00DD4300" w:rsidP="00DD4300">
      <w:pPr>
        <w:rPr>
          <w:rFonts w:ascii="Times New Roman" w:hAnsi="Times New Roman" w:cs="Times New Roman"/>
        </w:rPr>
      </w:pPr>
    </w:p>
    <w:p w:rsidR="00FB5F73" w:rsidRDefault="00FB5F73" w:rsidP="00DD4300">
      <w:pPr>
        <w:rPr>
          <w:rFonts w:ascii="Times New Roman" w:hAnsi="Times New Roman" w:cs="Times New Roman"/>
        </w:rPr>
        <w:sectPr w:rsidR="00FB5F73">
          <w:footerReference w:type="default" r:id="rId10"/>
          <w:pgSz w:w="11906" w:h="16838"/>
          <w:pgMar w:top="1417" w:right="1417" w:bottom="1417" w:left="1417" w:header="708" w:footer="708" w:gutter="0"/>
          <w:cols w:space="708"/>
          <w:docGrid w:linePitch="360"/>
        </w:sectPr>
      </w:pPr>
    </w:p>
    <w:p w:rsidR="004C0092" w:rsidRPr="00BE6FA1" w:rsidRDefault="00EA3884" w:rsidP="00FB5F73">
      <w:pPr>
        <w:pStyle w:val="Nagwek1"/>
        <w:spacing w:before="120"/>
        <w:jc w:val="both"/>
        <w:rPr>
          <w:rFonts w:ascii="Times New Roman" w:hAnsi="Times New Roman" w:cs="Times New Roman"/>
          <w:b w:val="0"/>
          <w:color w:val="auto"/>
          <w:sz w:val="22"/>
          <w:szCs w:val="24"/>
        </w:rPr>
      </w:pPr>
      <w:r w:rsidRPr="00BE6FA1">
        <w:rPr>
          <w:rFonts w:ascii="Times New Roman" w:hAnsi="Times New Roman" w:cs="Times New Roman"/>
          <w:b w:val="0"/>
          <w:color w:val="auto"/>
          <w:sz w:val="24"/>
          <w:szCs w:val="24"/>
        </w:rPr>
        <w:lastRenderedPageBreak/>
        <w:fldChar w:fldCharType="end"/>
      </w:r>
      <w:bookmarkStart w:id="0" w:name="_Toc449097707"/>
      <w:r w:rsidR="004C0092" w:rsidRPr="00BE6FA1">
        <w:rPr>
          <w:rFonts w:ascii="Times New Roman" w:hAnsi="Times New Roman" w:cs="Times New Roman"/>
          <w:color w:val="auto"/>
        </w:rPr>
        <w:t>Streszczenie</w:t>
      </w:r>
      <w:bookmarkEnd w:id="0"/>
    </w:p>
    <w:p w:rsidR="00ED79F8" w:rsidRPr="00BE6FA1" w:rsidRDefault="00ED79F8" w:rsidP="003A27DA">
      <w:pPr>
        <w:autoSpaceDE w:val="0"/>
        <w:autoSpaceDN w:val="0"/>
        <w:adjustRightInd w:val="0"/>
        <w:spacing w:after="0" w:line="360" w:lineRule="auto"/>
        <w:ind w:firstLine="720"/>
        <w:jc w:val="both"/>
        <w:rPr>
          <w:rFonts w:ascii="Times New Roman" w:hAnsi="Times New Roman" w:cs="Times New Roman"/>
          <w:sz w:val="24"/>
          <w:szCs w:val="24"/>
        </w:rPr>
      </w:pPr>
    </w:p>
    <w:p w:rsidR="000C67FF" w:rsidRPr="00BE6FA1" w:rsidRDefault="000C67FF" w:rsidP="003A27DA">
      <w:pPr>
        <w:autoSpaceDE w:val="0"/>
        <w:autoSpaceDN w:val="0"/>
        <w:adjustRightInd w:val="0"/>
        <w:spacing w:after="0"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Gospodarka niskoemisyjna opiera się przede wszystkim na minimalizacji wykorzystania paliw kopalnych, zwiększeniu efektywności energetycznej, wykorzystaniu odnawialnych źródeł energii i zastosowaniu technologii ograniczających emisję.</w:t>
      </w:r>
    </w:p>
    <w:p w:rsidR="000C67FF" w:rsidRPr="00BE6FA1" w:rsidRDefault="000C67FF" w:rsidP="003A27DA">
      <w:pPr>
        <w:spacing w:after="0" w:line="360" w:lineRule="auto"/>
        <w:ind w:firstLine="720"/>
        <w:jc w:val="both"/>
        <w:rPr>
          <w:rFonts w:ascii="Times New Roman" w:hAnsi="Times New Roman" w:cs="Times New Roman"/>
          <w:sz w:val="24"/>
        </w:rPr>
      </w:pPr>
      <w:r w:rsidRPr="00BE6FA1">
        <w:rPr>
          <w:rFonts w:ascii="Times New Roman" w:hAnsi="Times New Roman" w:cs="Times New Roman"/>
          <w:sz w:val="24"/>
          <w:szCs w:val="24"/>
        </w:rPr>
        <w:t>W ramach przygotowywania</w:t>
      </w:r>
      <w:r w:rsidRPr="00BE6FA1">
        <w:rPr>
          <w:rFonts w:ascii="Times New Roman" w:eastAsia="Calibri" w:hAnsi="Times New Roman" w:cs="Times New Roman"/>
          <w:sz w:val="24"/>
          <w:szCs w:val="24"/>
        </w:rPr>
        <w:t xml:space="preserve"> Planu Gospodarki Niskoemisyjnej dla </w:t>
      </w:r>
      <w:r w:rsidR="006E5967" w:rsidRPr="00BE6FA1">
        <w:rPr>
          <w:rFonts w:ascii="Times New Roman" w:eastAsia="Calibri" w:hAnsi="Times New Roman" w:cs="Times New Roman"/>
          <w:sz w:val="24"/>
          <w:szCs w:val="24"/>
        </w:rPr>
        <w:t xml:space="preserve">Miasta </w:t>
      </w:r>
      <w:r w:rsidR="006E5967" w:rsidRPr="00BE6FA1">
        <w:rPr>
          <w:rFonts w:ascii="Times New Roman" w:eastAsia="Calibri" w:hAnsi="Times New Roman" w:cs="Times New Roman"/>
          <w:sz w:val="24"/>
          <w:szCs w:val="24"/>
        </w:rPr>
        <w:br/>
        <w:t xml:space="preserve">i </w:t>
      </w:r>
      <w:r w:rsidRPr="00BE6FA1">
        <w:rPr>
          <w:rFonts w:ascii="Times New Roman" w:eastAsia="Calibri" w:hAnsi="Times New Roman" w:cs="Times New Roman"/>
          <w:sz w:val="24"/>
          <w:szCs w:val="24"/>
        </w:rPr>
        <w:t>Gminy Kańczuga (PGN) przeprowadzano</w:t>
      </w:r>
      <w:r w:rsidR="00DA7B10">
        <w:rPr>
          <w:rFonts w:ascii="Times New Roman" w:hAnsi="Times New Roman" w:cs="Times New Roman"/>
          <w:sz w:val="24"/>
          <w:szCs w:val="24"/>
        </w:rPr>
        <w:t xml:space="preserve"> inwentaryzację</w:t>
      </w:r>
      <w:r w:rsidRPr="00BE6FA1">
        <w:rPr>
          <w:rFonts w:ascii="Times New Roman" w:hAnsi="Times New Roman" w:cs="Times New Roman"/>
          <w:sz w:val="24"/>
          <w:szCs w:val="24"/>
        </w:rPr>
        <w:t xml:space="preserve"> zużycia energii i emisji gazów cieplarnianych, wyznaczono obszary problemowe oraz </w:t>
      </w:r>
      <w:r w:rsidRPr="00BE6FA1">
        <w:rPr>
          <w:rFonts w:ascii="Times New Roman" w:eastAsia="Calibri" w:hAnsi="Times New Roman" w:cs="Times New Roman"/>
          <w:sz w:val="24"/>
          <w:szCs w:val="24"/>
        </w:rPr>
        <w:t>przeanalizowano</w:t>
      </w:r>
      <w:r w:rsidRPr="00BE6FA1">
        <w:rPr>
          <w:rFonts w:ascii="Times New Roman" w:hAnsi="Times New Roman" w:cs="Times New Roman"/>
          <w:sz w:val="24"/>
          <w:szCs w:val="24"/>
        </w:rPr>
        <w:t xml:space="preserve"> możliwości redukcji zużycia energii.</w:t>
      </w:r>
      <w:r w:rsidR="00806262" w:rsidRPr="00BE6FA1">
        <w:rPr>
          <w:rFonts w:ascii="Times New Roman" w:hAnsi="Times New Roman" w:cs="Times New Roman"/>
          <w:sz w:val="24"/>
          <w:szCs w:val="24"/>
        </w:rPr>
        <w:t xml:space="preserve"> </w:t>
      </w:r>
      <w:r w:rsidRPr="00BE6FA1">
        <w:rPr>
          <w:rFonts w:ascii="Times New Roman" w:eastAsia="Calibri" w:hAnsi="Times New Roman" w:cs="Times New Roman"/>
          <w:sz w:val="24"/>
          <w:szCs w:val="24"/>
        </w:rPr>
        <w:t>O</w:t>
      </w:r>
      <w:r w:rsidR="00DA7B10">
        <w:rPr>
          <w:rFonts w:ascii="Times New Roman" w:hAnsi="Times New Roman" w:cs="Times New Roman"/>
          <w:sz w:val="24"/>
          <w:szCs w:val="24"/>
        </w:rPr>
        <w:t>praco</w:t>
      </w:r>
      <w:r w:rsidRPr="00BE6FA1">
        <w:rPr>
          <w:rFonts w:ascii="Times New Roman" w:hAnsi="Times New Roman" w:cs="Times New Roman"/>
          <w:sz w:val="24"/>
          <w:szCs w:val="24"/>
        </w:rPr>
        <w:t>wan</w:t>
      </w:r>
      <w:r w:rsidRPr="00BE6FA1">
        <w:rPr>
          <w:rFonts w:ascii="Times New Roman" w:eastAsia="Calibri" w:hAnsi="Times New Roman" w:cs="Times New Roman"/>
          <w:sz w:val="24"/>
          <w:szCs w:val="24"/>
        </w:rPr>
        <w:t>o</w:t>
      </w:r>
      <w:r w:rsidR="00806262" w:rsidRPr="00BE6FA1">
        <w:rPr>
          <w:rFonts w:ascii="Times New Roman" w:eastAsia="Calibri" w:hAnsi="Times New Roman" w:cs="Times New Roman"/>
          <w:sz w:val="24"/>
          <w:szCs w:val="24"/>
        </w:rPr>
        <w:t xml:space="preserve"> </w:t>
      </w:r>
      <w:r w:rsidRPr="00BE6FA1">
        <w:rPr>
          <w:rFonts w:ascii="Times New Roman" w:hAnsi="Times New Roman" w:cs="Times New Roman"/>
          <w:sz w:val="24"/>
          <w:szCs w:val="24"/>
        </w:rPr>
        <w:t>harmonogram realizacji i możliwe źródła finansowania. Ustalon</w:t>
      </w:r>
      <w:r w:rsidRPr="00BE6FA1">
        <w:rPr>
          <w:rFonts w:ascii="Times New Roman" w:eastAsia="Calibri" w:hAnsi="Times New Roman" w:cs="Times New Roman"/>
          <w:sz w:val="24"/>
          <w:szCs w:val="24"/>
        </w:rPr>
        <w:t xml:space="preserve">o </w:t>
      </w:r>
      <w:r w:rsidRPr="00BE6FA1">
        <w:rPr>
          <w:rFonts w:ascii="Times New Roman" w:hAnsi="Times New Roman" w:cs="Times New Roman"/>
          <w:sz w:val="24"/>
          <w:szCs w:val="24"/>
        </w:rPr>
        <w:t>zasady</w:t>
      </w:r>
      <w:r w:rsidRPr="00BE6FA1">
        <w:rPr>
          <w:rFonts w:ascii="Times New Roman" w:hAnsi="Times New Roman" w:cs="Times New Roman"/>
          <w:sz w:val="24"/>
        </w:rPr>
        <w:t xml:space="preserve"> monitorowania i raportowania wyników. Przeanalizowano również możliwości finansowania proponowanych działań w zakresie gospodarki niskoemisyjnej </w:t>
      </w:r>
      <w:r w:rsidR="003A27DA" w:rsidRPr="00BE6FA1">
        <w:rPr>
          <w:rFonts w:ascii="Times New Roman" w:hAnsi="Times New Roman" w:cs="Times New Roman"/>
          <w:sz w:val="24"/>
        </w:rPr>
        <w:br/>
      </w:r>
      <w:r w:rsidRPr="00BE6FA1">
        <w:rPr>
          <w:rFonts w:ascii="Times New Roman" w:hAnsi="Times New Roman" w:cs="Times New Roman"/>
          <w:sz w:val="24"/>
        </w:rPr>
        <w:t xml:space="preserve">i odnawialnych źródeł energii. </w:t>
      </w:r>
    </w:p>
    <w:p w:rsidR="000C67FF" w:rsidRPr="00BE6FA1" w:rsidRDefault="000C67FF" w:rsidP="003A27DA">
      <w:pPr>
        <w:spacing w:after="0" w:line="360" w:lineRule="auto"/>
        <w:ind w:firstLine="720"/>
        <w:jc w:val="both"/>
        <w:rPr>
          <w:rFonts w:ascii="Times New Roman" w:hAnsi="Times New Roman" w:cs="Times New Roman"/>
          <w:sz w:val="24"/>
        </w:rPr>
      </w:pPr>
      <w:r w:rsidRPr="00BE6FA1">
        <w:rPr>
          <w:rFonts w:ascii="Times New Roman" w:hAnsi="Times New Roman" w:cs="Times New Roman"/>
          <w:sz w:val="24"/>
        </w:rPr>
        <w:t>Plan gospodarki niskoemisyjnej obejmuje cały obszar</w:t>
      </w:r>
      <w:r w:rsidR="0008057D" w:rsidRPr="00BE6FA1">
        <w:rPr>
          <w:rFonts w:ascii="Times New Roman" w:hAnsi="Times New Roman" w:cs="Times New Roman"/>
          <w:sz w:val="24"/>
        </w:rPr>
        <w:t xml:space="preserve"> Miasta i</w:t>
      </w:r>
      <w:r w:rsidR="00806262" w:rsidRPr="00BE6FA1">
        <w:rPr>
          <w:rFonts w:ascii="Times New Roman" w:hAnsi="Times New Roman" w:cs="Times New Roman"/>
          <w:sz w:val="24"/>
        </w:rPr>
        <w:t xml:space="preserve"> </w:t>
      </w:r>
      <w:r w:rsidRPr="00BE6FA1">
        <w:rPr>
          <w:rFonts w:ascii="Times New Roman" w:hAnsi="Times New Roman" w:cs="Times New Roman"/>
          <w:sz w:val="24"/>
        </w:rPr>
        <w:t xml:space="preserve">Gminy </w:t>
      </w:r>
      <w:r w:rsidR="00ED79F8" w:rsidRPr="00BE6FA1">
        <w:rPr>
          <w:rFonts w:ascii="Times New Roman" w:hAnsi="Times New Roman" w:cs="Times New Roman"/>
          <w:sz w:val="24"/>
        </w:rPr>
        <w:t>Kańczuga</w:t>
      </w:r>
      <w:r w:rsidRPr="00BE6FA1">
        <w:rPr>
          <w:rFonts w:ascii="Times New Roman" w:hAnsi="Times New Roman" w:cs="Times New Roman"/>
          <w:sz w:val="24"/>
        </w:rPr>
        <w:t>. Uwzględnia wszystkie sektory i podmioty będące prod</w:t>
      </w:r>
      <w:r w:rsidR="003A27DA" w:rsidRPr="00BE6FA1">
        <w:rPr>
          <w:rFonts w:ascii="Times New Roman" w:hAnsi="Times New Roman" w:cs="Times New Roman"/>
          <w:sz w:val="24"/>
        </w:rPr>
        <w:t xml:space="preserve">ucentami i odbiorcami energii, </w:t>
      </w:r>
      <w:r w:rsidR="00AD12FC" w:rsidRPr="00BE6FA1">
        <w:rPr>
          <w:rFonts w:ascii="Times New Roman" w:hAnsi="Times New Roman" w:cs="Times New Roman"/>
          <w:sz w:val="24"/>
        </w:rPr>
        <w:br/>
      </w:r>
      <w:r w:rsidRPr="00BE6FA1">
        <w:rPr>
          <w:rFonts w:ascii="Times New Roman" w:hAnsi="Times New Roman" w:cs="Times New Roman"/>
          <w:sz w:val="24"/>
        </w:rPr>
        <w:t xml:space="preserve">z wyjątkiem instalacji objętych </w:t>
      </w:r>
      <w:r w:rsidR="0008057D" w:rsidRPr="00BE6FA1">
        <w:rPr>
          <w:rFonts w:ascii="Times New Roman" w:hAnsi="Times New Roman" w:cs="Times New Roman"/>
          <w:sz w:val="24"/>
        </w:rPr>
        <w:t>unijnym systemem</w:t>
      </w:r>
      <w:r w:rsidRPr="00BE6FA1">
        <w:rPr>
          <w:rFonts w:ascii="Times New Roman" w:hAnsi="Times New Roman" w:cs="Times New Roman"/>
          <w:sz w:val="24"/>
        </w:rPr>
        <w:t xml:space="preserve"> handlu uprawnieniami do emisji (ETS).</w:t>
      </w:r>
    </w:p>
    <w:p w:rsidR="004C0092" w:rsidRPr="00BE6FA1" w:rsidRDefault="000C67FF" w:rsidP="003A27DA">
      <w:pPr>
        <w:spacing w:after="0" w:line="360" w:lineRule="auto"/>
        <w:ind w:firstLine="720"/>
        <w:jc w:val="both"/>
        <w:rPr>
          <w:rFonts w:ascii="Times New Roman" w:hAnsi="Times New Roman" w:cs="Times New Roman"/>
          <w:sz w:val="24"/>
        </w:rPr>
      </w:pPr>
      <w:r w:rsidRPr="00BE6FA1">
        <w:rPr>
          <w:rFonts w:ascii="Times New Roman" w:hAnsi="Times New Roman" w:cs="Times New Roman"/>
          <w:sz w:val="24"/>
        </w:rPr>
        <w:t xml:space="preserve">PGN jest spójny z obowiązującymi przepisami prawa wspólnotowego i krajowego </w:t>
      </w:r>
      <w:r w:rsidR="003A27DA" w:rsidRPr="00BE6FA1">
        <w:rPr>
          <w:rFonts w:ascii="Times New Roman" w:hAnsi="Times New Roman" w:cs="Times New Roman"/>
          <w:sz w:val="24"/>
        </w:rPr>
        <w:br/>
      </w:r>
      <w:r w:rsidRPr="00BE6FA1">
        <w:rPr>
          <w:rFonts w:ascii="Times New Roman" w:hAnsi="Times New Roman" w:cs="Times New Roman"/>
          <w:sz w:val="24"/>
        </w:rPr>
        <w:t>w tym z innymi planami, programami i dokumentami strategicznymi na poziomie krajowym, woj</w:t>
      </w:r>
      <w:r w:rsidR="00ED79F8" w:rsidRPr="00BE6FA1">
        <w:rPr>
          <w:rFonts w:ascii="Times New Roman" w:hAnsi="Times New Roman" w:cs="Times New Roman"/>
          <w:sz w:val="24"/>
        </w:rPr>
        <w:t>ewódzkim, powiatowym i gminnym.</w:t>
      </w:r>
    </w:p>
    <w:p w:rsidR="009871E6" w:rsidRPr="00BE6FA1" w:rsidRDefault="009871E6" w:rsidP="003A27DA">
      <w:pPr>
        <w:spacing w:after="0" w:line="360" w:lineRule="auto"/>
        <w:ind w:firstLine="720"/>
        <w:jc w:val="both"/>
        <w:rPr>
          <w:rFonts w:ascii="Times New Roman" w:hAnsi="Times New Roman" w:cs="Times New Roman"/>
          <w:sz w:val="24"/>
        </w:rPr>
      </w:pPr>
    </w:p>
    <w:p w:rsidR="009871E6" w:rsidRPr="00BE6FA1" w:rsidRDefault="009871E6" w:rsidP="009871E6">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Dla</w:t>
      </w:r>
      <w:r w:rsidR="00BF4843" w:rsidRPr="00BE6FA1">
        <w:rPr>
          <w:rFonts w:ascii="Times New Roman" w:hAnsi="Times New Roman" w:cs="Times New Roman"/>
          <w:sz w:val="24"/>
          <w:szCs w:val="24"/>
        </w:rPr>
        <w:t xml:space="preserve"> Miasta i</w:t>
      </w:r>
      <w:r w:rsidRPr="00BE6FA1">
        <w:rPr>
          <w:rFonts w:ascii="Times New Roman" w:hAnsi="Times New Roman" w:cs="Times New Roman"/>
          <w:sz w:val="24"/>
          <w:szCs w:val="24"/>
        </w:rPr>
        <w:t xml:space="preserve"> Gminy Kań</w:t>
      </w:r>
      <w:r w:rsidR="00C5778E" w:rsidRPr="00BE6FA1">
        <w:rPr>
          <w:rFonts w:ascii="Times New Roman" w:hAnsi="Times New Roman" w:cs="Times New Roman"/>
          <w:sz w:val="24"/>
          <w:szCs w:val="24"/>
        </w:rPr>
        <w:t>czuga z</w:t>
      </w:r>
      <w:r w:rsidR="00D06187">
        <w:rPr>
          <w:rFonts w:ascii="Times New Roman" w:hAnsi="Times New Roman" w:cs="Times New Roman"/>
          <w:sz w:val="24"/>
          <w:szCs w:val="24"/>
        </w:rPr>
        <w:t>ałożono następujące cele do 2021</w:t>
      </w:r>
      <w:r w:rsidR="00C5778E" w:rsidRPr="00BE6FA1">
        <w:rPr>
          <w:rFonts w:ascii="Times New Roman" w:hAnsi="Times New Roman" w:cs="Times New Roman"/>
          <w:sz w:val="24"/>
          <w:szCs w:val="24"/>
        </w:rPr>
        <w:t xml:space="preserve"> roku:</w:t>
      </w:r>
    </w:p>
    <w:p w:rsidR="009871E6" w:rsidRPr="00BE6FA1" w:rsidRDefault="009871E6" w:rsidP="009871E6">
      <w:pPr>
        <w:spacing w:after="0" w:line="360" w:lineRule="auto"/>
        <w:jc w:val="both"/>
        <w:rPr>
          <w:rFonts w:ascii="Times New Roman" w:hAnsi="Times New Roman" w:cs="Times New Roman"/>
          <w:sz w:val="24"/>
          <w:szCs w:val="24"/>
        </w:rPr>
      </w:pPr>
    </w:p>
    <w:p w:rsidR="009871E6" w:rsidRPr="00BE6FA1" w:rsidRDefault="009871E6" w:rsidP="009A7AFF">
      <w:pPr>
        <w:pStyle w:val="Akapitzlist"/>
        <w:numPr>
          <w:ilvl w:val="0"/>
          <w:numId w:val="63"/>
        </w:numPr>
        <w:spacing w:line="360" w:lineRule="auto"/>
        <w:jc w:val="both"/>
        <w:rPr>
          <w:rFonts w:ascii="Times New Roman" w:eastAsia="Times New Roman" w:hAnsi="Times New Roman" w:cs="Times New Roman"/>
          <w:sz w:val="24"/>
          <w:szCs w:val="24"/>
        </w:rPr>
      </w:pPr>
      <w:r w:rsidRPr="00BE6FA1">
        <w:rPr>
          <w:rFonts w:ascii="Times New Roman" w:hAnsi="Times New Roman" w:cs="Times New Roman"/>
          <w:sz w:val="24"/>
          <w:szCs w:val="24"/>
        </w:rPr>
        <w:t>redukcję emisji gazów cieplarnianych o ok. 474,4 Mg CO</w:t>
      </w:r>
      <w:r w:rsidRPr="00BE6FA1">
        <w:rPr>
          <w:rFonts w:ascii="Times New Roman" w:hAnsi="Times New Roman" w:cs="Times New Roman"/>
          <w:sz w:val="24"/>
          <w:szCs w:val="24"/>
          <w:vertAlign w:val="subscript"/>
        </w:rPr>
        <w:t>2</w:t>
      </w:r>
      <w:r w:rsidR="00C5778E" w:rsidRPr="00BE6FA1">
        <w:rPr>
          <w:rFonts w:ascii="Times New Roman" w:hAnsi="Times New Roman" w:cs="Times New Roman"/>
          <w:sz w:val="24"/>
          <w:szCs w:val="24"/>
          <w:vertAlign w:val="subscript"/>
        </w:rPr>
        <w:t xml:space="preserve">, </w:t>
      </w:r>
      <w:r w:rsidR="00973AC3" w:rsidRPr="00BE6FA1">
        <w:rPr>
          <w:rFonts w:ascii="Times New Roman" w:eastAsia="Times New Roman" w:hAnsi="Times New Roman" w:cs="Times New Roman"/>
          <w:sz w:val="24"/>
          <w:szCs w:val="24"/>
        </w:rPr>
        <w:t>tj. 0,76</w:t>
      </w:r>
      <w:r w:rsidR="00C5778E" w:rsidRPr="00BE6FA1">
        <w:rPr>
          <w:rFonts w:ascii="Times New Roman" w:eastAsia="Times New Roman" w:hAnsi="Times New Roman" w:cs="Times New Roman"/>
          <w:sz w:val="24"/>
          <w:szCs w:val="24"/>
        </w:rPr>
        <w:t xml:space="preserve"> %</w:t>
      </w:r>
    </w:p>
    <w:p w:rsidR="009871E6" w:rsidRPr="00BE6FA1" w:rsidRDefault="009871E6" w:rsidP="009A7AFF">
      <w:pPr>
        <w:pStyle w:val="Akapitzlist"/>
        <w:numPr>
          <w:ilvl w:val="0"/>
          <w:numId w:val="62"/>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zwiększenie udziału zużycia odnawi</w:t>
      </w:r>
      <w:r w:rsidR="001C61A8" w:rsidRPr="00BE6FA1">
        <w:rPr>
          <w:rFonts w:ascii="Times New Roman" w:hAnsi="Times New Roman" w:cs="Times New Roman"/>
          <w:sz w:val="24"/>
          <w:szCs w:val="24"/>
        </w:rPr>
        <w:t xml:space="preserve">alnych źródeł energii o ok. </w:t>
      </w:r>
      <w:r w:rsidR="00B309BD">
        <w:rPr>
          <w:rFonts w:ascii="Times New Roman" w:hAnsi="Times New Roman" w:cs="Times New Roman"/>
          <w:sz w:val="24"/>
          <w:szCs w:val="24"/>
        </w:rPr>
        <w:t>51,3</w:t>
      </w:r>
      <w:r w:rsidR="001C61A8" w:rsidRPr="00BE6FA1">
        <w:rPr>
          <w:rFonts w:ascii="Times New Roman" w:hAnsi="Times New Roman" w:cs="Times New Roman"/>
          <w:sz w:val="24"/>
          <w:szCs w:val="24"/>
        </w:rPr>
        <w:t xml:space="preserve"> </w:t>
      </w:r>
      <w:r w:rsidRPr="00BE6FA1">
        <w:rPr>
          <w:rFonts w:ascii="Times New Roman" w:hAnsi="Times New Roman" w:cs="Times New Roman"/>
          <w:sz w:val="24"/>
          <w:szCs w:val="24"/>
        </w:rPr>
        <w:t>GJ</w:t>
      </w:r>
      <w:r w:rsidR="007175AC" w:rsidRPr="00BE6FA1">
        <w:rPr>
          <w:rFonts w:ascii="Times New Roman" w:hAnsi="Times New Roman" w:cs="Times New Roman"/>
          <w:sz w:val="24"/>
          <w:szCs w:val="24"/>
        </w:rPr>
        <w:t xml:space="preserve">, tj </w:t>
      </w:r>
      <w:r w:rsidR="00B309BD">
        <w:rPr>
          <w:rFonts w:ascii="Times New Roman" w:hAnsi="Times New Roman" w:cs="Times New Roman"/>
          <w:sz w:val="24"/>
          <w:szCs w:val="24"/>
        </w:rPr>
        <w:t>5,39</w:t>
      </w:r>
      <w:r w:rsidR="00C5778E" w:rsidRPr="00BE6FA1">
        <w:rPr>
          <w:rFonts w:ascii="Times New Roman" w:hAnsi="Times New Roman" w:cs="Times New Roman"/>
          <w:sz w:val="24"/>
          <w:szCs w:val="24"/>
        </w:rPr>
        <w:t xml:space="preserve"> %</w:t>
      </w:r>
    </w:p>
    <w:p w:rsidR="003A27DA" w:rsidRPr="00BE6FA1" w:rsidRDefault="009871E6" w:rsidP="009A7AFF">
      <w:pPr>
        <w:pStyle w:val="Akapitzlist"/>
        <w:numPr>
          <w:ilvl w:val="0"/>
          <w:numId w:val="62"/>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redukcję zużycia energii pierwotnej o ok. </w:t>
      </w:r>
      <w:r w:rsidRPr="00BE6FA1">
        <w:rPr>
          <w:rFonts w:ascii="Times New Roman" w:eastAsia="Times New Roman" w:hAnsi="Times New Roman" w:cs="Times New Roman"/>
          <w:sz w:val="24"/>
          <w:szCs w:val="24"/>
        </w:rPr>
        <w:t>3 307,46 GJ</w:t>
      </w:r>
      <w:r w:rsidR="00196D66" w:rsidRPr="00BE6FA1">
        <w:rPr>
          <w:rFonts w:ascii="Times New Roman" w:eastAsia="Times New Roman" w:hAnsi="Times New Roman" w:cs="Times New Roman"/>
          <w:sz w:val="24"/>
          <w:szCs w:val="24"/>
        </w:rPr>
        <w:t>, tj. 0,37</w:t>
      </w:r>
      <w:r w:rsidR="00C5778E" w:rsidRPr="00BE6FA1">
        <w:rPr>
          <w:rFonts w:ascii="Times New Roman" w:eastAsia="Times New Roman" w:hAnsi="Times New Roman" w:cs="Times New Roman"/>
          <w:sz w:val="24"/>
          <w:szCs w:val="24"/>
        </w:rPr>
        <w:t xml:space="preserve"> %</w:t>
      </w:r>
    </w:p>
    <w:p w:rsidR="00AD12FC" w:rsidRPr="00BE6FA1" w:rsidRDefault="00AD12FC" w:rsidP="00AD12FC">
      <w:pPr>
        <w:spacing w:after="0" w:line="360" w:lineRule="auto"/>
        <w:jc w:val="both"/>
        <w:rPr>
          <w:rFonts w:ascii="Times New Roman" w:hAnsi="Times New Roman" w:cs="Times New Roman"/>
          <w:sz w:val="24"/>
          <w:szCs w:val="24"/>
        </w:rPr>
      </w:pPr>
    </w:p>
    <w:p w:rsidR="004C0092" w:rsidRPr="00BE6FA1" w:rsidRDefault="004C0092" w:rsidP="003A27DA">
      <w:pPr>
        <w:pStyle w:val="Nagwek1"/>
        <w:spacing w:line="360" w:lineRule="auto"/>
        <w:rPr>
          <w:rFonts w:ascii="Times New Roman" w:hAnsi="Times New Roman" w:cs="Times New Roman"/>
          <w:color w:val="auto"/>
        </w:rPr>
      </w:pPr>
      <w:bookmarkStart w:id="1" w:name="_Toc449097708"/>
      <w:r w:rsidRPr="00BE6FA1">
        <w:rPr>
          <w:rFonts w:ascii="Times New Roman" w:hAnsi="Times New Roman" w:cs="Times New Roman"/>
          <w:color w:val="auto"/>
        </w:rPr>
        <w:t>Wstęp</w:t>
      </w:r>
      <w:bookmarkEnd w:id="1"/>
    </w:p>
    <w:p w:rsidR="00401F45" w:rsidRPr="00BE6FA1" w:rsidRDefault="004C0092" w:rsidP="003A27DA">
      <w:pPr>
        <w:pStyle w:val="Nagwek2"/>
        <w:spacing w:line="360" w:lineRule="auto"/>
        <w:rPr>
          <w:rFonts w:ascii="Times New Roman" w:hAnsi="Times New Roman" w:cs="Times New Roman"/>
          <w:color w:val="auto"/>
        </w:rPr>
      </w:pPr>
      <w:bookmarkStart w:id="2" w:name="_Toc449097709"/>
      <w:r w:rsidRPr="00BE6FA1">
        <w:rPr>
          <w:rFonts w:ascii="Times New Roman" w:hAnsi="Times New Roman" w:cs="Times New Roman"/>
          <w:color w:val="auto"/>
        </w:rPr>
        <w:t>Cel opracowania i podstawy formalne</w:t>
      </w:r>
      <w:bookmarkEnd w:id="2"/>
    </w:p>
    <w:p w:rsidR="00ED79F8" w:rsidRPr="00BE6FA1" w:rsidRDefault="00ED79F8" w:rsidP="003A27DA">
      <w:pPr>
        <w:spacing w:line="360" w:lineRule="auto"/>
        <w:rPr>
          <w:rFonts w:ascii="Times New Roman" w:hAnsi="Times New Roman" w:cs="Times New Roman"/>
        </w:rPr>
      </w:pPr>
    </w:p>
    <w:p w:rsidR="00401F45" w:rsidRPr="00BE6FA1" w:rsidRDefault="00401F45"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Plan gospodarki niskoemisyjnej jest elementem realizacji założeń do Narodowego Programu Rozwoju Gospodarki Niskoemisyjnej (NPRGN). </w:t>
      </w:r>
    </w:p>
    <w:p w:rsidR="00401F45" w:rsidRPr="00BE6FA1" w:rsidRDefault="00401F45"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Celem głównym NPRGN jest </w:t>
      </w:r>
      <w:r w:rsidRPr="00BE6FA1">
        <w:rPr>
          <w:rFonts w:ascii="Times New Roman" w:hAnsi="Times New Roman" w:cs="Times New Roman"/>
          <w:bCs/>
          <w:sz w:val="24"/>
        </w:rPr>
        <w:t>rozwój gospodarki niskoemisyjnej przy zapewnieniu zrównoważonego rozwoju kraju</w:t>
      </w:r>
      <w:r w:rsidRPr="00BE6FA1">
        <w:rPr>
          <w:rFonts w:ascii="Times New Roman" w:hAnsi="Times New Roman" w:cs="Times New Roman"/>
          <w:sz w:val="24"/>
        </w:rPr>
        <w:t>.</w:t>
      </w:r>
    </w:p>
    <w:p w:rsidR="00401F45" w:rsidRPr="00BE6FA1" w:rsidRDefault="00401F45" w:rsidP="003A27DA">
      <w:pPr>
        <w:spacing w:line="360" w:lineRule="auto"/>
        <w:jc w:val="both"/>
        <w:rPr>
          <w:rFonts w:ascii="Times New Roman" w:hAnsi="Times New Roman" w:cs="Times New Roman"/>
          <w:sz w:val="24"/>
        </w:rPr>
      </w:pPr>
      <w:r w:rsidRPr="00BE6FA1">
        <w:rPr>
          <w:rFonts w:ascii="Times New Roman" w:hAnsi="Times New Roman" w:cs="Times New Roman"/>
          <w:sz w:val="24"/>
        </w:rPr>
        <w:t>Celami szczegółowymi NPRGN są:</w:t>
      </w:r>
    </w:p>
    <w:p w:rsidR="00401F45" w:rsidRPr="00BE6FA1" w:rsidRDefault="00401F45" w:rsidP="003A27DA">
      <w:pPr>
        <w:pStyle w:val="Akapitzlist"/>
        <w:numPr>
          <w:ilvl w:val="0"/>
          <w:numId w:val="4"/>
        </w:numPr>
        <w:spacing w:line="360" w:lineRule="auto"/>
        <w:jc w:val="both"/>
        <w:rPr>
          <w:rFonts w:ascii="Times New Roman" w:hAnsi="Times New Roman" w:cs="Times New Roman"/>
          <w:sz w:val="24"/>
        </w:rPr>
      </w:pPr>
      <w:r w:rsidRPr="00BE6FA1">
        <w:rPr>
          <w:rFonts w:ascii="Times New Roman" w:hAnsi="Times New Roman" w:cs="Times New Roman"/>
          <w:sz w:val="24"/>
        </w:rPr>
        <w:t>niskoemisyjne wytwarzanie energii;</w:t>
      </w:r>
    </w:p>
    <w:p w:rsidR="00401F45" w:rsidRPr="00BE6FA1" w:rsidRDefault="00401F45" w:rsidP="003A27DA">
      <w:pPr>
        <w:pStyle w:val="Akapitzlist"/>
        <w:numPr>
          <w:ilvl w:val="0"/>
          <w:numId w:val="4"/>
        </w:numPr>
        <w:spacing w:line="360" w:lineRule="auto"/>
        <w:jc w:val="both"/>
        <w:rPr>
          <w:rFonts w:ascii="Times New Roman" w:hAnsi="Times New Roman" w:cs="Times New Roman"/>
          <w:sz w:val="24"/>
        </w:rPr>
      </w:pPr>
      <w:r w:rsidRPr="00BE6FA1">
        <w:rPr>
          <w:rFonts w:ascii="Times New Roman" w:hAnsi="Times New Roman" w:cs="Times New Roman"/>
          <w:sz w:val="24"/>
        </w:rPr>
        <w:t>poprawa efektywności gospodarowania surowcami i materiałami, w tym odpadami;</w:t>
      </w:r>
    </w:p>
    <w:p w:rsidR="00401F45" w:rsidRPr="00BE6FA1" w:rsidRDefault="00401F45" w:rsidP="003A27DA">
      <w:pPr>
        <w:pStyle w:val="Akapitzlist"/>
        <w:numPr>
          <w:ilvl w:val="0"/>
          <w:numId w:val="4"/>
        </w:numPr>
        <w:spacing w:line="360" w:lineRule="auto"/>
        <w:jc w:val="both"/>
        <w:rPr>
          <w:rFonts w:ascii="Times New Roman" w:hAnsi="Times New Roman" w:cs="Times New Roman"/>
          <w:sz w:val="24"/>
        </w:rPr>
      </w:pPr>
      <w:r w:rsidRPr="00BE6FA1">
        <w:rPr>
          <w:rFonts w:ascii="Times New Roman" w:hAnsi="Times New Roman" w:cs="Times New Roman"/>
          <w:sz w:val="24"/>
        </w:rPr>
        <w:t>rozwój zrównoważonej produkcji - ob</w:t>
      </w:r>
      <w:r w:rsidR="003A27DA" w:rsidRPr="00BE6FA1">
        <w:rPr>
          <w:rFonts w:ascii="Times New Roman" w:hAnsi="Times New Roman" w:cs="Times New Roman"/>
          <w:sz w:val="24"/>
        </w:rPr>
        <w:t xml:space="preserve">ejmujący przemysł, budownictwo </w:t>
      </w:r>
      <w:r w:rsidR="003A27DA" w:rsidRPr="00BE6FA1">
        <w:rPr>
          <w:rFonts w:ascii="Times New Roman" w:hAnsi="Times New Roman" w:cs="Times New Roman"/>
          <w:sz w:val="24"/>
        </w:rPr>
        <w:br/>
      </w:r>
      <w:r w:rsidRPr="00BE6FA1">
        <w:rPr>
          <w:rFonts w:ascii="Times New Roman" w:hAnsi="Times New Roman" w:cs="Times New Roman"/>
          <w:sz w:val="24"/>
        </w:rPr>
        <w:t>i rolnictwo;</w:t>
      </w:r>
    </w:p>
    <w:p w:rsidR="00401F45" w:rsidRPr="00BE6FA1" w:rsidRDefault="00401F45" w:rsidP="003A27DA">
      <w:pPr>
        <w:pStyle w:val="Akapitzlist"/>
        <w:numPr>
          <w:ilvl w:val="0"/>
          <w:numId w:val="4"/>
        </w:numPr>
        <w:spacing w:line="360" w:lineRule="auto"/>
        <w:jc w:val="both"/>
        <w:rPr>
          <w:rFonts w:ascii="Times New Roman" w:hAnsi="Times New Roman" w:cs="Times New Roman"/>
          <w:sz w:val="24"/>
        </w:rPr>
      </w:pPr>
      <w:r w:rsidRPr="00BE6FA1">
        <w:rPr>
          <w:rFonts w:ascii="Times New Roman" w:hAnsi="Times New Roman" w:cs="Times New Roman"/>
          <w:sz w:val="24"/>
        </w:rPr>
        <w:t>transformacja niskoemisyjna w dystrybucji i mobilności;</w:t>
      </w:r>
    </w:p>
    <w:p w:rsidR="00401F45" w:rsidRPr="00BE6FA1" w:rsidRDefault="00401F45" w:rsidP="003A27DA">
      <w:pPr>
        <w:pStyle w:val="Akapitzlist"/>
        <w:numPr>
          <w:ilvl w:val="0"/>
          <w:numId w:val="4"/>
        </w:numPr>
        <w:spacing w:line="360" w:lineRule="auto"/>
        <w:jc w:val="both"/>
        <w:rPr>
          <w:rFonts w:ascii="Times New Roman" w:hAnsi="Times New Roman" w:cs="Times New Roman"/>
          <w:sz w:val="24"/>
        </w:rPr>
      </w:pPr>
      <w:r w:rsidRPr="00BE6FA1">
        <w:rPr>
          <w:rFonts w:ascii="Times New Roman" w:hAnsi="Times New Roman" w:cs="Times New Roman"/>
          <w:sz w:val="24"/>
        </w:rPr>
        <w:t>promocja wzorców zrównoważonej konsumpcji.</w:t>
      </w:r>
    </w:p>
    <w:p w:rsidR="00401F45" w:rsidRPr="00BE6FA1" w:rsidRDefault="00401F45"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Plan Gospodarki Niskoemisyjnej to dokument strategiczny, który ma </w:t>
      </w:r>
      <w:r w:rsidRPr="00BE6FA1">
        <w:rPr>
          <w:rFonts w:ascii="Times New Roman" w:hAnsi="Times New Roman" w:cs="Times New Roman"/>
          <w:bCs/>
          <w:sz w:val="24"/>
        </w:rPr>
        <w:t xml:space="preserve">przyczynić się do osiągnięcia celów określonych w pakiecie klimatyczno-energetycznym do roku 2020, </w:t>
      </w:r>
      <w:r w:rsidR="00C5778E" w:rsidRPr="00BE6FA1">
        <w:rPr>
          <w:rFonts w:ascii="Times New Roman" w:hAnsi="Times New Roman" w:cs="Times New Roman"/>
          <w:bCs/>
          <w:sz w:val="24"/>
        </w:rPr>
        <w:br/>
      </w:r>
      <w:r w:rsidRPr="00BE6FA1">
        <w:rPr>
          <w:rFonts w:ascii="Times New Roman" w:hAnsi="Times New Roman" w:cs="Times New Roman"/>
          <w:bCs/>
          <w:sz w:val="24"/>
        </w:rPr>
        <w:t>tj.</w:t>
      </w:r>
      <w:r w:rsidRPr="00BE6FA1">
        <w:rPr>
          <w:rFonts w:ascii="Times New Roman" w:hAnsi="Times New Roman" w:cs="Times New Roman"/>
          <w:sz w:val="24"/>
        </w:rPr>
        <w:t xml:space="preserve"> redukcji emisji gazów cieplarnianych, zwiększenia udziału energii pochodzącej z źródeł odnawialnych, redukcji zużycia energii finalnej, co ma zostać zrealizowane poprzez podniesienie efektywności energetycznej, a także do poprawy jakości powietrza na obszarach, na których odnotowano przekroczenia jakości poziomów dopu</w:t>
      </w:r>
      <w:r w:rsidR="000D713D">
        <w:rPr>
          <w:rFonts w:ascii="Times New Roman" w:hAnsi="Times New Roman" w:cs="Times New Roman"/>
          <w:sz w:val="24"/>
        </w:rPr>
        <w:t>szczalnych stężeń w powietrzu i </w:t>
      </w:r>
      <w:r w:rsidRPr="00BE6FA1">
        <w:rPr>
          <w:rFonts w:ascii="Times New Roman" w:hAnsi="Times New Roman" w:cs="Times New Roman"/>
          <w:sz w:val="24"/>
        </w:rPr>
        <w:t>realizowane są programy (naprawcze) ochrony powietrza (POP) oraz plany działań krótkoterminowych (PDK).</w:t>
      </w:r>
    </w:p>
    <w:p w:rsidR="00401F45" w:rsidRPr="00BE6FA1" w:rsidRDefault="00401F45"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Realizacja wyżej wymienionych celów wymagać będzie podjęcia szeregu działań sprzyjających ograniczeniu emisji gazów cieplarnianych i zanieczyszczeń, ale również tych które wpływają na redukcję w sposób pośredni sprzyjając zmniejszeniu zużyciu paliw </w:t>
      </w:r>
      <w:r w:rsidR="003A27DA" w:rsidRPr="00BE6FA1">
        <w:rPr>
          <w:rFonts w:ascii="Times New Roman" w:hAnsi="Times New Roman" w:cs="Times New Roman"/>
          <w:sz w:val="24"/>
        </w:rPr>
        <w:br/>
      </w:r>
      <w:r w:rsidRPr="00BE6FA1">
        <w:rPr>
          <w:rFonts w:ascii="Times New Roman" w:hAnsi="Times New Roman" w:cs="Times New Roman"/>
          <w:sz w:val="24"/>
        </w:rPr>
        <w:t xml:space="preserve">i energii. </w:t>
      </w:r>
    </w:p>
    <w:p w:rsidR="004C0092" w:rsidRPr="00BE6FA1" w:rsidRDefault="00401F45"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Dodatkowymi korzyściami wynikającymi ze sporządzenia Planu Gospodarki Niskoemisyjnej są oszczędności dla budżetu gminy wynikające z optymalizacji zużycia energii, ułatwienie i zwiększenie szans w ubieganiu się o dotacje na inwestycje </w:t>
      </w:r>
      <w:r w:rsidRPr="00BE6FA1">
        <w:rPr>
          <w:rFonts w:ascii="Times New Roman" w:hAnsi="Times New Roman" w:cs="Times New Roman"/>
          <w:sz w:val="24"/>
        </w:rPr>
        <w:br/>
        <w:t xml:space="preserve">w ramach Programu Operacyjnego Infrastruktura i Środowisko w perspektywie finansowej 2014-2020, pozytywny efekt wizerunkowy, jako gminy odpowiedzialnej, realizującej prośrodowiskową i rozwojową politykę z myślą o lokalnej społeczności </w:t>
      </w:r>
      <w:r w:rsidRPr="00BE6FA1">
        <w:rPr>
          <w:rFonts w:ascii="Times New Roman" w:hAnsi="Times New Roman" w:cs="Times New Roman"/>
          <w:sz w:val="24"/>
        </w:rPr>
        <w:br/>
        <w:t>w długoterminowej perspektywie.</w:t>
      </w:r>
    </w:p>
    <w:p w:rsidR="00ED79F8" w:rsidRPr="00BE6FA1" w:rsidRDefault="00ED79F8" w:rsidP="003A27DA">
      <w:pPr>
        <w:spacing w:line="360" w:lineRule="auto"/>
        <w:ind w:firstLine="708"/>
        <w:jc w:val="both"/>
        <w:rPr>
          <w:rFonts w:ascii="Times New Roman" w:hAnsi="Times New Roman" w:cs="Times New Roman"/>
          <w:sz w:val="24"/>
        </w:rPr>
      </w:pPr>
    </w:p>
    <w:p w:rsidR="004C0092" w:rsidRPr="00BE6FA1" w:rsidRDefault="004C0092" w:rsidP="00B90901">
      <w:pPr>
        <w:pStyle w:val="Nagwek2"/>
        <w:spacing w:after="120" w:line="360" w:lineRule="auto"/>
        <w:rPr>
          <w:rFonts w:ascii="Times New Roman" w:hAnsi="Times New Roman" w:cs="Times New Roman"/>
          <w:color w:val="auto"/>
        </w:rPr>
      </w:pPr>
      <w:bookmarkStart w:id="3" w:name="_Toc449097710"/>
      <w:r w:rsidRPr="00BE6FA1">
        <w:rPr>
          <w:rFonts w:ascii="Times New Roman" w:hAnsi="Times New Roman" w:cs="Times New Roman"/>
          <w:color w:val="auto"/>
        </w:rPr>
        <w:lastRenderedPageBreak/>
        <w:t>Zakres opracowania</w:t>
      </w:r>
      <w:bookmarkEnd w:id="3"/>
    </w:p>
    <w:p w:rsidR="00590781" w:rsidRPr="00BE6FA1" w:rsidRDefault="00590781"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Plan Gospodarki Niskoemisyjnej dla Miasta i Gminy Kańczuga został opracowany zgodnie ze „Szczegółowymi zaleceniami dotyczącymi struktury planu gospodarki niskoemisyjnej” udostępnionymi przez Narodowy Fundusz Ochrony Środowiska </w:t>
      </w:r>
      <w:r w:rsidRPr="00BE6FA1">
        <w:rPr>
          <w:rFonts w:ascii="Times New Roman" w:hAnsi="Times New Roman" w:cs="Times New Roman"/>
          <w:sz w:val="24"/>
        </w:rPr>
        <w:br/>
        <w:t xml:space="preserve">i Gospodarki Wodnej. Podczas opracowywania Planu uwzględniono również zalecenia zawarte w „Poradniku jak opracować plan działań na rzecz zrównoważonej energii (SEAP)”. </w:t>
      </w:r>
    </w:p>
    <w:p w:rsidR="00590781" w:rsidRPr="00BE6FA1" w:rsidRDefault="00590781"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Na podstawie wytycznych rekomendowana struktura Planu Gospodarki Niskoemisyjnej powinna wyglądać następująco: </w:t>
      </w:r>
    </w:p>
    <w:p w:rsidR="00590781" w:rsidRPr="00BE6FA1" w:rsidRDefault="00590781" w:rsidP="003A27DA">
      <w:pPr>
        <w:spacing w:line="360" w:lineRule="auto"/>
        <w:jc w:val="both"/>
        <w:rPr>
          <w:rFonts w:ascii="Times New Roman" w:hAnsi="Times New Roman" w:cs="Times New Roman"/>
          <w:sz w:val="24"/>
        </w:rPr>
      </w:pPr>
      <w:r w:rsidRPr="00BE6FA1">
        <w:rPr>
          <w:rFonts w:ascii="Times New Roman" w:hAnsi="Times New Roman" w:cs="Times New Roman"/>
          <w:sz w:val="24"/>
        </w:rPr>
        <w:t xml:space="preserve">1. Streszczenie </w:t>
      </w:r>
    </w:p>
    <w:p w:rsidR="00590781" w:rsidRPr="00BE6FA1" w:rsidRDefault="00590781" w:rsidP="003A27DA">
      <w:pPr>
        <w:spacing w:line="360" w:lineRule="auto"/>
        <w:jc w:val="both"/>
        <w:rPr>
          <w:rFonts w:ascii="Times New Roman" w:hAnsi="Times New Roman" w:cs="Times New Roman"/>
          <w:sz w:val="24"/>
        </w:rPr>
      </w:pPr>
      <w:r w:rsidRPr="00BE6FA1">
        <w:rPr>
          <w:rFonts w:ascii="Times New Roman" w:hAnsi="Times New Roman" w:cs="Times New Roman"/>
          <w:sz w:val="24"/>
        </w:rPr>
        <w:t xml:space="preserve">2. Ogólna strategia </w:t>
      </w:r>
    </w:p>
    <w:p w:rsidR="00590781"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Cele strategiczne i szczegółowe </w:t>
      </w:r>
    </w:p>
    <w:p w:rsidR="00590781"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Stan obecny </w:t>
      </w:r>
    </w:p>
    <w:p w:rsidR="00590781"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Identyfikacja obszarów problemowych </w:t>
      </w:r>
    </w:p>
    <w:p w:rsidR="00590781"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Aspekty organizacyjne i finansowe (struktury organizacyjne, zasoby ludzkie, zaangażowane strony, budżet, źródła finansowania inwestycji, środki finansowe na monitoring i ocenę) </w:t>
      </w:r>
    </w:p>
    <w:p w:rsidR="00590781" w:rsidRPr="00BE6FA1" w:rsidRDefault="00590781" w:rsidP="003A27DA">
      <w:pPr>
        <w:spacing w:line="360" w:lineRule="auto"/>
        <w:jc w:val="both"/>
        <w:rPr>
          <w:rFonts w:ascii="Times New Roman" w:hAnsi="Times New Roman" w:cs="Times New Roman"/>
          <w:sz w:val="24"/>
        </w:rPr>
      </w:pPr>
      <w:r w:rsidRPr="00BE6FA1">
        <w:rPr>
          <w:rFonts w:ascii="Times New Roman" w:hAnsi="Times New Roman" w:cs="Times New Roman"/>
          <w:sz w:val="24"/>
        </w:rPr>
        <w:t xml:space="preserve">3. Wyniki bazowej inwentaryzacji emisji dwutlenku węgla </w:t>
      </w:r>
    </w:p>
    <w:p w:rsidR="00590781" w:rsidRPr="00BE6FA1" w:rsidRDefault="00590781" w:rsidP="003A27DA">
      <w:pPr>
        <w:spacing w:line="360" w:lineRule="auto"/>
        <w:jc w:val="both"/>
        <w:rPr>
          <w:rFonts w:ascii="Times New Roman" w:hAnsi="Times New Roman" w:cs="Times New Roman"/>
          <w:sz w:val="24"/>
        </w:rPr>
      </w:pPr>
      <w:r w:rsidRPr="00BE6FA1">
        <w:rPr>
          <w:rFonts w:ascii="Times New Roman" w:hAnsi="Times New Roman" w:cs="Times New Roman"/>
          <w:sz w:val="24"/>
        </w:rPr>
        <w:t xml:space="preserve">4. Działania/zadania i środki zaplanowane na cały okres objęty planem </w:t>
      </w:r>
    </w:p>
    <w:p w:rsidR="00590781"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Długoterminowa strategia, cele i zobowiązania </w:t>
      </w:r>
    </w:p>
    <w:p w:rsidR="00DD03EE" w:rsidRPr="00BE6FA1" w:rsidRDefault="00590781" w:rsidP="003A27DA">
      <w:pPr>
        <w:pStyle w:val="Akapitzlist"/>
        <w:numPr>
          <w:ilvl w:val="0"/>
          <w:numId w:val="3"/>
        </w:numPr>
        <w:spacing w:line="360" w:lineRule="auto"/>
        <w:jc w:val="both"/>
        <w:rPr>
          <w:rFonts w:ascii="Times New Roman" w:hAnsi="Times New Roman" w:cs="Times New Roman"/>
          <w:sz w:val="24"/>
        </w:rPr>
      </w:pPr>
      <w:r w:rsidRPr="00BE6FA1">
        <w:rPr>
          <w:rFonts w:ascii="Times New Roman" w:hAnsi="Times New Roman" w:cs="Times New Roman"/>
          <w:sz w:val="24"/>
        </w:rPr>
        <w:t>Krótko/średnioterminowe działania/zadania (o</w:t>
      </w:r>
      <w:r w:rsidR="000D713D">
        <w:rPr>
          <w:rFonts w:ascii="Times New Roman" w:hAnsi="Times New Roman" w:cs="Times New Roman"/>
          <w:sz w:val="24"/>
        </w:rPr>
        <w:t>pis, podmioty odpowiedzialne za </w:t>
      </w:r>
      <w:r w:rsidRPr="00BE6FA1">
        <w:rPr>
          <w:rFonts w:ascii="Times New Roman" w:hAnsi="Times New Roman" w:cs="Times New Roman"/>
          <w:sz w:val="24"/>
        </w:rPr>
        <w:t>realizację, harmonogram, koszty, wskaźniki).</w:t>
      </w:r>
    </w:p>
    <w:p w:rsidR="00B90901" w:rsidRPr="00BE6FA1" w:rsidRDefault="00B90901" w:rsidP="00B90901">
      <w:pPr>
        <w:pStyle w:val="Akapitzlist"/>
        <w:spacing w:line="360" w:lineRule="auto"/>
        <w:ind w:left="1065"/>
        <w:jc w:val="both"/>
        <w:rPr>
          <w:rFonts w:ascii="Times New Roman" w:hAnsi="Times New Roman" w:cs="Times New Roman"/>
          <w:sz w:val="24"/>
        </w:rPr>
      </w:pPr>
    </w:p>
    <w:p w:rsidR="004C0092" w:rsidRPr="00BE6FA1" w:rsidRDefault="004C0092" w:rsidP="00B90901">
      <w:pPr>
        <w:pStyle w:val="Nagwek2"/>
        <w:spacing w:after="120" w:line="360" w:lineRule="auto"/>
        <w:jc w:val="both"/>
        <w:rPr>
          <w:rFonts w:ascii="Times New Roman" w:hAnsi="Times New Roman" w:cs="Times New Roman"/>
          <w:color w:val="auto"/>
        </w:rPr>
      </w:pPr>
      <w:bookmarkStart w:id="4" w:name="_Toc449097711"/>
      <w:r w:rsidRPr="00BE6FA1">
        <w:rPr>
          <w:rFonts w:ascii="Times New Roman" w:hAnsi="Times New Roman" w:cs="Times New Roman"/>
          <w:color w:val="auto"/>
        </w:rPr>
        <w:t>Przepisy prawa i dokumenty strategiczne</w:t>
      </w:r>
      <w:bookmarkEnd w:id="4"/>
    </w:p>
    <w:p w:rsidR="00590781" w:rsidRPr="00BE6FA1" w:rsidRDefault="00590781"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Poniżej przedstawiono najważniejsze przepisy prawa</w:t>
      </w:r>
      <w:r w:rsidR="000D713D">
        <w:rPr>
          <w:rFonts w:ascii="Times New Roman" w:hAnsi="Times New Roman" w:cs="Times New Roman"/>
          <w:sz w:val="24"/>
        </w:rPr>
        <w:t xml:space="preserve"> oraz dokumenty strategiczne na </w:t>
      </w:r>
      <w:r w:rsidRPr="00BE6FA1">
        <w:rPr>
          <w:rFonts w:ascii="Times New Roman" w:hAnsi="Times New Roman" w:cs="Times New Roman"/>
          <w:sz w:val="24"/>
        </w:rPr>
        <w:t xml:space="preserve">poziomie międzynarodowym, krajowym i regionalnym, których zapisy przeanalizowano </w:t>
      </w:r>
      <w:r w:rsidR="00A2587B" w:rsidRPr="00BE6FA1">
        <w:rPr>
          <w:rFonts w:ascii="Times New Roman" w:hAnsi="Times New Roman" w:cs="Times New Roman"/>
          <w:sz w:val="24"/>
        </w:rPr>
        <w:br/>
      </w:r>
      <w:r w:rsidRPr="00BE6FA1">
        <w:rPr>
          <w:rFonts w:ascii="Times New Roman" w:hAnsi="Times New Roman" w:cs="Times New Roman"/>
          <w:sz w:val="24"/>
        </w:rPr>
        <w:t xml:space="preserve">z punktu widzenia realizacji niniejszego Planu Gospodarki Niskoemisyjnej dla Miasta </w:t>
      </w:r>
      <w:r w:rsidR="00A2587B" w:rsidRPr="00BE6FA1">
        <w:rPr>
          <w:rFonts w:ascii="Times New Roman" w:hAnsi="Times New Roman" w:cs="Times New Roman"/>
          <w:sz w:val="24"/>
        </w:rPr>
        <w:br/>
      </w:r>
      <w:r w:rsidRPr="00BE6FA1">
        <w:rPr>
          <w:rFonts w:ascii="Times New Roman" w:hAnsi="Times New Roman" w:cs="Times New Roman"/>
          <w:sz w:val="24"/>
        </w:rPr>
        <w:t>i Gminy Kańczuga, dla zapewnienia spójności w zakresie formułowanych celów strategicznych, szczegółowych, jak również działań przyczyniających się do ich osiągnięcia.</w:t>
      </w:r>
    </w:p>
    <w:p w:rsidR="003A27DA" w:rsidRPr="00BE6FA1" w:rsidRDefault="003A27DA" w:rsidP="003A27DA">
      <w:pPr>
        <w:spacing w:line="360" w:lineRule="auto"/>
        <w:ind w:firstLine="720"/>
        <w:jc w:val="both"/>
        <w:rPr>
          <w:rFonts w:ascii="Times New Roman" w:hAnsi="Times New Roman" w:cs="Times New Roman"/>
          <w:sz w:val="24"/>
        </w:rPr>
      </w:pPr>
    </w:p>
    <w:p w:rsidR="00590781" w:rsidRPr="00BE6FA1" w:rsidRDefault="00590781" w:rsidP="003A27DA">
      <w:pPr>
        <w:spacing w:line="360" w:lineRule="auto"/>
        <w:jc w:val="both"/>
        <w:rPr>
          <w:rFonts w:ascii="Times New Roman" w:hAnsi="Times New Roman" w:cs="Times New Roman"/>
          <w:b/>
          <w:sz w:val="24"/>
        </w:rPr>
      </w:pPr>
      <w:r w:rsidRPr="00BE6FA1">
        <w:rPr>
          <w:rFonts w:ascii="Times New Roman" w:hAnsi="Times New Roman" w:cs="Times New Roman"/>
          <w:b/>
          <w:sz w:val="24"/>
        </w:rPr>
        <w:lastRenderedPageBreak/>
        <w:t>Przepisy prawa:</w:t>
      </w:r>
    </w:p>
    <w:p w:rsidR="00590781" w:rsidRPr="00BE6FA1" w:rsidRDefault="00590781" w:rsidP="003A27DA">
      <w:pPr>
        <w:spacing w:line="360" w:lineRule="auto"/>
        <w:jc w:val="both"/>
        <w:rPr>
          <w:rFonts w:ascii="Times New Roman" w:hAnsi="Times New Roman" w:cs="Times New Roman"/>
          <w:b/>
          <w:sz w:val="24"/>
        </w:rPr>
      </w:pPr>
      <w:r w:rsidRPr="00BE6FA1">
        <w:rPr>
          <w:rFonts w:ascii="Times New Roman" w:hAnsi="Times New Roman" w:cs="Times New Roman"/>
          <w:b/>
          <w:sz w:val="24"/>
        </w:rPr>
        <w:t>Unii Europejskiej:</w:t>
      </w:r>
    </w:p>
    <w:p w:rsidR="00590781" w:rsidRPr="00BE6FA1" w:rsidRDefault="00590781" w:rsidP="003A27DA">
      <w:pPr>
        <w:pStyle w:val="Akapitzlist"/>
        <w:numPr>
          <w:ilvl w:val="0"/>
          <w:numId w:val="8"/>
        </w:numPr>
        <w:autoSpaceDE w:val="0"/>
        <w:autoSpaceDN w:val="0"/>
        <w:adjustRightInd w:val="0"/>
        <w:spacing w:after="171"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Dyrektywa Parlamentu Europejskiego i Rady 2012/27/UE z dnia 25 października 2012 r. w sprawie efektywności energetycznej (Dziennik Urzędowy UE L315/1 14 listopada 2012 r.), </w:t>
      </w:r>
    </w:p>
    <w:p w:rsidR="00590781" w:rsidRPr="00BE6FA1" w:rsidRDefault="00590781" w:rsidP="003A27DA">
      <w:pPr>
        <w:pStyle w:val="Akapitzlist"/>
        <w:numPr>
          <w:ilvl w:val="0"/>
          <w:numId w:val="8"/>
        </w:numPr>
        <w:autoSpaceDE w:val="0"/>
        <w:autoSpaceDN w:val="0"/>
        <w:adjustRightInd w:val="0"/>
        <w:spacing w:after="171" w:line="360" w:lineRule="auto"/>
        <w:jc w:val="both"/>
        <w:rPr>
          <w:rFonts w:ascii="Times New Roman" w:hAnsi="Times New Roman" w:cs="Times New Roman"/>
          <w:sz w:val="24"/>
          <w:szCs w:val="24"/>
        </w:rPr>
      </w:pPr>
      <w:r w:rsidRPr="00BE6FA1">
        <w:rPr>
          <w:rFonts w:ascii="Times New Roman" w:hAnsi="Times New Roman" w:cs="Times New Roman"/>
          <w:sz w:val="24"/>
          <w:szCs w:val="24"/>
        </w:rPr>
        <w:t>Dyrektywa Parlamentu Europejskiego i Rady 2009/28/WE z dnia 23 kwietnia 2009 r. w sprawie promowania stosowania energii ze źródeł odnawialn</w:t>
      </w:r>
      <w:r w:rsidR="003A27DA" w:rsidRPr="00BE6FA1">
        <w:rPr>
          <w:rFonts w:ascii="Times New Roman" w:hAnsi="Times New Roman" w:cs="Times New Roman"/>
          <w:sz w:val="24"/>
          <w:szCs w:val="24"/>
        </w:rPr>
        <w:t xml:space="preserve">ych (Dz. U. UE L </w:t>
      </w:r>
      <w:r w:rsidRPr="00BE6FA1">
        <w:rPr>
          <w:rFonts w:ascii="Times New Roman" w:hAnsi="Times New Roman" w:cs="Times New Roman"/>
          <w:sz w:val="24"/>
          <w:szCs w:val="24"/>
        </w:rPr>
        <w:t xml:space="preserve">09.140.16), </w:t>
      </w:r>
    </w:p>
    <w:p w:rsidR="00590781" w:rsidRPr="00BE6FA1" w:rsidRDefault="00590781" w:rsidP="003A27D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Decyzja Parlamentu Europejskiego i Rady Nr 2009</w:t>
      </w:r>
      <w:r w:rsidR="00B90901" w:rsidRPr="00BE6FA1">
        <w:rPr>
          <w:rFonts w:ascii="Times New Roman" w:hAnsi="Times New Roman" w:cs="Times New Roman"/>
          <w:sz w:val="24"/>
          <w:szCs w:val="24"/>
        </w:rPr>
        <w:t>/406/WE z dnia 23 kwietnia 2009</w:t>
      </w:r>
      <w:r w:rsidRPr="00BE6FA1">
        <w:rPr>
          <w:rFonts w:ascii="Times New Roman" w:hAnsi="Times New Roman" w:cs="Times New Roman"/>
          <w:sz w:val="24"/>
          <w:szCs w:val="24"/>
        </w:rPr>
        <w:t>r. w sprawie wysiłków podjętych przez państwa członkowskie, zmierzają</w:t>
      </w:r>
      <w:r w:rsidR="000D713D">
        <w:rPr>
          <w:rFonts w:ascii="Times New Roman" w:hAnsi="Times New Roman" w:cs="Times New Roman"/>
          <w:sz w:val="24"/>
          <w:szCs w:val="24"/>
        </w:rPr>
        <w:t>cych do </w:t>
      </w:r>
      <w:r w:rsidRPr="00BE6FA1">
        <w:rPr>
          <w:rFonts w:ascii="Times New Roman" w:hAnsi="Times New Roman" w:cs="Times New Roman"/>
          <w:sz w:val="24"/>
          <w:szCs w:val="24"/>
        </w:rPr>
        <w:t xml:space="preserve">zmniejszenia emisji gazów cieplarnianych w celu realizacji do roku 2020 zobowiązań Wspólnoty dotyczących redukcji emisji gazów cieplarnianych. </w:t>
      </w:r>
    </w:p>
    <w:p w:rsidR="00590781" w:rsidRPr="00BE6FA1" w:rsidRDefault="00590781" w:rsidP="00B50BA0">
      <w:pPr>
        <w:spacing w:before="240" w:line="360" w:lineRule="auto"/>
        <w:jc w:val="both"/>
        <w:rPr>
          <w:rFonts w:ascii="Times New Roman" w:hAnsi="Times New Roman" w:cs="Times New Roman"/>
          <w:b/>
          <w:sz w:val="24"/>
        </w:rPr>
      </w:pPr>
      <w:r w:rsidRPr="00BE6FA1">
        <w:rPr>
          <w:rFonts w:ascii="Times New Roman" w:hAnsi="Times New Roman" w:cs="Times New Roman"/>
          <w:b/>
          <w:sz w:val="24"/>
        </w:rPr>
        <w:t>Krajowe:</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27  kwietnia  2001  r.  Prawo  ochrony  środowiska  (Dz.U.  </w:t>
      </w:r>
      <w:r w:rsidRPr="00BE6FA1">
        <w:rPr>
          <w:rFonts w:ascii="Times New Roman" w:hAnsi="Times New Roman" w:cs="Times New Roman"/>
          <w:sz w:val="24"/>
        </w:rPr>
        <w:br/>
        <w:t>z  2013  r.,  poz.1232 z późn. zm.),</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3  października  2008  r.  o  udostępnieniu  informacji  </w:t>
      </w:r>
      <w:r w:rsidRPr="00BE6FA1">
        <w:rPr>
          <w:rFonts w:ascii="Times New Roman" w:hAnsi="Times New Roman" w:cs="Times New Roman"/>
          <w:sz w:val="24"/>
        </w:rPr>
        <w:br/>
        <w:t xml:space="preserve">o  środowisku i jego ochronie, udziale społeczeństwa w ochronie środowiska oraz </w:t>
      </w:r>
      <w:r w:rsidR="003A27DA" w:rsidRPr="00BE6FA1">
        <w:rPr>
          <w:rFonts w:ascii="Times New Roman" w:hAnsi="Times New Roman" w:cs="Times New Roman"/>
          <w:sz w:val="24"/>
        </w:rPr>
        <w:br/>
      </w:r>
      <w:r w:rsidRPr="00BE6FA1">
        <w:rPr>
          <w:rFonts w:ascii="Times New Roman" w:hAnsi="Times New Roman" w:cs="Times New Roman"/>
          <w:sz w:val="24"/>
        </w:rPr>
        <w:t>o ocenach oddziaływania na środowisko (Dz. U. z 2013 r., poz. 1235 z późn. zm.),</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27  marca  2003  r.  o  planowaniu  i  zagospodarowaniu  </w:t>
      </w:r>
      <w:r w:rsidRPr="00BE6FA1">
        <w:rPr>
          <w:rFonts w:ascii="Times New Roman" w:hAnsi="Times New Roman" w:cs="Times New Roman"/>
          <w:sz w:val="24"/>
          <w:szCs w:val="24"/>
        </w:rPr>
        <w:t xml:space="preserve">przestrzennym   </w:t>
      </w:r>
      <w:r w:rsidR="00A80452" w:rsidRPr="00BE6FA1">
        <w:rPr>
          <w:rFonts w:ascii="Times New Roman" w:hAnsi="Times New Roman" w:cs="Times New Roman"/>
          <w:sz w:val="24"/>
          <w:szCs w:val="24"/>
        </w:rPr>
        <w:t>Dz. U. z 2015 r. poz. 199, 443, 774, 1265, 1434, 1713, 1777, 1830, 1890</w:t>
      </w:r>
      <w:r w:rsidR="00A80452" w:rsidRPr="00BE6FA1">
        <w:rPr>
          <w:rFonts w:ascii="Times New Roman" w:hAnsi="Times New Roman" w:cs="Times New Roman"/>
        </w:rPr>
        <w:t>.)</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Ustawa  z  dnia  10  kwietnia  1997  -  Prawo  energetyczne  (Dz.U.  2012,  poz.  1059, z  późn.  zm.)  oraz  rozporządzeniami  do  Ustawy  aktualnymi  na  dzień  podpisania  umowy i podczas jej trwania,</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Ustawa z dnia 7 lipca 1994 r. Prawo budowlane (Dz. U. z 2013 r. poz. 1409 z późn. zm.),</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15  kwietnia  2011  r.  o  efektywności  energetycznej  (Dz.U.  </w:t>
      </w:r>
      <w:r w:rsidRPr="00BE6FA1">
        <w:rPr>
          <w:rFonts w:ascii="Times New Roman" w:hAnsi="Times New Roman" w:cs="Times New Roman"/>
          <w:sz w:val="24"/>
        </w:rPr>
        <w:br/>
        <w:t>z  2011  r. Nr 94, poz. 551 z późn. zm.),</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21  listopada  2008  r.  o  wspieraniu  termomodernizacji  </w:t>
      </w:r>
      <w:r w:rsidRPr="00BE6FA1">
        <w:rPr>
          <w:rFonts w:ascii="Times New Roman" w:hAnsi="Times New Roman" w:cs="Times New Roman"/>
          <w:sz w:val="24"/>
        </w:rPr>
        <w:br/>
        <w:t>i  remontów (Dz. U. z 2008 r., Nr 223 poz. 1459 z późn. zm.),</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Ustawa z dnia 14 września 2012 r. o obowiązkach w zakresie informowania </w:t>
      </w:r>
      <w:r w:rsidRPr="00BE6FA1">
        <w:rPr>
          <w:rFonts w:ascii="Times New Roman" w:hAnsi="Times New Roman" w:cs="Times New Roman"/>
          <w:sz w:val="24"/>
        </w:rPr>
        <w:br/>
        <w:t>o zużyciu energii przez produkty wykorzystujące energię (Dz. U. z 2012 r. poz. 1203),</w:t>
      </w:r>
    </w:p>
    <w:p w:rsidR="00590781" w:rsidRPr="00BE6FA1" w:rsidRDefault="00590781" w:rsidP="003A27DA">
      <w:pPr>
        <w:pStyle w:val="Akapitzlist"/>
        <w:numPr>
          <w:ilvl w:val="0"/>
          <w:numId w:val="5"/>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Ustawa  z  dnia  8  marca  1990r.  o  samorządzie  gminnym  </w:t>
      </w:r>
      <w:r w:rsidR="00A80452" w:rsidRPr="00BE6FA1">
        <w:rPr>
          <w:rFonts w:ascii="Times New Roman" w:hAnsi="Times New Roman" w:cs="Times New Roman"/>
          <w:sz w:val="24"/>
          <w:szCs w:val="24"/>
        </w:rPr>
        <w:t>(Dz. U. z 2015 r. poz. 1515, 1890.)</w:t>
      </w:r>
    </w:p>
    <w:p w:rsidR="00590781" w:rsidRPr="00BE6FA1" w:rsidRDefault="00590781" w:rsidP="003A27DA">
      <w:pPr>
        <w:pStyle w:val="Akapitzlist"/>
        <w:numPr>
          <w:ilvl w:val="0"/>
          <w:numId w:val="5"/>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Ustawa z dnia 5 czerwca 1998 r. o samor</w:t>
      </w:r>
      <w:r w:rsidR="00DD03EE" w:rsidRPr="00BE6FA1">
        <w:rPr>
          <w:rFonts w:ascii="Times New Roman" w:hAnsi="Times New Roman" w:cs="Times New Roman"/>
          <w:sz w:val="24"/>
          <w:szCs w:val="24"/>
        </w:rPr>
        <w:t>ządzie powiatowym (Dz.U. z 2013</w:t>
      </w:r>
      <w:r w:rsidRPr="00BE6FA1">
        <w:rPr>
          <w:rFonts w:ascii="Times New Roman" w:hAnsi="Times New Roman" w:cs="Times New Roman"/>
          <w:sz w:val="24"/>
          <w:szCs w:val="24"/>
        </w:rPr>
        <w:t>r. poz.595 z późn. zm.).</w:t>
      </w:r>
    </w:p>
    <w:p w:rsidR="00590781" w:rsidRPr="00BE6FA1" w:rsidRDefault="00590781" w:rsidP="003A27DA">
      <w:pPr>
        <w:pStyle w:val="Akapitzlist"/>
        <w:spacing w:line="360" w:lineRule="auto"/>
        <w:jc w:val="both"/>
        <w:rPr>
          <w:rFonts w:ascii="Times New Roman" w:hAnsi="Times New Roman" w:cs="Times New Roman"/>
          <w:sz w:val="24"/>
          <w:szCs w:val="24"/>
        </w:rPr>
      </w:pPr>
    </w:p>
    <w:p w:rsidR="00590781" w:rsidRPr="00BE6FA1" w:rsidRDefault="00590781" w:rsidP="003A27DA">
      <w:pPr>
        <w:spacing w:line="360" w:lineRule="auto"/>
        <w:jc w:val="both"/>
        <w:rPr>
          <w:rFonts w:ascii="Times New Roman" w:hAnsi="Times New Roman" w:cs="Times New Roman"/>
          <w:b/>
          <w:sz w:val="24"/>
          <w:szCs w:val="24"/>
        </w:rPr>
      </w:pPr>
      <w:r w:rsidRPr="00BE6FA1">
        <w:rPr>
          <w:rFonts w:ascii="Times New Roman" w:hAnsi="Times New Roman" w:cs="Times New Roman"/>
          <w:b/>
          <w:sz w:val="24"/>
          <w:szCs w:val="24"/>
        </w:rPr>
        <w:t>Dokumenty strategiczne:</w:t>
      </w:r>
    </w:p>
    <w:p w:rsidR="00590781" w:rsidRPr="00BE6FA1" w:rsidRDefault="00590781" w:rsidP="003A27DA">
      <w:pPr>
        <w:autoSpaceDE w:val="0"/>
        <w:autoSpaceDN w:val="0"/>
        <w:adjustRightInd w:val="0"/>
        <w:spacing w:after="0" w:line="360" w:lineRule="auto"/>
        <w:jc w:val="both"/>
        <w:rPr>
          <w:rFonts w:ascii="Times New Roman" w:hAnsi="Times New Roman" w:cs="Times New Roman"/>
          <w:b/>
          <w:sz w:val="24"/>
          <w:szCs w:val="24"/>
        </w:rPr>
      </w:pPr>
      <w:r w:rsidRPr="00BE6FA1">
        <w:rPr>
          <w:rFonts w:ascii="Times New Roman" w:hAnsi="Times New Roman" w:cs="Times New Roman"/>
          <w:b/>
          <w:sz w:val="24"/>
          <w:szCs w:val="24"/>
        </w:rPr>
        <w:t xml:space="preserve">Międzynarodowe: </w:t>
      </w:r>
    </w:p>
    <w:p w:rsidR="00590781" w:rsidRPr="00BE6FA1" w:rsidRDefault="00590781" w:rsidP="003A27DA">
      <w:pPr>
        <w:pStyle w:val="Akapitzlist"/>
        <w:numPr>
          <w:ilvl w:val="0"/>
          <w:numId w:val="7"/>
        </w:numPr>
        <w:autoSpaceDE w:val="0"/>
        <w:autoSpaceDN w:val="0"/>
        <w:adjustRightInd w:val="0"/>
        <w:spacing w:after="283"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Protokół z Kioto do Ramowej Konwencji Narodów Zjednoczonych w sprawie zmian klimatu, </w:t>
      </w:r>
    </w:p>
    <w:p w:rsidR="00590781" w:rsidRPr="00BE6FA1" w:rsidRDefault="00590781" w:rsidP="003A27DA">
      <w:pPr>
        <w:pStyle w:val="Akapitzlist"/>
        <w:numPr>
          <w:ilvl w:val="0"/>
          <w:numId w:val="7"/>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Dokument końcowy Konferencji </w:t>
      </w:r>
      <w:r w:rsidR="00DC28E6" w:rsidRPr="00BE6FA1">
        <w:rPr>
          <w:rFonts w:ascii="Times New Roman" w:hAnsi="Times New Roman" w:cs="Times New Roman"/>
          <w:sz w:val="24"/>
          <w:szCs w:val="24"/>
        </w:rPr>
        <w:t xml:space="preserve">Narodów Zjednoczonych w sprawie </w:t>
      </w:r>
      <w:r w:rsidRPr="00BE6FA1">
        <w:rPr>
          <w:rFonts w:ascii="Times New Roman" w:hAnsi="Times New Roman" w:cs="Times New Roman"/>
          <w:sz w:val="24"/>
          <w:szCs w:val="24"/>
        </w:rPr>
        <w:t>zrównoważonego rozwoju Rio+20,</w:t>
      </w:r>
    </w:p>
    <w:p w:rsidR="00590781" w:rsidRPr="00BE6FA1" w:rsidRDefault="00590781" w:rsidP="003A27DA">
      <w:pPr>
        <w:pStyle w:val="Akapitzlist"/>
        <w:numPr>
          <w:ilvl w:val="0"/>
          <w:numId w:val="7"/>
        </w:numPr>
        <w:autoSpaceDE w:val="0"/>
        <w:autoSpaceDN w:val="0"/>
        <w:adjustRightInd w:val="0"/>
        <w:spacing w:after="283"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Ramowa Konwencja Narodów Zjednoczonych w sprawie zmian klimatu, </w:t>
      </w:r>
    </w:p>
    <w:p w:rsidR="00590781" w:rsidRPr="00BE6FA1" w:rsidRDefault="00590781" w:rsidP="003A27DA">
      <w:pPr>
        <w:pStyle w:val="Akapitzlist"/>
        <w:numPr>
          <w:ilvl w:val="0"/>
          <w:numId w:val="7"/>
        </w:numPr>
        <w:autoSpaceDE w:val="0"/>
        <w:autoSpaceDN w:val="0"/>
        <w:adjustRightInd w:val="0"/>
        <w:spacing w:after="283"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Konwencja o różnorodności biologicznej, </w:t>
      </w:r>
    </w:p>
    <w:p w:rsidR="00590781" w:rsidRPr="00BE6FA1" w:rsidRDefault="00590781" w:rsidP="003A27DA">
      <w:pPr>
        <w:pStyle w:val="Akapitzlist"/>
        <w:numPr>
          <w:ilvl w:val="0"/>
          <w:numId w:val="7"/>
        </w:numPr>
        <w:autoSpaceDE w:val="0"/>
        <w:autoSpaceDN w:val="0"/>
        <w:adjustRightInd w:val="0"/>
        <w:spacing w:after="283"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Europejska Konwencja Krajobrazowa, </w:t>
      </w:r>
    </w:p>
    <w:p w:rsidR="00590781" w:rsidRPr="00BE6FA1" w:rsidRDefault="00590781" w:rsidP="003A27DA">
      <w:pPr>
        <w:pStyle w:val="Akapitzlist"/>
        <w:numPr>
          <w:ilvl w:val="0"/>
          <w:numId w:val="7"/>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Konwencja w sprawie transgranicznego zanieczyszczania powietrza na dalekie odległości z jej protokółami dodatkowymi. </w:t>
      </w:r>
    </w:p>
    <w:p w:rsidR="00590781" w:rsidRPr="00BE6FA1" w:rsidRDefault="00590781" w:rsidP="003A27DA">
      <w:pPr>
        <w:spacing w:before="120" w:after="120" w:line="360" w:lineRule="auto"/>
        <w:jc w:val="both"/>
        <w:rPr>
          <w:rFonts w:ascii="Times New Roman" w:hAnsi="Times New Roman" w:cs="Times New Roman"/>
          <w:b/>
          <w:sz w:val="24"/>
        </w:rPr>
      </w:pPr>
      <w:r w:rsidRPr="00BE6FA1">
        <w:rPr>
          <w:rFonts w:ascii="Times New Roman" w:hAnsi="Times New Roman" w:cs="Times New Roman"/>
          <w:b/>
          <w:sz w:val="24"/>
        </w:rPr>
        <w:t>Krajowe:</w:t>
      </w:r>
    </w:p>
    <w:p w:rsidR="00590781" w:rsidRPr="00BE6FA1" w:rsidRDefault="00590781" w:rsidP="003A27DA">
      <w:pPr>
        <w:pStyle w:val="Akapitzlist"/>
        <w:numPr>
          <w:ilvl w:val="0"/>
          <w:numId w:val="9"/>
        </w:numPr>
        <w:autoSpaceDE w:val="0"/>
        <w:autoSpaceDN w:val="0"/>
        <w:adjustRightInd w:val="0"/>
        <w:spacing w:after="12"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Długookresowa Strategia Rozwoju Kraju, Polska 2030, Trzecia fala nowoczesności (MAiC styczeń 2013 r.), </w:t>
      </w:r>
    </w:p>
    <w:p w:rsidR="00590781" w:rsidRPr="00BE6FA1" w:rsidRDefault="00590781" w:rsidP="003A27DA">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Koncepcja Przestrzennego Zagospodarowania Kraju 2030, </w:t>
      </w:r>
    </w:p>
    <w:p w:rsidR="00590781" w:rsidRPr="00BE6FA1" w:rsidRDefault="00590781" w:rsidP="003A27DA">
      <w:pPr>
        <w:pStyle w:val="Akapitzlist"/>
        <w:numPr>
          <w:ilvl w:val="0"/>
          <w:numId w:val="9"/>
        </w:numPr>
        <w:autoSpaceDE w:val="0"/>
        <w:autoSpaceDN w:val="0"/>
        <w:adjustRightInd w:val="0"/>
        <w:spacing w:after="3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Strategia Bezpieczeństwo Energetyczne i Środowisko, perspektywa do 2020r. (BEiŚ), Warszawa 2014r., </w:t>
      </w:r>
    </w:p>
    <w:p w:rsidR="00590781" w:rsidRPr="00BE6FA1" w:rsidRDefault="00590781" w:rsidP="003A27DA">
      <w:pPr>
        <w:pStyle w:val="Akapitzlist"/>
        <w:numPr>
          <w:ilvl w:val="0"/>
          <w:numId w:val="9"/>
        </w:numPr>
        <w:autoSpaceDE w:val="0"/>
        <w:autoSpaceDN w:val="0"/>
        <w:adjustRightInd w:val="0"/>
        <w:spacing w:after="3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Polityka Energetyczną Polski do 2030 r. Ministerstwo Gospodarki, listopad 2009r., </w:t>
      </w:r>
    </w:p>
    <w:p w:rsidR="00590781" w:rsidRPr="00BE6FA1" w:rsidRDefault="00590781" w:rsidP="003A27DA">
      <w:pPr>
        <w:pStyle w:val="Akapitzlist"/>
        <w:numPr>
          <w:ilvl w:val="0"/>
          <w:numId w:val="9"/>
        </w:numPr>
        <w:autoSpaceDE w:val="0"/>
        <w:autoSpaceDN w:val="0"/>
        <w:adjustRightInd w:val="0"/>
        <w:spacing w:after="3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Założenia Narodowego Programu Rozwoju Gospodarki Niskoemisyjnej, </w:t>
      </w:r>
    </w:p>
    <w:p w:rsidR="00590781" w:rsidRPr="00BE6FA1" w:rsidRDefault="00590781" w:rsidP="003A27DA">
      <w:pPr>
        <w:pStyle w:val="Akapitzlist"/>
        <w:numPr>
          <w:ilvl w:val="0"/>
          <w:numId w:val="9"/>
        </w:numPr>
        <w:autoSpaceDE w:val="0"/>
        <w:autoSpaceDN w:val="0"/>
        <w:adjustRightInd w:val="0"/>
        <w:spacing w:after="3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Krajowy Plan Działań w zakresie energii ze źródeł odnawialnych, </w:t>
      </w:r>
    </w:p>
    <w:p w:rsidR="00590781" w:rsidRPr="00BE6FA1" w:rsidRDefault="00590781" w:rsidP="003A27DA">
      <w:pPr>
        <w:pStyle w:val="Akapitzlist"/>
        <w:numPr>
          <w:ilvl w:val="0"/>
          <w:numId w:val="9"/>
        </w:numPr>
        <w:autoSpaceDE w:val="0"/>
        <w:autoSpaceDN w:val="0"/>
        <w:adjustRightInd w:val="0"/>
        <w:spacing w:after="3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Krajowy Plan Działań dotyczący efektywności energetycznej, </w:t>
      </w:r>
    </w:p>
    <w:p w:rsidR="00590781" w:rsidRPr="00BE6FA1" w:rsidRDefault="00590781" w:rsidP="003A27DA">
      <w:pPr>
        <w:pStyle w:val="Akapitzlist"/>
        <w:numPr>
          <w:ilvl w:val="0"/>
          <w:numId w:val="9"/>
        </w:numPr>
        <w:autoSpaceDE w:val="0"/>
        <w:autoSpaceDN w:val="0"/>
        <w:adjustRightInd w:val="0"/>
        <w:spacing w:after="169"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Załącznik nr 9 do Regulaminu Konkursu nr 2/POIiŚ/9.3/2013 „Szczegółowe zalecenia dotyczące struktury planu gospodarki niskoemisyjnej”, Narodowy Fundusz Ochrony Środowiska i Gospodarki Wodnej, </w:t>
      </w:r>
    </w:p>
    <w:p w:rsidR="00590781" w:rsidRPr="00BE6FA1" w:rsidRDefault="00590781" w:rsidP="003A27DA">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„Jak opracować Plan działań na rzecz zrównoważonej energii (SEAP)”, 2010, Urząd Publikacji Unii Europejskiej, Luksemburg, </w:t>
      </w:r>
    </w:p>
    <w:p w:rsidR="00590781" w:rsidRPr="00BE6FA1" w:rsidRDefault="00590781" w:rsidP="003A27DA">
      <w:pPr>
        <w:spacing w:before="120" w:after="120" w:line="360" w:lineRule="auto"/>
        <w:jc w:val="both"/>
        <w:rPr>
          <w:rFonts w:ascii="Times New Roman" w:hAnsi="Times New Roman" w:cs="Times New Roman"/>
          <w:b/>
          <w:sz w:val="24"/>
        </w:rPr>
      </w:pPr>
      <w:r w:rsidRPr="00BE6FA1">
        <w:rPr>
          <w:rFonts w:ascii="Times New Roman" w:hAnsi="Times New Roman" w:cs="Times New Roman"/>
          <w:b/>
          <w:sz w:val="24"/>
        </w:rPr>
        <w:lastRenderedPageBreak/>
        <w:t>Wojewódzkie:</w:t>
      </w:r>
    </w:p>
    <w:p w:rsidR="00590781" w:rsidRPr="00BE6FA1" w:rsidRDefault="00590781" w:rsidP="003A27DA">
      <w:pPr>
        <w:pStyle w:val="Akapitzlist"/>
        <w:numPr>
          <w:ilvl w:val="0"/>
          <w:numId w:val="6"/>
        </w:numPr>
        <w:spacing w:line="360" w:lineRule="auto"/>
        <w:jc w:val="both"/>
        <w:rPr>
          <w:rFonts w:ascii="Times New Roman" w:hAnsi="Times New Roman" w:cs="Times New Roman"/>
          <w:sz w:val="24"/>
        </w:rPr>
      </w:pPr>
      <w:r w:rsidRPr="00BE6FA1">
        <w:rPr>
          <w:rFonts w:ascii="Times New Roman" w:hAnsi="Times New Roman" w:cs="Times New Roman"/>
          <w:sz w:val="24"/>
        </w:rPr>
        <w:t>Strategia Rozwoju Województwa</w:t>
      </w:r>
      <w:r w:rsidR="00007753" w:rsidRPr="00BE6FA1">
        <w:rPr>
          <w:rFonts w:ascii="Times New Roman" w:hAnsi="Times New Roman" w:cs="Times New Roman"/>
          <w:sz w:val="24"/>
        </w:rPr>
        <w:t xml:space="preserve"> – Podkarpackie 2020 (</w:t>
      </w:r>
      <w:r w:rsidRPr="00BE6FA1">
        <w:rPr>
          <w:rFonts w:ascii="Times New Roman" w:hAnsi="Times New Roman" w:cs="Times New Roman"/>
          <w:sz w:val="24"/>
        </w:rPr>
        <w:t>Uchwała Nr XXXVII/697/13 Sejmiku Województwa Podkarpackiego w Rzeszowie z dnia 26 sierpnia 2013 r</w:t>
      </w:r>
      <w:r w:rsidR="00007753" w:rsidRPr="00BE6FA1">
        <w:rPr>
          <w:rFonts w:ascii="Times New Roman" w:hAnsi="Times New Roman" w:cs="Times New Roman"/>
          <w:sz w:val="24"/>
        </w:rPr>
        <w:t>.</w:t>
      </w:r>
      <w:r w:rsidRPr="00BE6FA1">
        <w:rPr>
          <w:rFonts w:ascii="Times New Roman" w:hAnsi="Times New Roman" w:cs="Times New Roman"/>
          <w:sz w:val="24"/>
        </w:rPr>
        <w:t>),</w:t>
      </w:r>
    </w:p>
    <w:p w:rsidR="00590781" w:rsidRPr="00BE6FA1" w:rsidRDefault="00590781" w:rsidP="003A27DA">
      <w:pPr>
        <w:pStyle w:val="Akapitzlist"/>
        <w:numPr>
          <w:ilvl w:val="0"/>
          <w:numId w:val="6"/>
        </w:numPr>
        <w:spacing w:line="360" w:lineRule="auto"/>
        <w:jc w:val="both"/>
        <w:rPr>
          <w:rFonts w:ascii="Times New Roman" w:hAnsi="Times New Roman" w:cs="Times New Roman"/>
          <w:sz w:val="24"/>
        </w:rPr>
      </w:pPr>
      <w:r w:rsidRPr="00BE6FA1">
        <w:rPr>
          <w:rFonts w:ascii="Times New Roman" w:hAnsi="Times New Roman" w:cs="Times New Roman"/>
          <w:sz w:val="24"/>
        </w:rPr>
        <w:t xml:space="preserve">Program  ochrony  środowiska  województwa  podkarpackiego  na  lata  2012-2015 </w:t>
      </w:r>
      <w:r w:rsidR="00672216" w:rsidRPr="00BE6FA1">
        <w:rPr>
          <w:rFonts w:ascii="Times New Roman" w:hAnsi="Times New Roman" w:cs="Times New Roman"/>
          <w:sz w:val="24"/>
        </w:rPr>
        <w:br/>
      </w:r>
      <w:r w:rsidRPr="00BE6FA1">
        <w:rPr>
          <w:rFonts w:ascii="Times New Roman" w:hAnsi="Times New Roman" w:cs="Times New Roman"/>
          <w:sz w:val="24"/>
        </w:rPr>
        <w:t>z perspektywą do 2019 r. (Uchwała Nr XL/803/13 Sejmiku Województwa Podkarpackiego w Rzesz</w:t>
      </w:r>
      <w:r w:rsidR="00007753" w:rsidRPr="00BE6FA1">
        <w:rPr>
          <w:rFonts w:ascii="Times New Roman" w:hAnsi="Times New Roman" w:cs="Times New Roman"/>
          <w:sz w:val="24"/>
        </w:rPr>
        <w:t>owie z dnia 29 listopada 2013 r.</w:t>
      </w:r>
      <w:r w:rsidRPr="00BE6FA1">
        <w:rPr>
          <w:rFonts w:ascii="Times New Roman" w:hAnsi="Times New Roman" w:cs="Times New Roman"/>
          <w:sz w:val="24"/>
        </w:rPr>
        <w:t>),</w:t>
      </w:r>
    </w:p>
    <w:p w:rsidR="00590781" w:rsidRPr="00BE6FA1" w:rsidRDefault="00590781" w:rsidP="003A27DA">
      <w:pPr>
        <w:pStyle w:val="Akapitzlist"/>
        <w:numPr>
          <w:ilvl w:val="0"/>
          <w:numId w:val="6"/>
        </w:numPr>
        <w:spacing w:before="100" w:beforeAutospacing="1" w:after="198"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„Wojewódzki Program Rozwoju Odnawialnych Źródeł Energii dla Województwa Podkarpackiego”</w:t>
      </w:r>
    </w:p>
    <w:p w:rsidR="00590781" w:rsidRPr="00BE6FA1" w:rsidRDefault="00590781" w:rsidP="003A27DA">
      <w:pPr>
        <w:pStyle w:val="Akapitzlist"/>
        <w:numPr>
          <w:ilvl w:val="0"/>
          <w:numId w:val="6"/>
        </w:numPr>
        <w:spacing w:before="100" w:beforeAutospacing="1" w:after="198" w:line="360" w:lineRule="auto"/>
        <w:jc w:val="both"/>
        <w:rPr>
          <w:rFonts w:ascii="Times New Roman" w:eastAsia="Times New Roman" w:hAnsi="Times New Roman" w:cs="Times New Roman"/>
          <w:sz w:val="24"/>
          <w:szCs w:val="24"/>
        </w:rPr>
      </w:pPr>
      <w:r w:rsidRPr="00BE6FA1">
        <w:rPr>
          <w:rFonts w:ascii="Times New Roman" w:hAnsi="Times New Roman" w:cs="Times New Roman"/>
          <w:sz w:val="24"/>
          <w:szCs w:val="24"/>
        </w:rPr>
        <w:t>Program  ochrony  powietrza  dla  strefy  podkarpackiej (Uchwała  nr  XXXIII/608/13  Sejmiku Województwa Podkarpackiego z dnia 29 kwietnia 2013r. ).</w:t>
      </w:r>
    </w:p>
    <w:p w:rsidR="00590781" w:rsidRPr="00BE6FA1" w:rsidRDefault="00590781" w:rsidP="003A27DA">
      <w:pPr>
        <w:spacing w:after="120" w:line="360" w:lineRule="auto"/>
        <w:jc w:val="both"/>
        <w:rPr>
          <w:rFonts w:ascii="Times New Roman" w:hAnsi="Times New Roman" w:cs="Times New Roman"/>
          <w:b/>
          <w:sz w:val="24"/>
          <w:szCs w:val="24"/>
        </w:rPr>
      </w:pPr>
      <w:r w:rsidRPr="00BE6FA1">
        <w:rPr>
          <w:rFonts w:ascii="Times New Roman" w:hAnsi="Times New Roman" w:cs="Times New Roman"/>
          <w:b/>
          <w:sz w:val="24"/>
          <w:szCs w:val="24"/>
        </w:rPr>
        <w:t>Gminne:</w:t>
      </w:r>
    </w:p>
    <w:p w:rsidR="00063B84" w:rsidRPr="00BE6FA1" w:rsidRDefault="00292073" w:rsidP="003A27DA">
      <w:pPr>
        <w:pStyle w:val="Akapitzlist"/>
        <w:numPr>
          <w:ilvl w:val="0"/>
          <w:numId w:val="1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Strategia </w:t>
      </w:r>
      <w:r w:rsidR="00563D06" w:rsidRPr="00BE6FA1">
        <w:rPr>
          <w:rFonts w:ascii="Times New Roman" w:hAnsi="Times New Roman" w:cs="Times New Roman"/>
          <w:sz w:val="24"/>
          <w:szCs w:val="24"/>
        </w:rPr>
        <w:t>Rozwoju</w:t>
      </w:r>
      <w:r w:rsidR="00806262" w:rsidRPr="00BE6FA1">
        <w:rPr>
          <w:rFonts w:ascii="Times New Roman" w:hAnsi="Times New Roman" w:cs="Times New Roman"/>
          <w:sz w:val="24"/>
          <w:szCs w:val="24"/>
        </w:rPr>
        <w:t xml:space="preserve"> Miasta i Gminy Kańczuga na lata 2016-2022</w:t>
      </w:r>
    </w:p>
    <w:p w:rsidR="00063B84" w:rsidRPr="00BE6FA1" w:rsidRDefault="002742B0" w:rsidP="003A27DA">
      <w:pPr>
        <w:pStyle w:val="Akapitzlist"/>
        <w:numPr>
          <w:ilvl w:val="0"/>
          <w:numId w:val="1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Założenia do planu zaopatrzenia w ciepło, energię </w:t>
      </w:r>
      <w:r w:rsidR="000D713D">
        <w:rPr>
          <w:rFonts w:ascii="Times New Roman" w:hAnsi="Times New Roman" w:cs="Times New Roman"/>
          <w:sz w:val="24"/>
          <w:szCs w:val="24"/>
        </w:rPr>
        <w:t>elektryczną i paliwa gazowe dla </w:t>
      </w:r>
      <w:r w:rsidRPr="00BE6FA1">
        <w:rPr>
          <w:rFonts w:ascii="Times New Roman" w:hAnsi="Times New Roman" w:cs="Times New Roman"/>
          <w:sz w:val="24"/>
          <w:szCs w:val="24"/>
        </w:rPr>
        <w:t>Miasta i Gminy Kańczuga na lata 2015-2030</w:t>
      </w:r>
    </w:p>
    <w:p w:rsidR="000E0556" w:rsidRPr="00BE6FA1" w:rsidRDefault="000E0556" w:rsidP="0008057D">
      <w:pPr>
        <w:pStyle w:val="Akapitzlist"/>
        <w:spacing w:line="360" w:lineRule="auto"/>
        <w:ind w:left="1065"/>
        <w:jc w:val="both"/>
        <w:rPr>
          <w:rFonts w:ascii="Times New Roman" w:hAnsi="Times New Roman" w:cs="Times New Roman"/>
          <w:sz w:val="24"/>
          <w:szCs w:val="24"/>
        </w:rPr>
      </w:pPr>
    </w:p>
    <w:p w:rsidR="004C0092" w:rsidRPr="00BE6FA1" w:rsidRDefault="004C0092" w:rsidP="003A27DA">
      <w:pPr>
        <w:pStyle w:val="Nagwek2"/>
        <w:spacing w:line="360" w:lineRule="auto"/>
        <w:jc w:val="both"/>
        <w:rPr>
          <w:rFonts w:ascii="Times New Roman" w:hAnsi="Times New Roman" w:cs="Times New Roman"/>
          <w:color w:val="auto"/>
        </w:rPr>
      </w:pPr>
      <w:bookmarkStart w:id="5" w:name="_Toc449097712"/>
      <w:r w:rsidRPr="00BE6FA1">
        <w:rPr>
          <w:rFonts w:ascii="Times New Roman" w:hAnsi="Times New Roman" w:cs="Times New Roman"/>
          <w:color w:val="auto"/>
        </w:rPr>
        <w:t>Analiza regionalnych planów z punktu widzenia PGN</w:t>
      </w:r>
      <w:bookmarkEnd w:id="5"/>
    </w:p>
    <w:p w:rsidR="00500E5C" w:rsidRPr="00BE6FA1" w:rsidRDefault="00500E5C" w:rsidP="003A27DA">
      <w:pPr>
        <w:spacing w:line="360" w:lineRule="auto"/>
        <w:jc w:val="both"/>
        <w:rPr>
          <w:rFonts w:ascii="Times New Roman" w:hAnsi="Times New Roman" w:cs="Times New Roman"/>
        </w:rPr>
      </w:pPr>
    </w:p>
    <w:p w:rsidR="004C0092" w:rsidRPr="00BE6FA1" w:rsidRDefault="00500E5C" w:rsidP="003A27DA">
      <w:pPr>
        <w:spacing w:line="360" w:lineRule="auto"/>
        <w:jc w:val="both"/>
        <w:rPr>
          <w:rFonts w:ascii="Times New Roman" w:hAnsi="Times New Roman" w:cs="Times New Roman"/>
          <w:b/>
          <w:sz w:val="24"/>
          <w:szCs w:val="24"/>
        </w:rPr>
      </w:pPr>
      <w:r w:rsidRPr="00BE6FA1">
        <w:rPr>
          <w:rFonts w:ascii="Times New Roman" w:hAnsi="Times New Roman" w:cs="Times New Roman"/>
          <w:b/>
          <w:sz w:val="24"/>
          <w:szCs w:val="24"/>
        </w:rPr>
        <w:t>Strategia Rozwoju Mias</w:t>
      </w:r>
      <w:r w:rsidR="0008057D" w:rsidRPr="00BE6FA1">
        <w:rPr>
          <w:rFonts w:ascii="Times New Roman" w:hAnsi="Times New Roman" w:cs="Times New Roman"/>
          <w:b/>
          <w:sz w:val="24"/>
          <w:szCs w:val="24"/>
        </w:rPr>
        <w:t>ta i Gminy Kańczuga na lata 2016 – 2022</w:t>
      </w:r>
    </w:p>
    <w:p w:rsidR="003E1C5B" w:rsidRPr="00BE6FA1" w:rsidRDefault="003E1C5B" w:rsidP="0060313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Diagnoza analizy problemowej dla obszaru Miasta i Gminy Kańczuga umożliwiła wyznaczenie czterech głównych obszarów strategicznej interwencji, które w przyszłości wpłyną na rozwój gospodarczy, społeczny, ekologiczny i przestrzenny. </w:t>
      </w:r>
    </w:p>
    <w:p w:rsidR="000E0556" w:rsidRPr="00BE6FA1" w:rsidRDefault="0060313A" w:rsidP="00BB7417">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Wokół </w:t>
      </w:r>
      <w:r w:rsidR="003E1C5B" w:rsidRPr="00BE6FA1">
        <w:rPr>
          <w:rFonts w:ascii="Times New Roman" w:hAnsi="Times New Roman" w:cs="Times New Roman"/>
          <w:sz w:val="24"/>
          <w:szCs w:val="24"/>
        </w:rPr>
        <w:t>wskazanych obszarów strategicznych skoncentrowana zostanie wspólna działalność gminy Kańcz</w:t>
      </w:r>
      <w:r w:rsidRPr="00BE6FA1">
        <w:rPr>
          <w:rFonts w:ascii="Times New Roman" w:hAnsi="Times New Roman" w:cs="Times New Roman"/>
          <w:sz w:val="24"/>
          <w:szCs w:val="24"/>
        </w:rPr>
        <w:t xml:space="preserve">uga </w:t>
      </w:r>
      <w:r w:rsidR="003E1C5B" w:rsidRPr="00BE6FA1">
        <w:rPr>
          <w:rFonts w:ascii="Times New Roman" w:hAnsi="Times New Roman" w:cs="Times New Roman"/>
          <w:sz w:val="24"/>
          <w:szCs w:val="24"/>
        </w:rPr>
        <w:t>przy współpracy ze wszyst</w:t>
      </w:r>
      <w:r w:rsidR="00B053BC" w:rsidRPr="00BE6FA1">
        <w:rPr>
          <w:rFonts w:ascii="Times New Roman" w:hAnsi="Times New Roman" w:cs="Times New Roman"/>
          <w:sz w:val="24"/>
          <w:szCs w:val="24"/>
        </w:rPr>
        <w:t>kimi partnerami terytorialnymi.</w:t>
      </w:r>
      <w:r w:rsidR="00B053BC" w:rsidRPr="00BE6FA1">
        <w:rPr>
          <w:rFonts w:ascii="Times New Roman" w:hAnsi="Times New Roman" w:cs="Times New Roman"/>
          <w:sz w:val="24"/>
          <w:szCs w:val="24"/>
        </w:rPr>
        <w:br/>
      </w:r>
      <w:r w:rsidRPr="00BE6FA1">
        <w:rPr>
          <w:rFonts w:ascii="Times New Roman" w:hAnsi="Times New Roman" w:cs="Times New Roman"/>
          <w:sz w:val="24"/>
          <w:szCs w:val="24"/>
        </w:rPr>
        <w:t xml:space="preserve">W ramach wyznaczonych czterech </w:t>
      </w:r>
      <w:r w:rsidR="003E1C5B" w:rsidRPr="00BE6FA1">
        <w:rPr>
          <w:rFonts w:ascii="Times New Roman" w:hAnsi="Times New Roman" w:cs="Times New Roman"/>
          <w:sz w:val="24"/>
          <w:szCs w:val="24"/>
        </w:rPr>
        <w:t>obszarów strategicznych zostały sformułowane cele strategiczne</w:t>
      </w:r>
      <w:r w:rsidR="00B053BC" w:rsidRPr="00BE6FA1">
        <w:rPr>
          <w:rFonts w:ascii="Times New Roman" w:hAnsi="Times New Roman" w:cs="Times New Roman"/>
          <w:sz w:val="24"/>
          <w:szCs w:val="24"/>
        </w:rPr>
        <w:t>, cele operacyjne oraz zadania.</w:t>
      </w:r>
      <w:r w:rsidR="003E1C5B" w:rsidRPr="00BE6FA1">
        <w:rPr>
          <w:rFonts w:ascii="Times New Roman" w:hAnsi="Times New Roman" w:cs="Times New Roman"/>
          <w:sz w:val="24"/>
          <w:szCs w:val="24"/>
        </w:rPr>
        <w:t xml:space="preserve"> </w:t>
      </w:r>
      <w:r w:rsidR="00B053BC" w:rsidRPr="00BE6FA1">
        <w:rPr>
          <w:rFonts w:ascii="Times New Roman" w:hAnsi="Times New Roman" w:cs="Times New Roman"/>
          <w:sz w:val="24"/>
          <w:szCs w:val="24"/>
        </w:rPr>
        <w:t>Poniżej przedstawiono cele operacyjne i zadania, wynikające z celów strategicznych dotyczące gospodarki niskoemisyjnej.</w:t>
      </w:r>
    </w:p>
    <w:p w:rsidR="00EA3884" w:rsidRPr="00BE6FA1" w:rsidRDefault="00EA3884" w:rsidP="00BB7417">
      <w:pPr>
        <w:spacing w:line="360" w:lineRule="auto"/>
        <w:ind w:firstLine="708"/>
        <w:jc w:val="both"/>
        <w:rPr>
          <w:rFonts w:ascii="Times New Roman" w:hAnsi="Times New Roman" w:cs="Times New Roman"/>
          <w:sz w:val="24"/>
          <w:szCs w:val="24"/>
        </w:rPr>
      </w:pPr>
    </w:p>
    <w:p w:rsidR="003E1C5B" w:rsidRPr="00BE6FA1" w:rsidRDefault="003E1C5B" w:rsidP="006B691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Główne obszary strategiczne dla</w:t>
      </w:r>
      <w:r w:rsidR="00BF4843" w:rsidRPr="00BE6FA1">
        <w:rPr>
          <w:rFonts w:ascii="Times New Roman" w:hAnsi="Times New Roman" w:cs="Times New Roman"/>
          <w:sz w:val="24"/>
          <w:szCs w:val="24"/>
        </w:rPr>
        <w:t xml:space="preserve"> Miasta i</w:t>
      </w:r>
      <w:r w:rsidRPr="00BE6FA1">
        <w:rPr>
          <w:rFonts w:ascii="Times New Roman" w:hAnsi="Times New Roman" w:cs="Times New Roman"/>
          <w:sz w:val="24"/>
          <w:szCs w:val="24"/>
        </w:rPr>
        <w:t xml:space="preserve"> Gminy Kańczuga: </w:t>
      </w:r>
    </w:p>
    <w:p w:rsidR="003E1C5B" w:rsidRPr="00BE6FA1" w:rsidRDefault="0060313A" w:rsidP="006B691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Obszar</w:t>
      </w:r>
      <w:r w:rsidR="003E1C5B" w:rsidRPr="00BE6FA1">
        <w:rPr>
          <w:rFonts w:ascii="Times New Roman" w:hAnsi="Times New Roman" w:cs="Times New Roman"/>
          <w:sz w:val="24"/>
          <w:szCs w:val="24"/>
        </w:rPr>
        <w:t xml:space="preserve"> 1. G</w:t>
      </w:r>
      <w:r w:rsidRPr="00BE6FA1">
        <w:rPr>
          <w:rFonts w:ascii="Times New Roman" w:hAnsi="Times New Roman" w:cs="Times New Roman"/>
          <w:sz w:val="24"/>
          <w:szCs w:val="24"/>
        </w:rPr>
        <w:t>ospodarka i Rolnictwo</w:t>
      </w:r>
    </w:p>
    <w:p w:rsidR="003E1C5B" w:rsidRPr="00BE6FA1" w:rsidRDefault="0060313A" w:rsidP="006B691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Obszar</w:t>
      </w:r>
      <w:r w:rsidR="003E1C5B" w:rsidRPr="00BE6FA1">
        <w:rPr>
          <w:rFonts w:ascii="Times New Roman" w:hAnsi="Times New Roman" w:cs="Times New Roman"/>
          <w:sz w:val="24"/>
          <w:szCs w:val="24"/>
        </w:rPr>
        <w:t xml:space="preserve"> 2. </w:t>
      </w:r>
      <w:r w:rsidRPr="00BE6FA1">
        <w:rPr>
          <w:rFonts w:ascii="Times New Roman" w:hAnsi="Times New Roman" w:cs="Times New Roman"/>
          <w:sz w:val="24"/>
          <w:szCs w:val="24"/>
        </w:rPr>
        <w:t>Turystyka i Rekreacja</w:t>
      </w:r>
      <w:r w:rsidR="003E1C5B" w:rsidRPr="00BE6FA1">
        <w:rPr>
          <w:rFonts w:ascii="Times New Roman" w:hAnsi="Times New Roman" w:cs="Times New Roman"/>
          <w:sz w:val="24"/>
          <w:szCs w:val="24"/>
        </w:rPr>
        <w:t xml:space="preserve">  </w:t>
      </w:r>
    </w:p>
    <w:p w:rsidR="003E1C5B" w:rsidRPr="00BE6FA1" w:rsidRDefault="0060313A" w:rsidP="006B691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Obszar</w:t>
      </w:r>
      <w:r w:rsidR="003E1C5B" w:rsidRPr="00BE6FA1">
        <w:rPr>
          <w:rFonts w:ascii="Times New Roman" w:hAnsi="Times New Roman" w:cs="Times New Roman"/>
          <w:sz w:val="24"/>
          <w:szCs w:val="24"/>
        </w:rPr>
        <w:t xml:space="preserve"> 3. </w:t>
      </w:r>
      <w:r w:rsidRPr="00BE6FA1">
        <w:rPr>
          <w:rFonts w:ascii="Times New Roman" w:hAnsi="Times New Roman" w:cs="Times New Roman"/>
          <w:sz w:val="24"/>
          <w:szCs w:val="24"/>
        </w:rPr>
        <w:t>Infrastruktura techniczna</w:t>
      </w:r>
      <w:r w:rsidR="003E1C5B" w:rsidRPr="00BE6FA1">
        <w:rPr>
          <w:rFonts w:ascii="Times New Roman" w:hAnsi="Times New Roman" w:cs="Times New Roman"/>
          <w:sz w:val="24"/>
          <w:szCs w:val="24"/>
        </w:rPr>
        <w:t xml:space="preserve"> </w:t>
      </w:r>
    </w:p>
    <w:p w:rsidR="003A27DA" w:rsidRPr="00BE6FA1" w:rsidRDefault="0060313A" w:rsidP="00B053BC">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Obszar</w:t>
      </w:r>
      <w:r w:rsidR="003E1C5B" w:rsidRPr="00BE6FA1">
        <w:rPr>
          <w:rFonts w:ascii="Times New Roman" w:hAnsi="Times New Roman" w:cs="Times New Roman"/>
          <w:sz w:val="24"/>
          <w:szCs w:val="24"/>
        </w:rPr>
        <w:t xml:space="preserve"> 4. </w:t>
      </w:r>
      <w:r w:rsidRPr="00BE6FA1">
        <w:rPr>
          <w:rFonts w:ascii="Times New Roman" w:hAnsi="Times New Roman" w:cs="Times New Roman"/>
          <w:sz w:val="24"/>
          <w:szCs w:val="24"/>
        </w:rPr>
        <w:t>Kapitał społeczny</w:t>
      </w:r>
      <w:r w:rsidR="003E1C5B" w:rsidRPr="00BE6FA1">
        <w:rPr>
          <w:rFonts w:ascii="Times New Roman" w:hAnsi="Times New Roman" w:cs="Times New Roman"/>
          <w:sz w:val="24"/>
          <w:szCs w:val="24"/>
        </w:rPr>
        <w:t xml:space="preserve">  </w:t>
      </w:r>
    </w:p>
    <w:p w:rsidR="00B053BC" w:rsidRPr="00BE6FA1" w:rsidRDefault="00B053BC" w:rsidP="00B053BC">
      <w:pPr>
        <w:spacing w:after="0" w:line="360" w:lineRule="auto"/>
        <w:jc w:val="both"/>
        <w:rPr>
          <w:rFonts w:ascii="Times New Roman" w:hAnsi="Times New Roman" w:cs="Times New Roman"/>
          <w:sz w:val="24"/>
          <w:szCs w:val="24"/>
        </w:rPr>
      </w:pPr>
    </w:p>
    <w:p w:rsidR="00063B84" w:rsidRPr="00BE6FA1" w:rsidRDefault="0060313A" w:rsidP="00B053BC">
      <w:pPr>
        <w:spacing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Cele strategiczne:</w:t>
      </w:r>
    </w:p>
    <w:p w:rsidR="0060313A" w:rsidRPr="00BE6FA1" w:rsidRDefault="00714D42" w:rsidP="009A7AFF">
      <w:pPr>
        <w:pStyle w:val="Akapitzlist"/>
        <w:numPr>
          <w:ilvl w:val="0"/>
          <w:numId w:val="71"/>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Tworzenie warunków dla wielofunkcyjnego rozwoju gospodarki i rolnictwa Miasta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t>i Gminy Kańczuga</w:t>
      </w:r>
    </w:p>
    <w:p w:rsidR="0060313A" w:rsidRPr="00BE6FA1" w:rsidRDefault="00714D42" w:rsidP="009A7AFF">
      <w:pPr>
        <w:pStyle w:val="Akapitzlist"/>
        <w:numPr>
          <w:ilvl w:val="0"/>
          <w:numId w:val="71"/>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Wzrost konkurencyjności  Miasta i Gminy Kańczuga w oparciu o lokalne dziedzictwo kulturowe i potencjał przyrodniczo-turystyczny</w:t>
      </w:r>
    </w:p>
    <w:p w:rsidR="0060313A" w:rsidRPr="00BE6FA1" w:rsidRDefault="00714D42" w:rsidP="009A7AFF">
      <w:pPr>
        <w:pStyle w:val="Akapitzlist"/>
        <w:numPr>
          <w:ilvl w:val="0"/>
          <w:numId w:val="71"/>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Poprawa jakości życia mieszkańców Miasta i Gminy Kańczuga  poprzez inwestycje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t>w infrastrukturę techniczną</w:t>
      </w:r>
    </w:p>
    <w:p w:rsidR="00BB7417" w:rsidRPr="00BE6FA1" w:rsidRDefault="00BB7417" w:rsidP="00B053BC">
      <w:p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Cel operacyjny III.1</w:t>
      </w:r>
      <w:r w:rsidR="00B053BC" w:rsidRPr="00BE6FA1">
        <w:rPr>
          <w:rFonts w:ascii="Times New Roman" w:hAnsi="Times New Roman" w:cs="Times New Roman"/>
          <w:sz w:val="24"/>
          <w:szCs w:val="24"/>
        </w:rPr>
        <w:t xml:space="preserve"> </w:t>
      </w:r>
      <w:r w:rsidRPr="00BE6FA1">
        <w:rPr>
          <w:rFonts w:ascii="Times New Roman" w:hAnsi="Times New Roman" w:cs="Times New Roman"/>
          <w:sz w:val="24"/>
          <w:szCs w:val="24"/>
        </w:rPr>
        <w:t xml:space="preserve"> -</w:t>
      </w:r>
      <w:r w:rsidR="00B053BC" w:rsidRPr="00BE6FA1">
        <w:rPr>
          <w:rFonts w:ascii="Times New Roman" w:hAnsi="Times New Roman" w:cs="Times New Roman"/>
          <w:sz w:val="24"/>
          <w:szCs w:val="24"/>
        </w:rPr>
        <w:t xml:space="preserve"> </w:t>
      </w:r>
      <w:r w:rsidRPr="00BE6FA1">
        <w:rPr>
          <w:rFonts w:ascii="Times New Roman" w:hAnsi="Times New Roman" w:cs="Times New Roman"/>
          <w:sz w:val="24"/>
          <w:szCs w:val="24"/>
        </w:rPr>
        <w:t xml:space="preserve"> Modernizacja gminnej infrastruktury technicznej</w:t>
      </w:r>
    </w:p>
    <w:p w:rsidR="00B053BC" w:rsidRPr="00BE6FA1" w:rsidRDefault="00B053BC" w:rsidP="00B053BC">
      <w:p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Zadania: </w:t>
      </w:r>
      <w:r w:rsidR="00BB7417" w:rsidRPr="00BB7417">
        <w:rPr>
          <w:rFonts w:ascii="Times New Roman" w:hAnsi="Times New Roman" w:cs="Times New Roman"/>
          <w:sz w:val="24"/>
          <w:szCs w:val="24"/>
        </w:rPr>
        <w:t>montaż odnawialnych źródeł energii na budy</w:t>
      </w:r>
      <w:r w:rsidR="000D713D">
        <w:rPr>
          <w:rFonts w:ascii="Times New Roman" w:hAnsi="Times New Roman" w:cs="Times New Roman"/>
          <w:sz w:val="24"/>
          <w:szCs w:val="24"/>
        </w:rPr>
        <w:t>nkach użyteczności publicznej i </w:t>
      </w:r>
      <w:r w:rsidR="00BB7417" w:rsidRPr="00BB7417">
        <w:rPr>
          <w:rFonts w:ascii="Times New Roman" w:hAnsi="Times New Roman" w:cs="Times New Roman"/>
          <w:sz w:val="24"/>
          <w:szCs w:val="24"/>
        </w:rPr>
        <w:t xml:space="preserve">prywatnej </w:t>
      </w:r>
    </w:p>
    <w:p w:rsidR="00BB7417" w:rsidRPr="00BB7417" w:rsidRDefault="00BB7417" w:rsidP="00B053BC">
      <w:pPr>
        <w:autoSpaceDE w:val="0"/>
        <w:autoSpaceDN w:val="0"/>
        <w:adjustRightInd w:val="0"/>
        <w:spacing w:after="0" w:line="360" w:lineRule="auto"/>
        <w:jc w:val="both"/>
        <w:rPr>
          <w:rFonts w:ascii="Times New Roman" w:hAnsi="Times New Roman" w:cs="Times New Roman"/>
          <w:sz w:val="24"/>
          <w:szCs w:val="24"/>
        </w:rPr>
      </w:pPr>
      <w:r w:rsidRPr="00BB7417">
        <w:rPr>
          <w:rFonts w:ascii="Times New Roman" w:hAnsi="Times New Roman" w:cs="Times New Roman"/>
          <w:sz w:val="24"/>
          <w:szCs w:val="24"/>
        </w:rPr>
        <w:t xml:space="preserve">Cel operacyjny III.2 </w:t>
      </w:r>
      <w:r w:rsidR="00B053BC" w:rsidRPr="00BE6FA1">
        <w:rPr>
          <w:rFonts w:ascii="Times New Roman" w:hAnsi="Times New Roman" w:cs="Times New Roman"/>
          <w:sz w:val="24"/>
          <w:szCs w:val="24"/>
        </w:rPr>
        <w:t xml:space="preserve">- </w:t>
      </w:r>
      <w:r w:rsidRPr="00BB7417">
        <w:rPr>
          <w:rFonts w:ascii="Times New Roman" w:hAnsi="Times New Roman" w:cs="Times New Roman"/>
          <w:bCs/>
          <w:sz w:val="24"/>
          <w:szCs w:val="24"/>
        </w:rPr>
        <w:t xml:space="preserve">Rozbudowa gminnej infrastruktury transportowej usprawniającej poruszanie się i parkowanie </w:t>
      </w:r>
    </w:p>
    <w:p w:rsidR="00BB7417" w:rsidRPr="00BE6FA1" w:rsidRDefault="00B053BC" w:rsidP="00B053BC">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Zadania: </w:t>
      </w:r>
      <w:r w:rsidR="00BB7417" w:rsidRPr="00BE6FA1">
        <w:rPr>
          <w:rFonts w:ascii="Times New Roman" w:hAnsi="Times New Roman" w:cs="Times New Roman"/>
          <w:sz w:val="24"/>
          <w:szCs w:val="24"/>
        </w:rPr>
        <w:t>modernizacja i przebudowa oświetlenia publicznego na energooszczędne</w:t>
      </w:r>
    </w:p>
    <w:p w:rsidR="00714D42" w:rsidRPr="00BE6FA1" w:rsidRDefault="00714D42" w:rsidP="009A7AFF">
      <w:pPr>
        <w:pStyle w:val="Akapitzlist"/>
        <w:numPr>
          <w:ilvl w:val="0"/>
          <w:numId w:val="71"/>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Kompleksowy rozwój kapitału społecznego umożliwiający pełne wykorzystanie  potencjału mieszkańców  </w:t>
      </w:r>
    </w:p>
    <w:p w:rsidR="00714D42" w:rsidRPr="00BE6FA1" w:rsidRDefault="00714D42" w:rsidP="006B691A">
      <w:pPr>
        <w:spacing w:line="360" w:lineRule="auto"/>
        <w:jc w:val="both"/>
        <w:rPr>
          <w:rFonts w:ascii="Times New Roman" w:hAnsi="Times New Roman" w:cs="Times New Roman"/>
          <w:sz w:val="24"/>
          <w:szCs w:val="24"/>
        </w:rPr>
      </w:pPr>
    </w:p>
    <w:p w:rsidR="002742B0" w:rsidRPr="00BE6FA1" w:rsidRDefault="002742B0" w:rsidP="003A27DA">
      <w:pPr>
        <w:spacing w:line="360" w:lineRule="auto"/>
        <w:jc w:val="both"/>
        <w:rPr>
          <w:rFonts w:ascii="Times New Roman" w:hAnsi="Times New Roman" w:cs="Times New Roman"/>
          <w:b/>
          <w:sz w:val="24"/>
          <w:szCs w:val="24"/>
        </w:rPr>
      </w:pPr>
      <w:r w:rsidRPr="00BE6FA1">
        <w:rPr>
          <w:rFonts w:ascii="Times New Roman" w:hAnsi="Times New Roman" w:cs="Times New Roman"/>
          <w:b/>
          <w:sz w:val="24"/>
          <w:szCs w:val="24"/>
        </w:rPr>
        <w:t>Założenia do planu zaopatrzenia w ciepło, energię elektryczną i paliwa gazowe dla Miasta i Gminy Kańczuga na lata 2015-2030</w:t>
      </w:r>
    </w:p>
    <w:p w:rsidR="000C3209" w:rsidRPr="00BE6FA1" w:rsidRDefault="000C3209"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rPr>
        <w:t xml:space="preserve">W niniejszym planie sformułowano przedsięwzięcia racjonalizujące użytkowanie ciepła, energii elektrycznej i paliw gazowych, które prowadzą do poprawy efektywności ekonomicznej wykorzystania nośników energii przy jednoczesnej minimalizacji </w:t>
      </w:r>
      <w:r w:rsidRPr="00BE6FA1">
        <w:rPr>
          <w:rFonts w:ascii="Times New Roman" w:hAnsi="Times New Roman" w:cs="Times New Roman"/>
          <w:sz w:val="24"/>
          <w:szCs w:val="24"/>
        </w:rPr>
        <w:t xml:space="preserve">szkodliwego oddziaływania na środowisko. </w:t>
      </w:r>
    </w:p>
    <w:p w:rsidR="00EA3884" w:rsidRPr="00BE6FA1" w:rsidRDefault="00EA3884" w:rsidP="003A27DA">
      <w:pPr>
        <w:spacing w:after="0" w:line="360" w:lineRule="auto"/>
        <w:ind w:firstLine="708"/>
        <w:jc w:val="both"/>
        <w:rPr>
          <w:rFonts w:ascii="Times New Roman" w:hAnsi="Times New Roman" w:cs="Times New Roman"/>
          <w:sz w:val="24"/>
          <w:szCs w:val="24"/>
        </w:rPr>
      </w:pPr>
    </w:p>
    <w:p w:rsidR="00EA3884" w:rsidRPr="00BE6FA1" w:rsidRDefault="00EA3884" w:rsidP="003A27DA">
      <w:pPr>
        <w:spacing w:after="0" w:line="360" w:lineRule="auto"/>
        <w:ind w:firstLine="708"/>
        <w:jc w:val="both"/>
        <w:rPr>
          <w:rFonts w:ascii="Times New Roman" w:hAnsi="Times New Roman" w:cs="Times New Roman"/>
          <w:sz w:val="24"/>
          <w:szCs w:val="24"/>
        </w:rPr>
      </w:pPr>
    </w:p>
    <w:p w:rsidR="000C3209" w:rsidRPr="00BE6FA1" w:rsidRDefault="000C3209"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Przedsięwzięcia racjonalizujące użytkowanie energii podzielono na kilka grup, </w:t>
      </w:r>
      <w:r w:rsidRPr="00BE6FA1">
        <w:rPr>
          <w:rFonts w:ascii="Times New Roman" w:hAnsi="Times New Roman" w:cs="Times New Roman"/>
          <w:sz w:val="24"/>
          <w:szCs w:val="24"/>
        </w:rPr>
        <w:br/>
        <w:t>w zależności od jego przedmiotu:</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optymalizację wyboru nośnika energii oraz technologii przetwarzającej ten nośnik </w:t>
      </w:r>
      <w:r w:rsidR="00B96212" w:rsidRPr="00BE6FA1">
        <w:rPr>
          <w:rFonts w:ascii="Times New Roman" w:hAnsi="Times New Roman" w:cs="Times New Roman"/>
          <w:sz w:val="24"/>
          <w:szCs w:val="24"/>
        </w:rPr>
        <w:br/>
      </w:r>
      <w:r w:rsidRPr="00BE6FA1">
        <w:rPr>
          <w:rFonts w:ascii="Times New Roman" w:hAnsi="Times New Roman" w:cs="Times New Roman"/>
          <w:sz w:val="24"/>
          <w:szCs w:val="24"/>
        </w:rPr>
        <w:t>w energię końcową niezbędną do zaopatrzenia danego obszaru,</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minimalizacje strat w procesie przesyłu i dystrybucji energii,</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zastosowanie energooszczędnych urządzeń i technologii,</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 xml:space="preserve">termomodernizację, budownictwo energooszczędne i zmianę źródeł zasilania </w:t>
      </w:r>
      <w:r w:rsidR="00561FE2" w:rsidRPr="00BE6FA1">
        <w:rPr>
          <w:rFonts w:ascii="Times New Roman" w:hAnsi="Times New Roman" w:cs="Times New Roman"/>
          <w:sz w:val="24"/>
          <w:szCs w:val="24"/>
        </w:rPr>
        <w:br/>
      </w:r>
      <w:r w:rsidRPr="00BE6FA1">
        <w:rPr>
          <w:rFonts w:ascii="Times New Roman" w:hAnsi="Times New Roman" w:cs="Times New Roman"/>
          <w:sz w:val="24"/>
          <w:szCs w:val="24"/>
        </w:rPr>
        <w:t>w energię,</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 xml:space="preserve">zmianę postaw i </w:t>
      </w:r>
      <w:r w:rsidR="00561FE2" w:rsidRPr="00BE6FA1">
        <w:rPr>
          <w:rFonts w:ascii="Times New Roman" w:hAnsi="Times New Roman" w:cs="Times New Roman"/>
          <w:sz w:val="24"/>
          <w:szCs w:val="24"/>
        </w:rPr>
        <w:t>zachowań</w:t>
      </w:r>
      <w:r w:rsidRPr="00BE6FA1">
        <w:rPr>
          <w:rFonts w:ascii="Times New Roman" w:hAnsi="Times New Roman" w:cs="Times New Roman"/>
          <w:sz w:val="24"/>
          <w:szCs w:val="24"/>
        </w:rPr>
        <w:t xml:space="preserve"> konsumentów wobec energii</w:t>
      </w:r>
    </w:p>
    <w:p w:rsidR="000C3209" w:rsidRPr="00BE6FA1" w:rsidRDefault="000C3209"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Przedsięwzięcia racjonalizujące użytkowanie nośników energii na obszarze miasta </w:t>
      </w:r>
      <w:r w:rsidR="00B96212" w:rsidRPr="00BE6FA1">
        <w:rPr>
          <w:rFonts w:ascii="Times New Roman" w:hAnsi="Times New Roman" w:cs="Times New Roman"/>
          <w:sz w:val="24"/>
          <w:szCs w:val="24"/>
        </w:rPr>
        <w:br/>
      </w:r>
      <w:r w:rsidRPr="00BE6FA1">
        <w:rPr>
          <w:rFonts w:ascii="Times New Roman" w:hAnsi="Times New Roman" w:cs="Times New Roman"/>
          <w:sz w:val="24"/>
          <w:szCs w:val="24"/>
        </w:rPr>
        <w:t>i gminy mają szczególnie na celu:</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ograniczenie zużycia energii pierwotnej wydatkowanej na zapewnienie komfortu funkcjon</w:t>
      </w:r>
      <w:r w:rsidR="00561FE2" w:rsidRPr="00BE6FA1">
        <w:rPr>
          <w:rFonts w:ascii="Times New Roman" w:hAnsi="Times New Roman" w:cs="Times New Roman"/>
          <w:sz w:val="24"/>
          <w:szCs w:val="24"/>
        </w:rPr>
        <w:t>owania gminy i jego mieszkańców,</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 xml:space="preserve">dążenie do jak najmniejszych opłat dla odbiorców energii przy jednoczesnym spełnieniu warunku samofinansowania się </w:t>
      </w:r>
      <w:r w:rsidR="00561FE2" w:rsidRPr="00BE6FA1">
        <w:rPr>
          <w:rFonts w:ascii="Times New Roman" w:hAnsi="Times New Roman" w:cs="Times New Roman"/>
          <w:sz w:val="24"/>
          <w:szCs w:val="24"/>
        </w:rPr>
        <w:t>sektora paliwowo-energetycznego,</w:t>
      </w:r>
    </w:p>
    <w:p w:rsidR="000C3209"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 xml:space="preserve">minimalizację szkodliwych dla środowiska skutków funkcjonowania na obszarze miasta </w:t>
      </w:r>
      <w:r w:rsidR="00561FE2" w:rsidRPr="00BE6FA1">
        <w:rPr>
          <w:rFonts w:ascii="Times New Roman" w:hAnsi="Times New Roman" w:cs="Times New Roman"/>
          <w:sz w:val="24"/>
          <w:szCs w:val="24"/>
        </w:rPr>
        <w:t>sektora paliwowo-energetycznego,</w:t>
      </w:r>
    </w:p>
    <w:p w:rsidR="002742B0" w:rsidRPr="00BE6FA1" w:rsidRDefault="000C3209" w:rsidP="009A7AFF">
      <w:pPr>
        <w:pStyle w:val="Akapitzlist"/>
        <w:numPr>
          <w:ilvl w:val="0"/>
          <w:numId w:val="19"/>
        </w:numPr>
        <w:spacing w:after="0" w:line="360" w:lineRule="auto"/>
        <w:ind w:left="850" w:hanging="425"/>
        <w:jc w:val="both"/>
        <w:rPr>
          <w:rFonts w:ascii="Times New Roman" w:hAnsi="Times New Roman" w:cs="Times New Roman"/>
          <w:sz w:val="24"/>
          <w:szCs w:val="24"/>
        </w:rPr>
      </w:pPr>
      <w:r w:rsidRPr="00BE6FA1">
        <w:rPr>
          <w:rFonts w:ascii="Times New Roman" w:hAnsi="Times New Roman" w:cs="Times New Roman"/>
          <w:sz w:val="24"/>
          <w:szCs w:val="24"/>
        </w:rPr>
        <w:t>wzmocnienie bezpieczeństwa i pewności zasilania w zakresie dostaw ciepła, energii elektrycznej i paliw gazowych.</w:t>
      </w:r>
    </w:p>
    <w:p w:rsidR="00B96212" w:rsidRPr="00BE6FA1" w:rsidRDefault="00B96212" w:rsidP="00B96212">
      <w:pPr>
        <w:rPr>
          <w:rFonts w:ascii="Times New Roman" w:hAnsi="Times New Roman" w:cs="Times New Roman"/>
        </w:rPr>
      </w:pPr>
    </w:p>
    <w:p w:rsidR="00B96212" w:rsidRPr="00BE6FA1" w:rsidRDefault="00B96212" w:rsidP="00B96212">
      <w:pPr>
        <w:rPr>
          <w:rFonts w:ascii="Times New Roman" w:hAnsi="Times New Roman" w:cs="Times New Roman"/>
        </w:rPr>
      </w:pPr>
    </w:p>
    <w:p w:rsidR="00E27C7C" w:rsidRPr="00BE6FA1" w:rsidRDefault="004C0092" w:rsidP="00B96212">
      <w:pPr>
        <w:pStyle w:val="Nagwek1"/>
        <w:spacing w:before="0" w:line="360" w:lineRule="auto"/>
        <w:rPr>
          <w:rFonts w:ascii="Times New Roman" w:hAnsi="Times New Roman" w:cs="Times New Roman"/>
          <w:color w:val="auto"/>
        </w:rPr>
      </w:pPr>
      <w:bookmarkStart w:id="6" w:name="_Toc449097713"/>
      <w:r w:rsidRPr="00BE6FA1">
        <w:rPr>
          <w:rFonts w:ascii="Times New Roman" w:hAnsi="Times New Roman" w:cs="Times New Roman"/>
          <w:color w:val="auto"/>
        </w:rPr>
        <w:t>Charakterystyka Gminy</w:t>
      </w:r>
      <w:bookmarkEnd w:id="6"/>
    </w:p>
    <w:p w:rsidR="004C0092" w:rsidRPr="00BE6FA1" w:rsidRDefault="004C0092" w:rsidP="003A27DA">
      <w:pPr>
        <w:pStyle w:val="Nagwek2"/>
        <w:spacing w:line="360" w:lineRule="auto"/>
        <w:jc w:val="both"/>
        <w:rPr>
          <w:rFonts w:ascii="Times New Roman" w:hAnsi="Times New Roman" w:cs="Times New Roman"/>
          <w:color w:val="auto"/>
          <w:sz w:val="24"/>
          <w:szCs w:val="24"/>
        </w:rPr>
      </w:pPr>
      <w:bookmarkStart w:id="7" w:name="_Toc449097714"/>
      <w:r w:rsidRPr="00BE6FA1">
        <w:rPr>
          <w:rFonts w:ascii="Times New Roman" w:hAnsi="Times New Roman" w:cs="Times New Roman"/>
          <w:color w:val="auto"/>
          <w:sz w:val="24"/>
          <w:szCs w:val="24"/>
        </w:rPr>
        <w:t>Położenie</w:t>
      </w:r>
      <w:bookmarkEnd w:id="7"/>
    </w:p>
    <w:p w:rsidR="005D2112" w:rsidRPr="00BE6FA1" w:rsidRDefault="005D2112" w:rsidP="003A27DA">
      <w:pPr>
        <w:spacing w:line="360" w:lineRule="auto"/>
        <w:ind w:firstLine="709"/>
        <w:jc w:val="both"/>
        <w:rPr>
          <w:rFonts w:ascii="Times New Roman" w:hAnsi="Times New Roman" w:cs="Times New Roman"/>
          <w:sz w:val="24"/>
          <w:szCs w:val="24"/>
        </w:rPr>
      </w:pPr>
      <w:r w:rsidRPr="00BE6FA1">
        <w:rPr>
          <w:rFonts w:ascii="Times New Roman" w:hAnsi="Times New Roman" w:cs="Times New Roman"/>
          <w:sz w:val="24"/>
          <w:szCs w:val="24"/>
        </w:rPr>
        <w:t xml:space="preserve">Miasto i Gmina Kańczuga leży na Pogórzu Rzeszowsko-Dynowskim, na pograniczu Podkarpacia i Niziny Sandomierskiej. Obszar gminy jest pofałdowany z niewielkimi wzniesieniami sięgającymi na południu do wysokości 380 m n.p.m., na północy do wysokości 200m n.p.m. Krajobraz urozmaicają doliny rzeki Mleczki i jej dopływów.  </w:t>
      </w:r>
    </w:p>
    <w:p w:rsidR="003811BC" w:rsidRPr="00BE6FA1" w:rsidRDefault="004C2A23"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Kańczuga l</w:t>
      </w:r>
      <w:r w:rsidR="003811BC" w:rsidRPr="00BE6FA1">
        <w:rPr>
          <w:rFonts w:ascii="Times New Roman" w:hAnsi="Times New Roman" w:cs="Times New Roman"/>
          <w:sz w:val="24"/>
          <w:szCs w:val="24"/>
        </w:rPr>
        <w:t>eży w środkowo-wschodniej części w</w:t>
      </w:r>
      <w:r w:rsidR="00EE5C0C" w:rsidRPr="00BE6FA1">
        <w:rPr>
          <w:rFonts w:ascii="Times New Roman" w:hAnsi="Times New Roman" w:cs="Times New Roman"/>
          <w:sz w:val="24"/>
          <w:szCs w:val="24"/>
        </w:rPr>
        <w:t xml:space="preserve">ojewództwa podkarpackiego. Jest </w:t>
      </w:r>
      <w:r w:rsidR="003811BC" w:rsidRPr="00BE6FA1">
        <w:rPr>
          <w:rFonts w:ascii="Times New Roman" w:hAnsi="Times New Roman" w:cs="Times New Roman"/>
          <w:sz w:val="24"/>
          <w:szCs w:val="24"/>
        </w:rPr>
        <w:t>gminą miejsko – wiejską</w:t>
      </w:r>
      <w:r w:rsidR="00590781" w:rsidRPr="00BE6FA1">
        <w:rPr>
          <w:rFonts w:ascii="Times New Roman" w:hAnsi="Times New Roman" w:cs="Times New Roman"/>
          <w:sz w:val="24"/>
          <w:szCs w:val="24"/>
        </w:rPr>
        <w:t>,</w:t>
      </w:r>
      <w:r w:rsidR="002350DE" w:rsidRPr="00BE6FA1">
        <w:rPr>
          <w:rFonts w:ascii="Times New Roman" w:hAnsi="Times New Roman" w:cs="Times New Roman"/>
          <w:sz w:val="24"/>
          <w:szCs w:val="24"/>
        </w:rPr>
        <w:t xml:space="preserve"> </w:t>
      </w:r>
      <w:r w:rsidR="00590781" w:rsidRPr="00BE6FA1">
        <w:rPr>
          <w:rFonts w:ascii="Times New Roman" w:hAnsi="Times New Roman" w:cs="Times New Roman"/>
          <w:sz w:val="24"/>
          <w:szCs w:val="24"/>
        </w:rPr>
        <w:t>zlokalizowaną w śro</w:t>
      </w:r>
      <w:r w:rsidR="00B96212" w:rsidRPr="00BE6FA1">
        <w:rPr>
          <w:rFonts w:ascii="Times New Roman" w:hAnsi="Times New Roman" w:cs="Times New Roman"/>
          <w:sz w:val="24"/>
          <w:szCs w:val="24"/>
        </w:rPr>
        <w:t>dkowo-wschodniej części powiatu</w:t>
      </w:r>
      <w:r w:rsidR="002350DE" w:rsidRPr="00BE6FA1">
        <w:rPr>
          <w:rFonts w:ascii="Times New Roman" w:hAnsi="Times New Roman" w:cs="Times New Roman"/>
          <w:sz w:val="24"/>
          <w:szCs w:val="24"/>
        </w:rPr>
        <w:t xml:space="preserve"> </w:t>
      </w:r>
      <w:r w:rsidR="00590781" w:rsidRPr="00BE6FA1">
        <w:rPr>
          <w:rFonts w:ascii="Times New Roman" w:hAnsi="Times New Roman" w:cs="Times New Roman"/>
          <w:sz w:val="24"/>
          <w:szCs w:val="24"/>
        </w:rPr>
        <w:t>przeworskiego.</w:t>
      </w:r>
    </w:p>
    <w:p w:rsidR="00EA3884" w:rsidRPr="00BE6FA1" w:rsidRDefault="00EA3884" w:rsidP="003A27DA">
      <w:pPr>
        <w:spacing w:line="360" w:lineRule="auto"/>
        <w:ind w:firstLine="708"/>
        <w:jc w:val="both"/>
        <w:rPr>
          <w:rFonts w:ascii="Times New Roman" w:hAnsi="Times New Roman" w:cs="Times New Roman"/>
          <w:sz w:val="24"/>
          <w:szCs w:val="24"/>
        </w:rPr>
      </w:pPr>
    </w:p>
    <w:p w:rsidR="00E57842" w:rsidRPr="00BE6FA1" w:rsidRDefault="003811BC" w:rsidP="00EA3884">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Od północy graniczy z gminami Gać i Przeworsk (</w:t>
      </w:r>
      <w:r w:rsidR="00590781" w:rsidRPr="00BE6FA1">
        <w:rPr>
          <w:rFonts w:ascii="Times New Roman" w:hAnsi="Times New Roman" w:cs="Times New Roman"/>
          <w:sz w:val="24"/>
          <w:szCs w:val="24"/>
        </w:rPr>
        <w:t xml:space="preserve">powiat przeworski), od wschodu </w:t>
      </w:r>
      <w:r w:rsidR="006819EC" w:rsidRPr="00BE6FA1">
        <w:rPr>
          <w:rFonts w:ascii="Times New Roman" w:hAnsi="Times New Roman" w:cs="Times New Roman"/>
          <w:sz w:val="24"/>
          <w:szCs w:val="24"/>
        </w:rPr>
        <w:br/>
      </w:r>
      <w:r w:rsidRPr="00BE6FA1">
        <w:rPr>
          <w:rFonts w:ascii="Times New Roman" w:hAnsi="Times New Roman" w:cs="Times New Roman"/>
          <w:sz w:val="24"/>
          <w:szCs w:val="24"/>
        </w:rPr>
        <w:t xml:space="preserve">z gminami Zarzecze (powiat przeworski) i Pruchnik (powiat jarosławski), od strony </w:t>
      </w:r>
      <w:r w:rsidRPr="00BE6FA1">
        <w:rPr>
          <w:rFonts w:ascii="Times New Roman" w:hAnsi="Times New Roman" w:cs="Times New Roman"/>
          <w:sz w:val="24"/>
          <w:szCs w:val="24"/>
        </w:rPr>
        <w:lastRenderedPageBreak/>
        <w:t>południowej z miastem i gminą Dubiecko (powiat przemyski) a od zachodu z gminą Jawornik Polski (powiat przeworski) i Markowa (powiat łańcucki).</w:t>
      </w:r>
    </w:p>
    <w:p w:rsidR="005D2112" w:rsidRPr="00BE6FA1" w:rsidRDefault="005D2112" w:rsidP="003A27DA">
      <w:pPr>
        <w:shd w:val="clear" w:color="auto" w:fill="FFFFFF"/>
        <w:spacing w:before="120" w:after="12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Oprócz miasta Kańczuga gmina obejmuje miejscowości:</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Bóbrka Kańczucka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Chodakówka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Krzeczowice</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Lipnik</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Łopuszka Mała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Łopuszka Wielka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Medynia Kańczucka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Niżatyce</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Pantalowice</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Rączyna</w:t>
      </w:r>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Siedleczka</w:t>
      </w:r>
    </w:p>
    <w:p w:rsidR="005D2112" w:rsidRPr="00BE6FA1" w:rsidRDefault="000D713D"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hyperlink r:id="rId11" w:tooltip="Sietesz" w:history="1">
        <w:r w:rsidR="005D2112" w:rsidRPr="00BE6FA1">
          <w:rPr>
            <w:rFonts w:ascii="Times New Roman" w:eastAsia="Times New Roman" w:hAnsi="Times New Roman" w:cs="Times New Roman"/>
            <w:sz w:val="24"/>
            <w:szCs w:val="24"/>
          </w:rPr>
          <w:t>Sietesz</w:t>
        </w:r>
      </w:hyperlink>
    </w:p>
    <w:p w:rsidR="005D2112"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Wola Rzeplińska</w:t>
      </w:r>
    </w:p>
    <w:p w:rsidR="00AC30DE" w:rsidRPr="00BE6FA1" w:rsidRDefault="005D2112" w:rsidP="003A27DA">
      <w:pPr>
        <w:numPr>
          <w:ilvl w:val="0"/>
          <w:numId w:val="2"/>
        </w:numPr>
        <w:shd w:val="clear" w:color="auto" w:fill="FFFFFF"/>
        <w:spacing w:before="100" w:beforeAutospacing="1" w:after="0" w:line="360" w:lineRule="auto"/>
        <w:ind w:left="380" w:hanging="357"/>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Żuklin</w:t>
      </w:r>
    </w:p>
    <w:p w:rsidR="00AC30DE" w:rsidRPr="00BE6FA1" w:rsidRDefault="00AC30DE" w:rsidP="003A27DA">
      <w:pPr>
        <w:spacing w:line="360" w:lineRule="auto"/>
        <w:ind w:firstLine="708"/>
        <w:jc w:val="both"/>
        <w:rPr>
          <w:rFonts w:ascii="Times New Roman" w:hAnsi="Times New Roman" w:cs="Times New Roman"/>
          <w:sz w:val="24"/>
        </w:rPr>
      </w:pPr>
    </w:p>
    <w:p w:rsidR="005D2112" w:rsidRPr="00BE6FA1" w:rsidRDefault="005D2112"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Głównym centrum gminy i siedzibą jej samorządu jest miasto Kańczuga spełniające rolę administracyjną, usługową i przemysłową dla okolicznych miejscowości. Miasto położone jest w centralnej części gminy, 12 km od Przeworska (siedziby powiatu), 18 km od Łańcuta,  34 km od miasta Rzeszów (siedziby władz wojewódzkich) oraz 42 km od Przemyśla, równie ważnego jak Rzeszów wielkom</w:t>
      </w:r>
      <w:r w:rsidR="004C2A23" w:rsidRPr="00BE6FA1">
        <w:rPr>
          <w:rFonts w:ascii="Times New Roman" w:hAnsi="Times New Roman" w:cs="Times New Roman"/>
          <w:sz w:val="24"/>
        </w:rPr>
        <w:t>iejskiego ośrodka przemysłowego</w:t>
      </w:r>
      <w:r w:rsidR="006819EC" w:rsidRPr="00BE6FA1">
        <w:rPr>
          <w:rFonts w:ascii="Times New Roman" w:hAnsi="Times New Roman" w:cs="Times New Roman"/>
          <w:sz w:val="24"/>
        </w:rPr>
        <w:br/>
      </w:r>
      <w:r w:rsidRPr="00BE6FA1">
        <w:rPr>
          <w:rFonts w:ascii="Times New Roman" w:hAnsi="Times New Roman" w:cs="Times New Roman"/>
          <w:sz w:val="24"/>
        </w:rPr>
        <w:t>i regionalnego</w:t>
      </w:r>
      <w:r w:rsidR="00AC30DE" w:rsidRPr="00BE6FA1">
        <w:rPr>
          <w:rFonts w:ascii="Times New Roman" w:hAnsi="Times New Roman" w:cs="Times New Roman"/>
          <w:sz w:val="24"/>
        </w:rPr>
        <w:t>.</w:t>
      </w:r>
    </w:p>
    <w:p w:rsidR="00AC30DE" w:rsidRPr="00BE6FA1" w:rsidRDefault="00AC30DE" w:rsidP="006819EC">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 stosunku do województwa podkarpackiego gmina obejmuje 0.59% jego powierzchni ogólnej, natomiast w stosunku do powiatu przeworskiego 15% </w:t>
      </w:r>
      <w:r w:rsidR="000D713D">
        <w:rPr>
          <w:rFonts w:ascii="Times New Roman" w:hAnsi="Times New Roman" w:cs="Times New Roman"/>
          <w:sz w:val="24"/>
          <w:szCs w:val="24"/>
        </w:rPr>
        <w:t>(gmina jest 3 co do wielkości w </w:t>
      </w:r>
      <w:r w:rsidRPr="00BE6FA1">
        <w:rPr>
          <w:rFonts w:ascii="Times New Roman" w:hAnsi="Times New Roman" w:cs="Times New Roman"/>
          <w:sz w:val="24"/>
          <w:szCs w:val="24"/>
        </w:rPr>
        <w:t>powieci</w:t>
      </w:r>
      <w:r w:rsidR="006819EC" w:rsidRPr="00BE6FA1">
        <w:rPr>
          <w:rFonts w:ascii="Times New Roman" w:hAnsi="Times New Roman" w:cs="Times New Roman"/>
          <w:sz w:val="24"/>
          <w:szCs w:val="24"/>
        </w:rPr>
        <w:t xml:space="preserve">e). </w:t>
      </w:r>
    </w:p>
    <w:p w:rsidR="004C2A23" w:rsidRPr="00BE6FA1" w:rsidRDefault="004C2A23" w:rsidP="003A27DA">
      <w:pPr>
        <w:spacing w:line="360" w:lineRule="auto"/>
        <w:ind w:firstLine="708"/>
        <w:jc w:val="both"/>
        <w:rPr>
          <w:rFonts w:ascii="Times New Roman" w:hAnsi="Times New Roman" w:cs="Times New Roman"/>
          <w:sz w:val="28"/>
        </w:rPr>
      </w:pPr>
    </w:p>
    <w:p w:rsidR="003811BC" w:rsidRPr="00BE6FA1" w:rsidRDefault="00530C87" w:rsidP="003A27DA">
      <w:pPr>
        <w:keepNext/>
        <w:spacing w:line="360" w:lineRule="auto"/>
        <w:jc w:val="center"/>
        <w:rPr>
          <w:rFonts w:ascii="Times New Roman" w:hAnsi="Times New Roman" w:cs="Times New Roman"/>
        </w:rPr>
      </w:pPr>
      <w:r w:rsidRPr="00BE6FA1">
        <w:rPr>
          <w:rFonts w:ascii="Times New Roman" w:hAnsi="Times New Roman" w:cs="Times New Roman"/>
          <w:noProof/>
          <w:sz w:val="24"/>
          <w:szCs w:val="24"/>
        </w:rPr>
        <w:lastRenderedPageBreak/>
        <w:drawing>
          <wp:inline distT="0" distB="0" distL="0" distR="0" wp14:anchorId="2ABA003F" wp14:editId="3CA83526">
            <wp:extent cx="2656687" cy="2300807"/>
            <wp:effectExtent l="0" t="0" r="0" b="4445"/>
            <wp:docPr id="9" name="Obraz 9" desc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448" cy="2304930"/>
                    </a:xfrm>
                    <a:prstGeom prst="rect">
                      <a:avLst/>
                    </a:prstGeom>
                    <a:noFill/>
                  </pic:spPr>
                </pic:pic>
              </a:graphicData>
            </a:graphic>
          </wp:inline>
        </w:drawing>
      </w:r>
      <w:r w:rsidR="004C2A23" w:rsidRPr="00BE6FA1">
        <w:rPr>
          <w:rFonts w:ascii="Times New Roman" w:hAnsi="Times New Roman" w:cs="Times New Roman"/>
          <w:noProof/>
        </w:rPr>
        <w:drawing>
          <wp:inline distT="0" distB="0" distL="0" distR="0" wp14:anchorId="1C0BB87E" wp14:editId="08B16A68">
            <wp:extent cx="3066532" cy="3037489"/>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862" cy="3044749"/>
                    </a:xfrm>
                    <a:prstGeom prst="rect">
                      <a:avLst/>
                    </a:prstGeom>
                    <a:noFill/>
                  </pic:spPr>
                </pic:pic>
              </a:graphicData>
            </a:graphic>
          </wp:inline>
        </w:drawing>
      </w:r>
    </w:p>
    <w:p w:rsidR="00530C87" w:rsidRPr="00BE6FA1" w:rsidRDefault="00530C87" w:rsidP="003A27DA">
      <w:pPr>
        <w:pStyle w:val="Legenda"/>
        <w:spacing w:line="360" w:lineRule="auto"/>
        <w:rPr>
          <w:rFonts w:ascii="Times New Roman" w:hAnsi="Times New Roman" w:cs="Times New Roman"/>
          <w:color w:val="auto"/>
        </w:rPr>
        <w:sectPr w:rsidR="00530C87" w:rsidRPr="00BE6FA1">
          <w:footerReference w:type="default" r:id="rId14"/>
          <w:pgSz w:w="11906" w:h="16838"/>
          <w:pgMar w:top="1417" w:right="1417" w:bottom="1417" w:left="1417" w:header="708" w:footer="708" w:gutter="0"/>
          <w:cols w:space="708"/>
          <w:docGrid w:linePitch="360"/>
        </w:sectPr>
      </w:pPr>
    </w:p>
    <w:p w:rsidR="00530C87" w:rsidRPr="00BE6FA1" w:rsidRDefault="003811BC" w:rsidP="003A27DA">
      <w:pPr>
        <w:pStyle w:val="Legenda"/>
        <w:spacing w:line="360" w:lineRule="auto"/>
        <w:jc w:val="center"/>
        <w:rPr>
          <w:rFonts w:ascii="Times New Roman" w:hAnsi="Times New Roman" w:cs="Times New Roman"/>
          <w:color w:val="auto"/>
        </w:rPr>
      </w:pPr>
      <w:bookmarkStart w:id="8" w:name="_Toc445289814"/>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t>
      </w:r>
      <w:r w:rsidR="00530C87" w:rsidRPr="00BE6FA1">
        <w:rPr>
          <w:rFonts w:ascii="Times New Roman" w:hAnsi="Times New Roman" w:cs="Times New Roman"/>
          <w:color w:val="auto"/>
        </w:rPr>
        <w:t>Miasto i Gmina Kańczuga na tle powiatu przeworskiego</w:t>
      </w:r>
      <w:bookmarkEnd w:id="8"/>
    </w:p>
    <w:p w:rsidR="000C60BF" w:rsidRPr="00BE6FA1" w:rsidRDefault="004C2A23" w:rsidP="003A27DA">
      <w:pPr>
        <w:pStyle w:val="Legenda"/>
        <w:spacing w:line="360" w:lineRule="auto"/>
        <w:rPr>
          <w:rFonts w:ascii="Times New Roman" w:hAnsi="Times New Roman" w:cs="Times New Roman"/>
          <w:color w:val="auto"/>
        </w:rPr>
      </w:pPr>
      <w:bookmarkStart w:id="9" w:name="_Toc445289815"/>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Miasto i Gmina Kańczuga</w:t>
      </w:r>
      <w:bookmarkEnd w:id="9"/>
    </w:p>
    <w:p w:rsidR="00530C87" w:rsidRPr="00BE6FA1" w:rsidRDefault="00530C87" w:rsidP="003A27DA">
      <w:pPr>
        <w:spacing w:line="360" w:lineRule="auto"/>
        <w:rPr>
          <w:rFonts w:ascii="Times New Roman" w:hAnsi="Times New Roman" w:cs="Times New Roman"/>
        </w:rPr>
        <w:sectPr w:rsidR="00530C87" w:rsidRPr="00BE6FA1" w:rsidSect="00530C87">
          <w:type w:val="continuous"/>
          <w:pgSz w:w="11906" w:h="16838"/>
          <w:pgMar w:top="1417" w:right="1417" w:bottom="1417" w:left="1417" w:header="708" w:footer="708" w:gutter="0"/>
          <w:cols w:num="2" w:space="708"/>
          <w:docGrid w:linePitch="360"/>
        </w:sectPr>
      </w:pPr>
    </w:p>
    <w:p w:rsidR="00567A8C" w:rsidRPr="00BE6FA1" w:rsidRDefault="00567A8C" w:rsidP="003A27DA">
      <w:pPr>
        <w:spacing w:line="360" w:lineRule="auto"/>
        <w:rPr>
          <w:rFonts w:ascii="Times New Roman" w:hAnsi="Times New Roman" w:cs="Times New Roman"/>
        </w:rPr>
      </w:pPr>
    </w:p>
    <w:p w:rsidR="00257641" w:rsidRPr="00BE6FA1" w:rsidRDefault="00257641" w:rsidP="003A27DA">
      <w:pPr>
        <w:spacing w:line="360" w:lineRule="auto"/>
        <w:rPr>
          <w:rFonts w:ascii="Times New Roman" w:hAnsi="Times New Roman" w:cs="Times New Roman"/>
        </w:rPr>
      </w:pPr>
    </w:p>
    <w:p w:rsidR="00257641" w:rsidRPr="00BE6FA1" w:rsidRDefault="004C0092" w:rsidP="00EE5C0C">
      <w:pPr>
        <w:pStyle w:val="Nagwek2"/>
        <w:spacing w:line="360" w:lineRule="auto"/>
        <w:rPr>
          <w:rFonts w:ascii="Times New Roman" w:hAnsi="Times New Roman" w:cs="Times New Roman"/>
          <w:color w:val="auto"/>
        </w:rPr>
      </w:pPr>
      <w:bookmarkStart w:id="10" w:name="_Toc449097715"/>
      <w:r w:rsidRPr="00BE6FA1">
        <w:rPr>
          <w:rFonts w:ascii="Times New Roman" w:hAnsi="Times New Roman" w:cs="Times New Roman"/>
          <w:color w:val="auto"/>
        </w:rPr>
        <w:t>Formy użytkowania terenu</w:t>
      </w:r>
      <w:bookmarkEnd w:id="10"/>
    </w:p>
    <w:p w:rsidR="00567A8C" w:rsidRPr="00BE6FA1" w:rsidRDefault="00567A8C"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Powierzchnia geodezyjna Gminy Kańczuga wynosi 10503 ha. Poniższa tabela przedstawia kierunki wykorzystania gruntów wg danych z 2014 r.</w:t>
      </w:r>
    </w:p>
    <w:p w:rsidR="00EE5C0C" w:rsidRPr="00BE6FA1" w:rsidRDefault="00EE5C0C" w:rsidP="003A27DA">
      <w:pPr>
        <w:spacing w:line="360" w:lineRule="auto"/>
        <w:ind w:firstLine="708"/>
        <w:jc w:val="both"/>
        <w:rPr>
          <w:rFonts w:ascii="Times New Roman" w:hAnsi="Times New Roman" w:cs="Times New Roman"/>
          <w:sz w:val="24"/>
        </w:rPr>
      </w:pPr>
    </w:p>
    <w:tbl>
      <w:tblPr>
        <w:tblStyle w:val="Tabela-Siatka"/>
        <w:tblW w:w="9212" w:type="dxa"/>
        <w:tblInd w:w="-5" w:type="dxa"/>
        <w:tblCellMar>
          <w:left w:w="103" w:type="dxa"/>
        </w:tblCellMar>
        <w:tblLook w:val="04A0" w:firstRow="1" w:lastRow="0" w:firstColumn="1" w:lastColumn="0" w:noHBand="0" w:noVBand="1"/>
      </w:tblPr>
      <w:tblGrid>
        <w:gridCol w:w="5918"/>
        <w:gridCol w:w="1559"/>
        <w:gridCol w:w="1735"/>
      </w:tblGrid>
      <w:tr w:rsidR="00F6725C" w:rsidRPr="00BE6FA1" w:rsidTr="00567A8C">
        <w:tc>
          <w:tcPr>
            <w:tcW w:w="9212" w:type="dxa"/>
            <w:gridSpan w:val="3"/>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Powierzchnia geodezyjna według kierunków wykorzystania gruntów</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powierzchnia ogółem</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10503</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powierzchnia lądowa</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10456</w:t>
            </w:r>
          </w:p>
        </w:tc>
      </w:tr>
      <w:tr w:rsidR="00F6725C" w:rsidRPr="00BE6FA1" w:rsidTr="00567A8C">
        <w:tc>
          <w:tcPr>
            <w:tcW w:w="5918"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grunty pod wodami razem</w:t>
            </w:r>
          </w:p>
        </w:tc>
        <w:tc>
          <w:tcPr>
            <w:tcW w:w="1559"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ha</w:t>
            </w:r>
          </w:p>
        </w:tc>
        <w:tc>
          <w:tcPr>
            <w:tcW w:w="1735"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47</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pod wodami - powierzchniowymi płynącymi</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37</w:t>
            </w:r>
          </w:p>
        </w:tc>
      </w:tr>
      <w:tr w:rsidR="00F6725C" w:rsidRPr="00BE6FA1" w:rsidTr="00567A8C">
        <w:tc>
          <w:tcPr>
            <w:tcW w:w="5918"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pod wodami – powierzchniowymi stojącymi</w:t>
            </w:r>
          </w:p>
        </w:tc>
        <w:tc>
          <w:tcPr>
            <w:tcW w:w="1559"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użytki rolne razem</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8297</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grunty orne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6483</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sady</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525</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łąki trwałe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414</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pastwiska trwałe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431</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lastRenderedPageBreak/>
              <w:t>użytki rolne - grunty rolne zabudowane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407</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grunty pod stawami</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użytki rolne - grunty pod rowami</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36</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grunty leśne oraz zadrzewione i zakrzewione razem</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1687</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leśne oraz zadrzewione i zakrzewione - lasy</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1566</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leśne oraz zadrzewione i zakrzewione – grunty zadrzewione i zakrzewione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121</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grunty zabudowane i zurbanizowane razem</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ha</w:t>
            </w:r>
          </w:p>
        </w:tc>
        <w:tc>
          <w:tcPr>
            <w:tcW w:w="1735" w:type="dxa"/>
            <w:shd w:val="clear" w:color="auto" w:fill="auto"/>
            <w:tcMar>
              <w:left w:w="103" w:type="dxa"/>
            </w:tcMar>
            <w:vAlign w:val="center"/>
          </w:tcPr>
          <w:p w:rsidR="00567A8C" w:rsidRPr="00BE6FA1" w:rsidRDefault="00257641"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456</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tereny mieszkaniowe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41</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tereny przemysłowe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tereny inne zabudowane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28</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grunty zabudowane i zurbanizowane - tereny rekreacji </w:t>
            </w:r>
            <w:r w:rsidRPr="00BE6FA1">
              <w:rPr>
                <w:rFonts w:ascii="Times New Roman" w:hAnsi="Times New Roman" w:cs="Times New Roman"/>
                <w:sz w:val="24"/>
                <w:szCs w:val="24"/>
              </w:rPr>
              <w:br/>
              <w:t>i wypoczynku</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30</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tereny komunikacyjne - drogi</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324</w:t>
            </w:r>
          </w:p>
        </w:tc>
      </w:tr>
      <w:tr w:rsidR="00F6725C" w:rsidRPr="00BE6FA1" w:rsidTr="00567A8C">
        <w:tc>
          <w:tcPr>
            <w:tcW w:w="5918"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tereny komunikacyjne - kolejowe</w:t>
            </w:r>
          </w:p>
        </w:tc>
        <w:tc>
          <w:tcPr>
            <w:tcW w:w="1559"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18694D"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w:t>
            </w:r>
          </w:p>
        </w:tc>
      </w:tr>
      <w:tr w:rsidR="00F6725C"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grunty zabudowane i zurbanizowane - użytki kopalne</w:t>
            </w:r>
          </w:p>
        </w:tc>
        <w:tc>
          <w:tcPr>
            <w:tcW w:w="1559"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567A8C"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p>
        </w:tc>
      </w:tr>
      <w:tr w:rsidR="000716A2" w:rsidRPr="00BE6FA1" w:rsidTr="00567A8C">
        <w:tc>
          <w:tcPr>
            <w:tcW w:w="5918" w:type="dxa"/>
            <w:shd w:val="clear" w:color="auto" w:fill="auto"/>
            <w:tcMar>
              <w:left w:w="103" w:type="dxa"/>
            </w:tcMar>
            <w:vAlign w:val="center"/>
          </w:tcPr>
          <w:p w:rsidR="00567A8C" w:rsidRPr="00BE6FA1" w:rsidRDefault="00567A8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nieużytki</w:t>
            </w:r>
          </w:p>
        </w:tc>
        <w:tc>
          <w:tcPr>
            <w:tcW w:w="1559" w:type="dxa"/>
            <w:shd w:val="clear" w:color="auto" w:fill="auto"/>
            <w:tcMar>
              <w:left w:w="103" w:type="dxa"/>
            </w:tcMar>
            <w:vAlign w:val="center"/>
          </w:tcPr>
          <w:p w:rsidR="00567A8C" w:rsidRPr="00BE6FA1" w:rsidRDefault="0018694D"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ha</w:t>
            </w:r>
          </w:p>
        </w:tc>
        <w:tc>
          <w:tcPr>
            <w:tcW w:w="1735" w:type="dxa"/>
            <w:shd w:val="clear" w:color="auto" w:fill="auto"/>
            <w:tcMar>
              <w:left w:w="103" w:type="dxa"/>
            </w:tcMar>
            <w:vAlign w:val="center"/>
          </w:tcPr>
          <w:p w:rsidR="00567A8C" w:rsidRPr="00BE6FA1" w:rsidRDefault="0018694D"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w:t>
            </w:r>
          </w:p>
        </w:tc>
      </w:tr>
    </w:tbl>
    <w:p w:rsidR="004C0092" w:rsidRPr="00BE6FA1" w:rsidRDefault="0018694D" w:rsidP="003A27DA">
      <w:pPr>
        <w:pStyle w:val="Legenda"/>
        <w:spacing w:line="360" w:lineRule="auto"/>
        <w:rPr>
          <w:rFonts w:ascii="Times New Roman" w:hAnsi="Times New Roman" w:cs="Times New Roman"/>
          <w:color w:val="auto"/>
        </w:rPr>
      </w:pPr>
      <w:bookmarkStart w:id="11" w:name="_Toc445289848"/>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000753E7"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Powierzchnia geodezyjna według form użytkowania terenu (BDL, dane z 2014 r.)</w:t>
      </w:r>
      <w:bookmarkEnd w:id="11"/>
    </w:p>
    <w:p w:rsidR="00E57842" w:rsidRPr="00BE6FA1" w:rsidRDefault="00297DDE" w:rsidP="00E57842">
      <w:pPr>
        <w:keepNext/>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76F1D925" wp14:editId="37244991">
            <wp:extent cx="5401340" cy="3030279"/>
            <wp:effectExtent l="0" t="0" r="889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7DDE" w:rsidRPr="00BE6FA1" w:rsidRDefault="00E57842" w:rsidP="00E57842">
      <w:pPr>
        <w:pStyle w:val="Legenda"/>
        <w:rPr>
          <w:rFonts w:ascii="Times New Roman" w:hAnsi="Times New Roman" w:cs="Times New Roman"/>
          <w:color w:val="auto"/>
        </w:rPr>
      </w:pPr>
      <w:bookmarkStart w:id="12" w:name="_Toc448844730"/>
      <w:r w:rsidRPr="00BE6FA1">
        <w:rPr>
          <w:rFonts w:ascii="Times New Roman" w:hAnsi="Times New Roman" w:cs="Times New Roman"/>
          <w:color w:val="auto"/>
        </w:rPr>
        <w:t xml:space="preserve">Wykres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1</w:t>
      </w:r>
      <w:r w:rsidRPr="00BE6FA1">
        <w:rPr>
          <w:rFonts w:ascii="Times New Roman" w:hAnsi="Times New Roman" w:cs="Times New Roman"/>
          <w:color w:val="auto"/>
        </w:rPr>
        <w:fldChar w:fldCharType="end"/>
      </w:r>
      <w:r w:rsidRPr="00BE6FA1">
        <w:rPr>
          <w:rFonts w:ascii="Times New Roman" w:hAnsi="Times New Roman" w:cs="Times New Roman"/>
          <w:color w:val="auto"/>
        </w:rPr>
        <w:t>. Formy użytkowania terenu Gminy Kańczuga (BDL, dane z 2014 r.)</w:t>
      </w:r>
      <w:bookmarkEnd w:id="12"/>
    </w:p>
    <w:p w:rsidR="00E57842" w:rsidRPr="00BE6FA1" w:rsidRDefault="00E57842" w:rsidP="00E57842">
      <w:pPr>
        <w:rPr>
          <w:rFonts w:ascii="Times New Roman" w:hAnsi="Times New Roman" w:cs="Times New Roman"/>
        </w:rPr>
      </w:pPr>
    </w:p>
    <w:p w:rsidR="006353C3" w:rsidRPr="00BE6FA1" w:rsidRDefault="004C0092" w:rsidP="003915FF">
      <w:pPr>
        <w:pStyle w:val="Nagwek2"/>
        <w:spacing w:after="120" w:line="360" w:lineRule="auto"/>
        <w:rPr>
          <w:rFonts w:ascii="Times New Roman" w:hAnsi="Times New Roman" w:cs="Times New Roman"/>
          <w:color w:val="auto"/>
        </w:rPr>
      </w:pPr>
      <w:bookmarkStart w:id="13" w:name="_Toc449097716"/>
      <w:r w:rsidRPr="00BE6FA1">
        <w:rPr>
          <w:rFonts w:ascii="Times New Roman" w:hAnsi="Times New Roman" w:cs="Times New Roman"/>
          <w:color w:val="auto"/>
        </w:rPr>
        <w:t>Obszary chronione</w:t>
      </w:r>
      <w:bookmarkEnd w:id="13"/>
    </w:p>
    <w:p w:rsidR="002C7091" w:rsidRPr="00BE6FA1" w:rsidRDefault="00A02CB9" w:rsidP="003A27DA">
      <w:pPr>
        <w:spacing w:line="360" w:lineRule="auto"/>
        <w:jc w:val="both"/>
        <w:rPr>
          <w:rFonts w:ascii="Times New Roman" w:hAnsi="Times New Roman" w:cs="Times New Roman"/>
          <w:bCs/>
          <w:sz w:val="24"/>
          <w:szCs w:val="24"/>
          <w:u w:val="single"/>
        </w:rPr>
      </w:pPr>
      <w:r w:rsidRPr="00BE6FA1">
        <w:rPr>
          <w:rFonts w:ascii="Times New Roman" w:hAnsi="Times New Roman" w:cs="Times New Roman"/>
          <w:b/>
          <w:bCs/>
          <w:sz w:val="24"/>
          <w:szCs w:val="24"/>
          <w:u w:val="single"/>
        </w:rPr>
        <w:t>R</w:t>
      </w:r>
      <w:r w:rsidR="004C2A23" w:rsidRPr="00BE6FA1">
        <w:rPr>
          <w:rFonts w:ascii="Times New Roman" w:hAnsi="Times New Roman" w:cs="Times New Roman"/>
          <w:b/>
          <w:bCs/>
          <w:sz w:val="24"/>
          <w:szCs w:val="24"/>
          <w:u w:val="single"/>
        </w:rPr>
        <w:t>ezerwat „Husówka</w:t>
      </w:r>
      <w:r w:rsidR="006353C3" w:rsidRPr="00BE6FA1">
        <w:rPr>
          <w:rFonts w:ascii="Times New Roman" w:hAnsi="Times New Roman" w:cs="Times New Roman"/>
          <w:b/>
          <w:bCs/>
          <w:sz w:val="24"/>
          <w:szCs w:val="24"/>
          <w:u w:val="single"/>
        </w:rPr>
        <w:t>”</w:t>
      </w:r>
    </w:p>
    <w:p w:rsidR="004C2A23" w:rsidRPr="00BE6FA1" w:rsidRDefault="002C7091" w:rsidP="003A27DA">
      <w:pPr>
        <w:spacing w:line="360" w:lineRule="auto"/>
        <w:ind w:firstLine="708"/>
        <w:jc w:val="both"/>
        <w:rPr>
          <w:rFonts w:ascii="Times New Roman" w:hAnsi="Times New Roman" w:cs="Times New Roman"/>
          <w:bCs/>
          <w:sz w:val="24"/>
          <w:szCs w:val="24"/>
        </w:rPr>
      </w:pPr>
      <w:r w:rsidRPr="00BE6FA1">
        <w:rPr>
          <w:rFonts w:ascii="Times New Roman" w:hAnsi="Times New Roman" w:cs="Times New Roman"/>
          <w:bCs/>
          <w:sz w:val="24"/>
          <w:szCs w:val="24"/>
        </w:rPr>
        <w:t>R</w:t>
      </w:r>
      <w:r w:rsidR="006353C3" w:rsidRPr="00BE6FA1">
        <w:rPr>
          <w:rFonts w:ascii="Times New Roman" w:hAnsi="Times New Roman" w:cs="Times New Roman"/>
          <w:sz w:val="24"/>
          <w:szCs w:val="24"/>
          <w:shd w:val="clear" w:color="auto" w:fill="FFFFFF"/>
        </w:rPr>
        <w:t>ezerwat przyrody</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znajdujący się w pobliżu</w:t>
      </w:r>
      <w:r w:rsidR="001F0217" w:rsidRPr="00BE6FA1">
        <w:rPr>
          <w:rStyle w:val="apple-converted-space"/>
          <w:rFonts w:ascii="Times New Roman" w:hAnsi="Times New Roman" w:cs="Times New Roman"/>
          <w:sz w:val="24"/>
          <w:szCs w:val="24"/>
          <w:shd w:val="clear" w:color="auto" w:fill="FFFFFF"/>
        </w:rPr>
        <w:t xml:space="preserve"> </w:t>
      </w:r>
      <w:r w:rsidR="006353C3" w:rsidRPr="00BE6FA1">
        <w:rPr>
          <w:rFonts w:ascii="Times New Roman" w:hAnsi="Times New Roman" w:cs="Times New Roman"/>
          <w:sz w:val="24"/>
          <w:szCs w:val="24"/>
          <w:shd w:val="clear" w:color="auto" w:fill="FFFFFF"/>
        </w:rPr>
        <w:t>Sieteszy</w:t>
      </w:r>
      <w:r w:rsidR="001F0217" w:rsidRPr="00BE6FA1">
        <w:rPr>
          <w:rFonts w:ascii="Times New Roman" w:hAnsi="Times New Roman" w:cs="Times New Roman"/>
          <w:sz w:val="24"/>
          <w:szCs w:val="24"/>
          <w:shd w:val="clear" w:color="auto" w:fill="FFFFFF"/>
        </w:rPr>
        <w:t xml:space="preserve"> </w:t>
      </w:r>
      <w:r w:rsidR="006353C3" w:rsidRPr="00BE6FA1">
        <w:rPr>
          <w:rFonts w:ascii="Times New Roman" w:hAnsi="Times New Roman" w:cs="Times New Roman"/>
          <w:sz w:val="24"/>
          <w:szCs w:val="24"/>
          <w:shd w:val="clear" w:color="auto" w:fill="FFFFFF"/>
        </w:rPr>
        <w:t>na terenie</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gminy Kańczuga</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w</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powiecie przeworskim</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w</w:t>
      </w:r>
      <w:r w:rsidR="006353C3" w:rsidRPr="00BE6FA1">
        <w:rPr>
          <w:rStyle w:val="apple-converted-space"/>
          <w:rFonts w:ascii="Times New Roman" w:hAnsi="Times New Roman" w:cs="Times New Roman"/>
          <w:sz w:val="24"/>
          <w:szCs w:val="24"/>
          <w:shd w:val="clear" w:color="auto" w:fill="FFFFFF"/>
        </w:rPr>
        <w:t> </w:t>
      </w:r>
      <w:r w:rsidR="006353C3" w:rsidRPr="00BE6FA1">
        <w:rPr>
          <w:rFonts w:ascii="Times New Roman" w:hAnsi="Times New Roman" w:cs="Times New Roman"/>
          <w:sz w:val="24"/>
          <w:szCs w:val="24"/>
          <w:shd w:val="clear" w:color="auto" w:fill="FFFFFF"/>
        </w:rPr>
        <w:t>województwie podkarpackim.</w:t>
      </w:r>
    </w:p>
    <w:p w:rsidR="003F497A" w:rsidRPr="00BE6FA1" w:rsidRDefault="003F497A" w:rsidP="009A7AFF">
      <w:pPr>
        <w:numPr>
          <w:ilvl w:val="0"/>
          <w:numId w:val="11"/>
        </w:numPr>
        <w:spacing w:after="0" w:line="360" w:lineRule="auto"/>
        <w:ind w:left="426"/>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Powierzchnia wg aktu powołującego</w:t>
      </w:r>
      <w:r w:rsidRPr="00BE6FA1">
        <w:rPr>
          <w:rFonts w:ascii="Times New Roman" w:eastAsia="Times New Roman" w:hAnsi="Times New Roman" w:cs="Times New Roman"/>
          <w:sz w:val="24"/>
          <w:szCs w:val="24"/>
        </w:rPr>
        <w:t> - 71,96 ha</w:t>
      </w:r>
    </w:p>
    <w:p w:rsidR="003F497A" w:rsidRPr="00BE6FA1" w:rsidRDefault="003F497A" w:rsidP="009A7AFF">
      <w:pPr>
        <w:numPr>
          <w:ilvl w:val="0"/>
          <w:numId w:val="11"/>
        </w:numPr>
        <w:spacing w:after="0" w:line="360" w:lineRule="auto"/>
        <w:ind w:left="426"/>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Dokument powołujący</w:t>
      </w:r>
      <w:r w:rsidRPr="00BE6FA1">
        <w:rPr>
          <w:rFonts w:ascii="Times New Roman" w:eastAsia="Times New Roman" w:hAnsi="Times New Roman" w:cs="Times New Roman"/>
          <w:sz w:val="24"/>
          <w:szCs w:val="24"/>
        </w:rPr>
        <w:t> - Zarz. MOŚZNiL z dn. 25 I 1995 r. (M.P. 1995.5.78)</w:t>
      </w:r>
    </w:p>
    <w:p w:rsidR="003F497A" w:rsidRPr="00BE6FA1" w:rsidRDefault="003F497A" w:rsidP="009A7AFF">
      <w:pPr>
        <w:numPr>
          <w:ilvl w:val="0"/>
          <w:numId w:val="11"/>
        </w:numPr>
        <w:spacing w:after="0" w:line="360" w:lineRule="auto"/>
        <w:ind w:left="426"/>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Rodzaj rezerwatu</w:t>
      </w:r>
      <w:r w:rsidRPr="00BE6FA1">
        <w:rPr>
          <w:rFonts w:ascii="Times New Roman" w:eastAsia="Times New Roman" w:hAnsi="Times New Roman" w:cs="Times New Roman"/>
          <w:sz w:val="24"/>
          <w:szCs w:val="24"/>
        </w:rPr>
        <w:t> - florystyczny</w:t>
      </w:r>
    </w:p>
    <w:p w:rsidR="003F497A" w:rsidRPr="00BE6FA1" w:rsidRDefault="003F497A" w:rsidP="009A7AFF">
      <w:pPr>
        <w:numPr>
          <w:ilvl w:val="0"/>
          <w:numId w:val="11"/>
        </w:numPr>
        <w:spacing w:after="0" w:line="360" w:lineRule="auto"/>
        <w:ind w:left="426"/>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Przedmiot ochrony (wg aktu powołującego)</w:t>
      </w:r>
      <w:r w:rsidRPr="00BE6FA1">
        <w:rPr>
          <w:rFonts w:ascii="Times New Roman" w:eastAsia="Times New Roman" w:hAnsi="Times New Roman" w:cs="Times New Roman"/>
          <w:sz w:val="24"/>
          <w:szCs w:val="24"/>
        </w:rPr>
        <w:t> - naturalne stanowisko kłokoczki południowej</w:t>
      </w:r>
    </w:p>
    <w:p w:rsidR="004C0092" w:rsidRDefault="003F497A" w:rsidP="003A27DA">
      <w:pPr>
        <w:spacing w:line="360" w:lineRule="auto"/>
        <w:ind w:firstLine="708"/>
        <w:jc w:val="both"/>
        <w:rPr>
          <w:rFonts w:ascii="Times New Roman" w:hAnsi="Times New Roman" w:cs="Times New Roman"/>
          <w:sz w:val="24"/>
          <w:szCs w:val="24"/>
          <w:shd w:val="clear" w:color="auto" w:fill="FFFFFF"/>
        </w:rPr>
      </w:pPr>
      <w:r w:rsidRPr="00BE6FA1">
        <w:rPr>
          <w:rFonts w:ascii="Times New Roman" w:hAnsi="Times New Roman" w:cs="Times New Roman"/>
          <w:sz w:val="24"/>
          <w:szCs w:val="24"/>
          <w:shd w:val="clear" w:color="auto" w:fill="FFFFFF"/>
        </w:rPr>
        <w:t>Rezerwat położony jest na terenie wsi Lipnik, kilka kilometrów od Kańczugi. Utworzono go, aby chronić liczne naturalne stanowiska kłokoczki południowej. Gatunek ten znalazł w tym miejscu właściwe warunki do rozwoju i doskonale się odnawia. Ozdobą rezerwatu jest również 150-letni drzewostan modrzewia euro</w:t>
      </w:r>
      <w:r w:rsidR="000D713D">
        <w:rPr>
          <w:rFonts w:ascii="Times New Roman" w:hAnsi="Times New Roman" w:cs="Times New Roman"/>
          <w:sz w:val="24"/>
          <w:szCs w:val="24"/>
          <w:shd w:val="clear" w:color="auto" w:fill="FFFFFF"/>
        </w:rPr>
        <w:t>pejskiego. Licznie występują tu </w:t>
      </w:r>
      <w:r w:rsidRPr="00BE6FA1">
        <w:rPr>
          <w:rFonts w:ascii="Times New Roman" w:hAnsi="Times New Roman" w:cs="Times New Roman"/>
          <w:sz w:val="24"/>
          <w:szCs w:val="24"/>
          <w:shd w:val="clear" w:color="auto" w:fill="FFFFFF"/>
        </w:rPr>
        <w:t>także dęby, graby i buki. Krajobraz rezerwatu jest bardzo urozmaicony. Szczególnego piękna dodają potoki płynące w głębokich jarach. Swe wody toczą do przepływającej niedaleko rezerwatu rzeki Husówka. Poznawanie atrakcji tego terenu ułatwia ścieżka przyrodniczo-dydaktyczna.</w:t>
      </w:r>
    </w:p>
    <w:p w:rsidR="000D713D" w:rsidRPr="00BE6FA1" w:rsidRDefault="000D713D" w:rsidP="003A27DA">
      <w:pPr>
        <w:spacing w:line="360" w:lineRule="auto"/>
        <w:ind w:firstLine="708"/>
        <w:jc w:val="both"/>
        <w:rPr>
          <w:rFonts w:ascii="Times New Roman" w:hAnsi="Times New Roman" w:cs="Times New Roman"/>
          <w:sz w:val="24"/>
          <w:szCs w:val="24"/>
          <w:shd w:val="clear" w:color="auto" w:fill="FFFFFF"/>
        </w:rPr>
      </w:pPr>
    </w:p>
    <w:p w:rsidR="00741C82" w:rsidRPr="00BE6FA1" w:rsidRDefault="00E91059" w:rsidP="003A27DA">
      <w:pPr>
        <w:pStyle w:val="Akapitzlist"/>
        <w:spacing w:line="360" w:lineRule="auto"/>
        <w:ind w:left="0"/>
        <w:rPr>
          <w:rFonts w:ascii="Times New Roman" w:hAnsi="Times New Roman" w:cs="Times New Roman"/>
          <w:b/>
          <w:sz w:val="24"/>
          <w:u w:val="single"/>
        </w:rPr>
      </w:pPr>
      <w:r w:rsidRPr="00BE6FA1">
        <w:rPr>
          <w:rFonts w:ascii="Times New Roman" w:hAnsi="Times New Roman" w:cs="Times New Roman"/>
          <w:b/>
          <w:sz w:val="24"/>
          <w:u w:val="single"/>
        </w:rPr>
        <w:lastRenderedPageBreak/>
        <w:t>Obszar Natura 2000 „</w:t>
      </w:r>
      <w:r w:rsidR="00741C82" w:rsidRPr="00BE6FA1">
        <w:rPr>
          <w:rFonts w:ascii="Times New Roman" w:hAnsi="Times New Roman" w:cs="Times New Roman"/>
          <w:b/>
          <w:sz w:val="24"/>
          <w:u w:val="single"/>
        </w:rPr>
        <w:t>Nad Husowem</w:t>
      </w:r>
      <w:r w:rsidRPr="00BE6FA1">
        <w:rPr>
          <w:rFonts w:ascii="Times New Roman" w:hAnsi="Times New Roman" w:cs="Times New Roman"/>
          <w:b/>
          <w:sz w:val="24"/>
          <w:u w:val="single"/>
        </w:rPr>
        <w:t>”</w:t>
      </w:r>
    </w:p>
    <w:p w:rsidR="00741C82" w:rsidRPr="00BE6FA1" w:rsidRDefault="00741C82" w:rsidP="003A27DA">
      <w:pPr>
        <w:spacing w:after="0" w:line="360" w:lineRule="auto"/>
        <w:rPr>
          <w:rFonts w:ascii="Times New Roman" w:hAnsi="Times New Roman" w:cs="Times New Roman"/>
          <w:sz w:val="24"/>
          <w:szCs w:val="24"/>
        </w:rPr>
      </w:pPr>
      <w:r w:rsidRPr="00BE6FA1">
        <w:rPr>
          <w:rStyle w:val="gruby"/>
          <w:rFonts w:ascii="Times New Roman" w:hAnsi="Times New Roman" w:cs="Times New Roman"/>
          <w:bCs/>
          <w:sz w:val="24"/>
          <w:szCs w:val="24"/>
          <w:shd w:val="clear" w:color="auto" w:fill="FFFFFF"/>
        </w:rPr>
        <w:t>Powierzchnia</w:t>
      </w:r>
      <w:r w:rsidRPr="00BE6FA1">
        <w:rPr>
          <w:rStyle w:val="apple-converted-space"/>
          <w:rFonts w:ascii="Times New Roman" w:hAnsi="Times New Roman" w:cs="Times New Roman"/>
          <w:sz w:val="24"/>
          <w:szCs w:val="24"/>
          <w:shd w:val="clear" w:color="auto" w:fill="FFFFFF"/>
        </w:rPr>
        <w:t> </w:t>
      </w:r>
      <w:r w:rsidRPr="00BE6FA1">
        <w:rPr>
          <w:rFonts w:ascii="Times New Roman" w:hAnsi="Times New Roman" w:cs="Times New Roman"/>
          <w:sz w:val="24"/>
          <w:szCs w:val="24"/>
          <w:shd w:val="clear" w:color="auto" w:fill="FFFFFF"/>
        </w:rPr>
        <w:t>: 3347.7 ha</w:t>
      </w:r>
      <w:r w:rsidRPr="00BE6FA1">
        <w:rPr>
          <w:rFonts w:ascii="Times New Roman" w:hAnsi="Times New Roman" w:cs="Times New Roman"/>
          <w:sz w:val="24"/>
          <w:szCs w:val="24"/>
        </w:rPr>
        <w:br/>
      </w:r>
      <w:r w:rsidRPr="00BE6FA1">
        <w:rPr>
          <w:rStyle w:val="gruby"/>
          <w:rFonts w:ascii="Times New Roman" w:hAnsi="Times New Roman" w:cs="Times New Roman"/>
          <w:bCs/>
          <w:sz w:val="24"/>
          <w:szCs w:val="24"/>
          <w:shd w:val="clear" w:color="auto" w:fill="FFFFFF"/>
        </w:rPr>
        <w:t>Kod obszaru</w:t>
      </w:r>
      <w:r w:rsidRPr="00BE6FA1">
        <w:rPr>
          <w:rStyle w:val="apple-converted-space"/>
          <w:rFonts w:ascii="Times New Roman" w:hAnsi="Times New Roman" w:cs="Times New Roman"/>
          <w:sz w:val="24"/>
          <w:szCs w:val="24"/>
          <w:shd w:val="clear" w:color="auto" w:fill="FFFFFF"/>
        </w:rPr>
        <w:t> </w:t>
      </w:r>
      <w:r w:rsidRPr="00BE6FA1">
        <w:rPr>
          <w:rFonts w:ascii="Times New Roman" w:hAnsi="Times New Roman" w:cs="Times New Roman"/>
          <w:sz w:val="24"/>
          <w:szCs w:val="24"/>
          <w:shd w:val="clear" w:color="auto" w:fill="FFFFFF"/>
        </w:rPr>
        <w:t>: PLH18_15</w:t>
      </w:r>
      <w:r w:rsidRPr="00BE6FA1">
        <w:rPr>
          <w:rFonts w:ascii="Times New Roman" w:hAnsi="Times New Roman" w:cs="Times New Roman"/>
          <w:sz w:val="24"/>
          <w:szCs w:val="24"/>
        </w:rPr>
        <w:br/>
      </w:r>
      <w:r w:rsidRPr="00BE6FA1">
        <w:rPr>
          <w:rStyle w:val="gruby"/>
          <w:rFonts w:ascii="Times New Roman" w:hAnsi="Times New Roman" w:cs="Times New Roman"/>
          <w:bCs/>
          <w:sz w:val="24"/>
          <w:szCs w:val="24"/>
          <w:shd w:val="clear" w:color="auto" w:fill="FFFFFF"/>
        </w:rPr>
        <w:t>Forma ochrony w ramach sieci Natura 2000:</w:t>
      </w:r>
      <w:r w:rsidRPr="00BE6FA1">
        <w:rPr>
          <w:rStyle w:val="apple-converted-space"/>
          <w:rFonts w:ascii="Times New Roman" w:hAnsi="Times New Roman" w:cs="Times New Roman"/>
          <w:sz w:val="24"/>
          <w:szCs w:val="24"/>
          <w:shd w:val="clear" w:color="auto" w:fill="FFFFFF"/>
        </w:rPr>
        <w:t> </w:t>
      </w:r>
      <w:r w:rsidRPr="00BE6FA1">
        <w:rPr>
          <w:rFonts w:ascii="Times New Roman" w:hAnsi="Times New Roman" w:cs="Times New Roman"/>
          <w:sz w:val="24"/>
          <w:szCs w:val="24"/>
        </w:rPr>
        <w:t>specjalny obszar ochrony siedlisk (Dyrektywa Siedliskowa)</w:t>
      </w:r>
    </w:p>
    <w:p w:rsidR="00E91059" w:rsidRPr="00BE6FA1" w:rsidRDefault="00E91059" w:rsidP="003A27DA">
      <w:pPr>
        <w:pStyle w:val="NormalnyWeb"/>
        <w:shd w:val="clear" w:color="auto" w:fill="FFFFFF"/>
        <w:spacing w:before="0" w:beforeAutospacing="0" w:after="0" w:afterAutospacing="0" w:line="360" w:lineRule="auto"/>
        <w:ind w:firstLine="708"/>
        <w:jc w:val="both"/>
        <w:rPr>
          <w:rFonts w:eastAsiaTheme="minorHAnsi"/>
          <w:lang w:eastAsia="en-US"/>
        </w:rPr>
      </w:pPr>
    </w:p>
    <w:p w:rsidR="00E25A13" w:rsidRPr="00BE6FA1" w:rsidRDefault="00741C82" w:rsidP="003A27DA">
      <w:pPr>
        <w:pStyle w:val="NormalnyWeb"/>
        <w:shd w:val="clear" w:color="auto" w:fill="FFFFFF"/>
        <w:spacing w:before="0" w:beforeAutospacing="0" w:after="0" w:afterAutospacing="0" w:line="360" w:lineRule="auto"/>
        <w:ind w:firstLine="708"/>
        <w:jc w:val="both"/>
        <w:rPr>
          <w:rStyle w:val="Uwydatnienie"/>
          <w:i w:val="0"/>
          <w:iCs w:val="0"/>
        </w:rPr>
      </w:pPr>
      <w:r w:rsidRPr="00BE6FA1">
        <w:t xml:space="preserve">Ostoja obejmuje fragment lasów, śródleśnych stawów i łąk. W podłożu występują utwory fliszu karpackiego i gleby brunatne. Lasy zajmują ponad 95% powierzchni, </w:t>
      </w:r>
      <w:r w:rsidRPr="00BE6FA1">
        <w:br/>
        <w:t xml:space="preserve">w tym lasy iglaste 2%, lasy liściaste 55%, a lasy mieszane 42%. Siedliska rolnicze zajmują tylko 1%. W obszarze kontynentalnym niewiele jest tak dobrze zachowanych żyznych buczyn karpackich i tak dobrze zachowanych grądów, z ponad 20 gatunkami roślin chronionych. </w:t>
      </w:r>
      <w:r w:rsidR="00CA6247" w:rsidRPr="00BE6FA1">
        <w:br/>
      </w:r>
      <w:r w:rsidRPr="00BE6FA1">
        <w:t>W obszarze stwierdzono występowanie jednego z krańcowych stanowisk kłokoczki południowej, przy północne</w:t>
      </w:r>
      <w:r w:rsidR="00CA6247" w:rsidRPr="00BE6FA1">
        <w:t xml:space="preserve">j granicy zasięgu tego gatunku. </w:t>
      </w:r>
      <w:r w:rsidRPr="00BE6FA1">
        <w:t xml:space="preserve">Fragmenty łąk przylegające do lasu są miejscem </w:t>
      </w:r>
      <w:r w:rsidR="00CA6247" w:rsidRPr="00BE6FA1">
        <w:t xml:space="preserve">występowania 3 gatunków motyli </w:t>
      </w:r>
      <w:r w:rsidRPr="00BE6FA1">
        <w:t xml:space="preserve">z Załącznika II Dyrektywy Siedliskowej. Ponadto na tym obszarze stwierdzono obecność chrząszczy (biegacz urozmaicony i zgniotek cynobrowy) oraz płazów (kumaka górskiego i traszki karpackiej i traszki grzebieniastej) </w:t>
      </w:r>
      <w:r w:rsidR="00CA6247" w:rsidRPr="00BE6FA1">
        <w:br/>
      </w:r>
      <w:r w:rsidRPr="00BE6FA1">
        <w:t>z tego samego załącznika.</w:t>
      </w:r>
    </w:p>
    <w:p w:rsidR="00741C82" w:rsidRPr="00BE6FA1" w:rsidRDefault="00741C82" w:rsidP="003A27DA">
      <w:pPr>
        <w:pStyle w:val="NormalnyWeb"/>
        <w:shd w:val="clear" w:color="auto" w:fill="FFFFFF"/>
        <w:spacing w:before="0" w:beforeAutospacing="0" w:after="0" w:afterAutospacing="0" w:line="360" w:lineRule="auto"/>
        <w:ind w:firstLine="708"/>
        <w:jc w:val="both"/>
      </w:pPr>
      <w:r w:rsidRPr="00BE6FA1">
        <w:t>Obszar leży na pogórzu Dynowskim i można tam dojechać 8 km z drogą Łańcuta – Dynów, na południe, do miejscowości Albigowa, a następnie skręcić w lewo, w drogę lokalną, do Husowa, również 8 km.</w:t>
      </w:r>
    </w:p>
    <w:p w:rsidR="00741C82" w:rsidRPr="00BE6FA1" w:rsidRDefault="00741C82" w:rsidP="003A27DA">
      <w:pPr>
        <w:pStyle w:val="NormalnyWeb"/>
        <w:shd w:val="clear" w:color="auto" w:fill="FFFFFF"/>
        <w:spacing w:before="0" w:beforeAutospacing="0" w:after="0" w:afterAutospacing="0" w:line="360" w:lineRule="auto"/>
        <w:ind w:firstLine="708"/>
        <w:jc w:val="both"/>
      </w:pPr>
      <w:r w:rsidRPr="00BE6FA1">
        <w:t xml:space="preserve">Specyficzne walory przyrodnicze, a także piękne panoramy rozciągające się </w:t>
      </w:r>
      <w:r w:rsidR="00E91059" w:rsidRPr="00BE6FA1">
        <w:br/>
      </w:r>
      <w:r w:rsidRPr="00BE6FA1">
        <w:t>z miejsc widokowych stanowią o atrakcyjności ostoi i sprzyjają rozwojowi ekoturystyki.</w:t>
      </w:r>
      <w:r w:rsidRPr="00BE6FA1">
        <w:br/>
        <w:t>Specyficzne walory przyrodnicze stanowią o atrakcyjności ostoi (szczególnie obszarów chronionych) i sprzyjają rozwojowi ekoturystyki.</w:t>
      </w:r>
    </w:p>
    <w:p w:rsidR="00E91059" w:rsidRPr="00BE6FA1" w:rsidRDefault="00741C82" w:rsidP="003A27DA">
      <w:pPr>
        <w:pStyle w:val="NormalnyWeb"/>
        <w:shd w:val="clear" w:color="auto" w:fill="FFFFFF"/>
        <w:spacing w:before="0" w:beforeAutospacing="0" w:after="0" w:afterAutospacing="0" w:line="360" w:lineRule="auto"/>
        <w:ind w:firstLine="708"/>
        <w:jc w:val="both"/>
      </w:pPr>
      <w:r w:rsidRPr="00BE6FA1">
        <w:t>Turystyka krajoznawcza: Do atrakcji turystycznych Husowa należą Chałupa Jana Raka – poety ludowego, park z ruinami oficyny dworskiej, kaplica cmentarna, czy zabytkowe kapliczki przydrożne, których we wsi jest 40. Zwiedzając okolice nie można pominąć najcenniejszego zabytku - zespołu pałacowego z 1629</w:t>
      </w:r>
      <w:r w:rsidR="00E91059" w:rsidRPr="00BE6FA1">
        <w:t>- 40 roku w pobliskim Łańcucie.</w:t>
      </w:r>
    </w:p>
    <w:p w:rsidR="00741C82" w:rsidRPr="00BE6FA1" w:rsidRDefault="00741C82" w:rsidP="003A27DA">
      <w:pPr>
        <w:pStyle w:val="NormalnyWeb"/>
        <w:shd w:val="clear" w:color="auto" w:fill="FFFFFF"/>
        <w:spacing w:before="0" w:beforeAutospacing="0" w:after="0" w:afterAutospacing="0" w:line="360" w:lineRule="auto"/>
        <w:ind w:firstLine="708"/>
        <w:jc w:val="both"/>
      </w:pPr>
      <w:r w:rsidRPr="00BE6FA1">
        <w:t xml:space="preserve">Turystyka wypoczynkowa: obszar oferuje wszelkie formy wypoczynku związane </w:t>
      </w:r>
      <w:r w:rsidR="00E91059" w:rsidRPr="00BE6FA1">
        <w:br/>
      </w:r>
      <w:r w:rsidRPr="00BE6FA1">
        <w:t>z zasobami leśnymi.</w:t>
      </w:r>
      <w:r w:rsidRPr="00BE6FA1">
        <w:rPr>
          <w:rStyle w:val="apple-converted-space"/>
          <w:rFonts w:eastAsiaTheme="majorEastAsia"/>
        </w:rPr>
        <w:t> </w:t>
      </w:r>
    </w:p>
    <w:p w:rsidR="00741C82" w:rsidRPr="00BE6FA1" w:rsidRDefault="00741C82" w:rsidP="003A27DA">
      <w:pPr>
        <w:pStyle w:val="NormalnyWeb"/>
        <w:shd w:val="clear" w:color="auto" w:fill="FFFFFF"/>
        <w:spacing w:before="0" w:beforeAutospacing="0" w:after="0" w:afterAutospacing="0" w:line="360" w:lineRule="auto"/>
        <w:ind w:firstLine="708"/>
        <w:jc w:val="both"/>
      </w:pPr>
      <w:r w:rsidRPr="00BE6FA1">
        <w:t>Turystyka kwalifikowana: wyznaczono trasę rowerową „Szlakiem przydrożnych krzyży i kapliczek w Husowie”www.trasa.husow.pl</w:t>
      </w:r>
    </w:p>
    <w:p w:rsidR="00741C82" w:rsidRPr="00BE6FA1" w:rsidRDefault="00741C82" w:rsidP="003A27DA">
      <w:pPr>
        <w:pStyle w:val="NormalnyWeb"/>
        <w:shd w:val="clear" w:color="auto" w:fill="FFFFFF"/>
        <w:spacing w:before="0" w:beforeAutospacing="0" w:after="0" w:afterAutospacing="0" w:line="360" w:lineRule="auto"/>
        <w:ind w:firstLine="708"/>
        <w:jc w:val="both"/>
      </w:pPr>
      <w:r w:rsidRPr="00BE6FA1">
        <w:lastRenderedPageBreak/>
        <w:t>Turyści korzystają z bazy hotelowej w Łańcucie oraz z usług gospodarstw agroturystycznych, niestety poza Husowem.</w:t>
      </w:r>
    </w:p>
    <w:p w:rsidR="00E91059" w:rsidRPr="00BE6FA1" w:rsidRDefault="00E91059" w:rsidP="003A27DA">
      <w:pPr>
        <w:pStyle w:val="NormalnyWeb"/>
        <w:shd w:val="clear" w:color="auto" w:fill="FFFFFF"/>
        <w:spacing w:before="0" w:beforeAutospacing="0" w:after="0" w:afterAutospacing="0" w:line="360" w:lineRule="auto"/>
        <w:ind w:firstLine="708"/>
        <w:jc w:val="both"/>
      </w:pPr>
    </w:p>
    <w:p w:rsidR="00741C82" w:rsidRPr="00BE6FA1" w:rsidRDefault="00E91059" w:rsidP="003A27DA">
      <w:pPr>
        <w:spacing w:after="0" w:line="360" w:lineRule="auto"/>
        <w:jc w:val="both"/>
        <w:rPr>
          <w:rFonts w:ascii="Times New Roman" w:hAnsi="Times New Roman" w:cs="Times New Roman"/>
          <w:sz w:val="24"/>
          <w:szCs w:val="24"/>
        </w:rPr>
      </w:pPr>
      <w:r w:rsidRPr="00BE6FA1">
        <w:rPr>
          <w:rStyle w:val="gruby"/>
          <w:rFonts w:ascii="Times New Roman" w:hAnsi="Times New Roman" w:cs="Times New Roman"/>
          <w:bCs/>
          <w:sz w:val="24"/>
          <w:szCs w:val="24"/>
          <w:shd w:val="clear" w:color="auto" w:fill="FFFFFF"/>
        </w:rPr>
        <w:t>F</w:t>
      </w:r>
      <w:r w:rsidR="00741C82" w:rsidRPr="00BE6FA1">
        <w:rPr>
          <w:rStyle w:val="gruby"/>
          <w:rFonts w:ascii="Times New Roman" w:hAnsi="Times New Roman" w:cs="Times New Roman"/>
          <w:bCs/>
          <w:sz w:val="24"/>
          <w:szCs w:val="24"/>
          <w:shd w:val="clear" w:color="auto" w:fill="FFFFFF"/>
        </w:rPr>
        <w:t>ormy ochrony przyrody</w:t>
      </w:r>
      <w:r w:rsidR="00E25A13" w:rsidRPr="00BE6FA1">
        <w:rPr>
          <w:rStyle w:val="gruby"/>
          <w:rFonts w:ascii="Times New Roman" w:hAnsi="Times New Roman" w:cs="Times New Roman"/>
          <w:bCs/>
          <w:sz w:val="24"/>
          <w:szCs w:val="24"/>
          <w:shd w:val="clear" w:color="auto" w:fill="FFFFFF"/>
        </w:rPr>
        <w:t>:</w:t>
      </w:r>
    </w:p>
    <w:p w:rsidR="00DA400F" w:rsidRPr="00BE6FA1" w:rsidRDefault="00741C82" w:rsidP="009A7AFF">
      <w:pPr>
        <w:pStyle w:val="Akapitzlist"/>
        <w:numPr>
          <w:ilvl w:val="0"/>
          <w:numId w:val="12"/>
        </w:numPr>
        <w:shd w:val="clear" w:color="auto" w:fill="FFFFFF"/>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Husówka (72 ha; 1995) koło Kańczugi [</w:t>
      </w:r>
      <w:r w:rsidRPr="00BE6FA1">
        <w:rPr>
          <w:rStyle w:val="apple-converted-space"/>
          <w:rFonts w:ascii="Times New Roman" w:hAnsi="Times New Roman" w:cs="Times New Roman"/>
          <w:sz w:val="24"/>
          <w:szCs w:val="24"/>
        </w:rPr>
        <w:t> </w:t>
      </w:r>
      <w:r w:rsidRPr="00BE6FA1">
        <w:rPr>
          <w:rFonts w:ascii="Times New Roman" w:hAnsi="Times New Roman" w:cs="Times New Roman"/>
          <w:i/>
          <w:iCs/>
          <w:sz w:val="24"/>
          <w:szCs w:val="24"/>
        </w:rPr>
        <w:t>rezerwat przyrody</w:t>
      </w:r>
      <w:r w:rsidRPr="00BE6FA1">
        <w:rPr>
          <w:rStyle w:val="apple-converted-space"/>
          <w:rFonts w:ascii="Times New Roman" w:hAnsi="Times New Roman" w:cs="Times New Roman"/>
          <w:sz w:val="24"/>
          <w:szCs w:val="24"/>
        </w:rPr>
        <w:t> </w:t>
      </w:r>
      <w:r w:rsidRPr="00BE6FA1">
        <w:rPr>
          <w:rFonts w:ascii="Times New Roman" w:hAnsi="Times New Roman" w:cs="Times New Roman"/>
          <w:sz w:val="24"/>
          <w:szCs w:val="24"/>
        </w:rPr>
        <w:t>],</w:t>
      </w:r>
      <w:r w:rsidRPr="00BE6FA1">
        <w:rPr>
          <w:rStyle w:val="apple-converted-space"/>
          <w:rFonts w:ascii="Times New Roman" w:hAnsi="Times New Roman" w:cs="Times New Roman"/>
          <w:sz w:val="24"/>
          <w:szCs w:val="24"/>
        </w:rPr>
        <w:t> </w:t>
      </w:r>
    </w:p>
    <w:p w:rsidR="00741C82" w:rsidRPr="00BE6FA1" w:rsidRDefault="00741C82" w:rsidP="009A7AFF">
      <w:pPr>
        <w:pStyle w:val="Akapitzlist"/>
        <w:numPr>
          <w:ilvl w:val="0"/>
          <w:numId w:val="12"/>
        </w:numPr>
        <w:shd w:val="clear" w:color="auto" w:fill="FFFFFF"/>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Hyżnieńsko-Gwoźnicki Obszar Chronionego Krajobrazu [</w:t>
      </w:r>
      <w:r w:rsidRPr="00BE6FA1">
        <w:rPr>
          <w:rStyle w:val="apple-converted-space"/>
          <w:rFonts w:ascii="Times New Roman" w:hAnsi="Times New Roman" w:cs="Times New Roman"/>
          <w:sz w:val="24"/>
          <w:szCs w:val="24"/>
        </w:rPr>
        <w:t> </w:t>
      </w:r>
      <w:r w:rsidRPr="00BE6FA1">
        <w:rPr>
          <w:rFonts w:ascii="Times New Roman" w:hAnsi="Times New Roman" w:cs="Times New Roman"/>
          <w:i/>
          <w:iCs/>
          <w:sz w:val="24"/>
          <w:szCs w:val="24"/>
        </w:rPr>
        <w:t>obszar chronionego krajobrazu</w:t>
      </w:r>
      <w:r w:rsidRPr="00BE6FA1">
        <w:rPr>
          <w:rStyle w:val="apple-converted-space"/>
          <w:rFonts w:ascii="Times New Roman" w:hAnsi="Times New Roman" w:cs="Times New Roman"/>
          <w:sz w:val="24"/>
          <w:szCs w:val="24"/>
        </w:rPr>
        <w:t> </w:t>
      </w:r>
      <w:r w:rsidR="00E25A13" w:rsidRPr="00BE6FA1">
        <w:rPr>
          <w:rFonts w:ascii="Times New Roman" w:hAnsi="Times New Roman" w:cs="Times New Roman"/>
          <w:sz w:val="24"/>
          <w:szCs w:val="24"/>
        </w:rPr>
        <w:t>].</w:t>
      </w:r>
    </w:p>
    <w:p w:rsidR="00741C82" w:rsidRPr="00BE6FA1" w:rsidRDefault="00741C82" w:rsidP="003A27DA">
      <w:pPr>
        <w:spacing w:after="0" w:line="360" w:lineRule="auto"/>
        <w:jc w:val="both"/>
        <w:rPr>
          <w:rFonts w:ascii="Times New Roman" w:hAnsi="Times New Roman" w:cs="Times New Roman"/>
          <w:sz w:val="24"/>
          <w:szCs w:val="24"/>
        </w:rPr>
      </w:pPr>
      <w:r w:rsidRPr="00BE6FA1">
        <w:rPr>
          <w:rStyle w:val="gruby"/>
          <w:rFonts w:ascii="Times New Roman" w:hAnsi="Times New Roman" w:cs="Times New Roman"/>
          <w:bCs/>
          <w:sz w:val="24"/>
          <w:szCs w:val="24"/>
          <w:shd w:val="clear" w:color="auto" w:fill="FFFFFF"/>
        </w:rPr>
        <w:t>Siedliska</w:t>
      </w:r>
    </w:p>
    <w:p w:rsidR="004966C8" w:rsidRPr="00BE6FA1" w:rsidRDefault="00741C82" w:rsidP="009A7AFF">
      <w:pPr>
        <w:pStyle w:val="Akapitzlist"/>
        <w:numPr>
          <w:ilvl w:val="0"/>
          <w:numId w:val="13"/>
        </w:numPr>
        <w:shd w:val="clear" w:color="auto" w:fill="FFFFFF"/>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żyzne buczyny (Dentarioglandulosae-Fagenion, Galio odorati-Fagenion),</w:t>
      </w:r>
      <w:r w:rsidRPr="00BE6FA1">
        <w:rPr>
          <w:rStyle w:val="apple-converted-space"/>
          <w:rFonts w:ascii="Times New Roman" w:hAnsi="Times New Roman" w:cs="Times New Roman"/>
          <w:sz w:val="24"/>
          <w:szCs w:val="24"/>
        </w:rPr>
        <w:t> </w:t>
      </w:r>
    </w:p>
    <w:p w:rsidR="00741C82" w:rsidRPr="00BE6FA1" w:rsidRDefault="00741C82" w:rsidP="009A7AFF">
      <w:pPr>
        <w:pStyle w:val="Akapitzlist"/>
        <w:numPr>
          <w:ilvl w:val="0"/>
          <w:numId w:val="13"/>
        </w:numPr>
        <w:shd w:val="clear" w:color="auto" w:fill="FFFFFF"/>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grąd środkowoeuropejski i subkontynentalny (Gali</w:t>
      </w:r>
      <w:r w:rsidR="00E25A13" w:rsidRPr="00BE6FA1">
        <w:rPr>
          <w:rFonts w:ascii="Times New Roman" w:hAnsi="Times New Roman" w:cs="Times New Roman"/>
          <w:sz w:val="24"/>
          <w:szCs w:val="24"/>
        </w:rPr>
        <w:t>o-Carpinetum, Tilio-Carpinetum).</w:t>
      </w:r>
    </w:p>
    <w:p w:rsidR="00741C82" w:rsidRPr="00BE6FA1" w:rsidRDefault="00741C82" w:rsidP="003A27DA">
      <w:pPr>
        <w:spacing w:after="0" w:line="360" w:lineRule="auto"/>
        <w:jc w:val="both"/>
        <w:rPr>
          <w:rFonts w:ascii="Times New Roman" w:hAnsi="Times New Roman" w:cs="Times New Roman"/>
          <w:sz w:val="24"/>
          <w:szCs w:val="24"/>
        </w:rPr>
      </w:pPr>
      <w:r w:rsidRPr="00BE6FA1">
        <w:rPr>
          <w:rStyle w:val="gruby"/>
          <w:rFonts w:ascii="Times New Roman" w:hAnsi="Times New Roman" w:cs="Times New Roman"/>
          <w:bCs/>
          <w:sz w:val="24"/>
          <w:szCs w:val="24"/>
          <w:shd w:val="clear" w:color="auto" w:fill="FFFFFF"/>
        </w:rPr>
        <w:t xml:space="preserve">Ważne dla Europy gatunki zwierząt (z Zał. II Dyr. siedliskawej i z Zał. I Dyr. Ptasiej, </w:t>
      </w:r>
      <w:r w:rsidR="00E25A13" w:rsidRPr="00BE6FA1">
        <w:rPr>
          <w:rStyle w:val="gruby"/>
          <w:rFonts w:ascii="Times New Roman" w:hAnsi="Times New Roman" w:cs="Times New Roman"/>
          <w:bCs/>
          <w:sz w:val="24"/>
          <w:szCs w:val="24"/>
          <w:shd w:val="clear" w:color="auto" w:fill="FFFFFF"/>
        </w:rPr>
        <w:br/>
      </w:r>
      <w:r w:rsidRPr="00BE6FA1">
        <w:rPr>
          <w:rStyle w:val="gruby"/>
          <w:rFonts w:ascii="Times New Roman" w:hAnsi="Times New Roman" w:cs="Times New Roman"/>
          <w:bCs/>
          <w:sz w:val="24"/>
          <w:szCs w:val="24"/>
          <w:shd w:val="clear" w:color="auto" w:fill="FFFFFF"/>
        </w:rPr>
        <w:t>w tym gatunki priorytetowe):</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biegacz urozmaicony     [</w:t>
      </w:r>
      <w:r w:rsidRPr="00BE6FA1">
        <w:rPr>
          <w:rFonts w:ascii="Times New Roman" w:hAnsi="Times New Roman" w:cs="Times New Roman"/>
          <w:i/>
          <w:iCs/>
          <w:sz w:val="24"/>
          <w:szCs w:val="24"/>
        </w:rPr>
        <w:t xml:space="preserve">bezkręgowiec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bóbr europejski     [</w:t>
      </w:r>
      <w:r w:rsidRPr="00BE6FA1">
        <w:rPr>
          <w:rFonts w:ascii="Times New Roman" w:hAnsi="Times New Roman" w:cs="Times New Roman"/>
          <w:i/>
          <w:iCs/>
          <w:sz w:val="24"/>
          <w:szCs w:val="24"/>
        </w:rPr>
        <w:t>ssak</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Callimorphaquadripunctaria*     [</w:t>
      </w:r>
      <w:r w:rsidRPr="00BE6FA1">
        <w:rPr>
          <w:rFonts w:ascii="Times New Roman" w:hAnsi="Times New Roman" w:cs="Times New Roman"/>
          <w:i/>
          <w:iCs/>
          <w:sz w:val="24"/>
          <w:szCs w:val="24"/>
        </w:rPr>
        <w:t xml:space="preserve">bezkręgowiec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czerwończyk nieparek     [</w:t>
      </w:r>
      <w:r w:rsidRPr="00BE6FA1">
        <w:rPr>
          <w:rFonts w:ascii="Times New Roman" w:hAnsi="Times New Roman" w:cs="Times New Roman"/>
          <w:i/>
          <w:iCs/>
          <w:sz w:val="24"/>
          <w:szCs w:val="24"/>
        </w:rPr>
        <w:t xml:space="preserve">bezkręgowiec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kumak górski     [</w:t>
      </w:r>
      <w:r w:rsidRPr="00BE6FA1">
        <w:rPr>
          <w:rFonts w:ascii="Times New Roman" w:hAnsi="Times New Roman" w:cs="Times New Roman"/>
          <w:i/>
          <w:iCs/>
          <w:sz w:val="24"/>
          <w:szCs w:val="24"/>
        </w:rPr>
        <w:t xml:space="preserve">płaz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modraszek nausitous     [</w:t>
      </w:r>
      <w:r w:rsidRPr="00BE6FA1">
        <w:rPr>
          <w:rFonts w:ascii="Times New Roman" w:hAnsi="Times New Roman" w:cs="Times New Roman"/>
          <w:i/>
          <w:iCs/>
          <w:sz w:val="24"/>
          <w:szCs w:val="24"/>
        </w:rPr>
        <w:t xml:space="preserve">bezkręgowiec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modraszek telejus     [</w:t>
      </w:r>
      <w:r w:rsidRPr="00BE6FA1">
        <w:rPr>
          <w:rFonts w:ascii="Times New Roman" w:hAnsi="Times New Roman" w:cs="Times New Roman"/>
          <w:i/>
          <w:iCs/>
          <w:sz w:val="24"/>
          <w:szCs w:val="24"/>
        </w:rPr>
        <w:t xml:space="preserve">bezkręgowiec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traszka grzebieniasta     [</w:t>
      </w:r>
      <w:r w:rsidRPr="00BE6FA1">
        <w:rPr>
          <w:rFonts w:ascii="Times New Roman" w:hAnsi="Times New Roman" w:cs="Times New Roman"/>
          <w:i/>
          <w:iCs/>
          <w:sz w:val="24"/>
          <w:szCs w:val="24"/>
        </w:rPr>
        <w:t xml:space="preserve">płaz </w:t>
      </w:r>
      <w:r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traszka karpacka     [</w:t>
      </w:r>
      <w:r w:rsidRPr="00BE6FA1">
        <w:rPr>
          <w:rFonts w:ascii="Times New Roman" w:hAnsi="Times New Roman" w:cs="Times New Roman"/>
          <w:i/>
          <w:iCs/>
          <w:sz w:val="24"/>
          <w:szCs w:val="24"/>
        </w:rPr>
        <w:t xml:space="preserve">płaz </w:t>
      </w:r>
      <w:r w:rsidR="004966C8" w:rsidRPr="00BE6FA1">
        <w:rPr>
          <w:rFonts w:ascii="Times New Roman" w:hAnsi="Times New Roman" w:cs="Times New Roman"/>
          <w:sz w:val="24"/>
          <w:szCs w:val="24"/>
        </w:rPr>
        <w:t>]</w:t>
      </w:r>
    </w:p>
    <w:p w:rsidR="004966C8"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wydra     [</w:t>
      </w:r>
      <w:r w:rsidRPr="00BE6FA1">
        <w:rPr>
          <w:rFonts w:ascii="Times New Roman" w:hAnsi="Times New Roman" w:cs="Times New Roman"/>
          <w:i/>
          <w:iCs/>
          <w:sz w:val="24"/>
          <w:szCs w:val="24"/>
        </w:rPr>
        <w:t>ssak</w:t>
      </w:r>
      <w:r w:rsidR="004966C8" w:rsidRPr="00BE6FA1">
        <w:rPr>
          <w:rFonts w:ascii="Times New Roman" w:hAnsi="Times New Roman" w:cs="Times New Roman"/>
          <w:sz w:val="24"/>
          <w:szCs w:val="24"/>
        </w:rPr>
        <w:t>]</w:t>
      </w:r>
    </w:p>
    <w:p w:rsidR="00741C82" w:rsidRPr="00BE6FA1" w:rsidRDefault="00741C82" w:rsidP="009A7AFF">
      <w:pPr>
        <w:pStyle w:val="Akapitzlist"/>
        <w:numPr>
          <w:ilvl w:val="0"/>
          <w:numId w:val="14"/>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zgniotek cynobrowy     [</w:t>
      </w:r>
      <w:r w:rsidRPr="00BE6FA1">
        <w:rPr>
          <w:rFonts w:ascii="Times New Roman" w:hAnsi="Times New Roman" w:cs="Times New Roman"/>
          <w:i/>
          <w:iCs/>
          <w:sz w:val="24"/>
          <w:szCs w:val="24"/>
        </w:rPr>
        <w:t xml:space="preserve">bezkręgowiec </w:t>
      </w:r>
      <w:r w:rsidRPr="00BE6FA1">
        <w:rPr>
          <w:rFonts w:ascii="Times New Roman" w:hAnsi="Times New Roman" w:cs="Times New Roman"/>
          <w:sz w:val="24"/>
          <w:szCs w:val="24"/>
        </w:rPr>
        <w:t>]</w:t>
      </w:r>
    </w:p>
    <w:p w:rsidR="002C7091" w:rsidRPr="00BE6FA1" w:rsidRDefault="002C7091" w:rsidP="003A27DA">
      <w:pPr>
        <w:shd w:val="clear" w:color="auto" w:fill="FFFFFF"/>
        <w:spacing w:after="0" w:line="360" w:lineRule="auto"/>
        <w:rPr>
          <w:rFonts w:ascii="Times New Roman" w:hAnsi="Times New Roman" w:cs="Times New Roman"/>
          <w:sz w:val="24"/>
          <w:szCs w:val="24"/>
        </w:rPr>
      </w:pPr>
    </w:p>
    <w:p w:rsidR="002C7091" w:rsidRPr="00BE6FA1" w:rsidRDefault="002C7091" w:rsidP="003A27DA">
      <w:p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rPr>
        <w:t>Na terenie Miasta i Gminy Kańczuga znajdują się również 2 pomniki przyrody:</w:t>
      </w:r>
    </w:p>
    <w:p w:rsidR="002C7091" w:rsidRPr="00BE6FA1" w:rsidRDefault="002C7091" w:rsidP="009A7AFF">
      <w:pPr>
        <w:pStyle w:val="Akapitzlist"/>
        <w:numPr>
          <w:ilvl w:val="0"/>
          <w:numId w:val="15"/>
        </w:numPr>
        <w:shd w:val="clear" w:color="auto" w:fill="FFFFFF"/>
        <w:spacing w:after="0" w:line="360" w:lineRule="auto"/>
        <w:rPr>
          <w:rFonts w:ascii="Times New Roman" w:hAnsi="Times New Roman" w:cs="Times New Roman"/>
          <w:sz w:val="24"/>
          <w:szCs w:val="24"/>
          <w:shd w:val="clear" w:color="auto" w:fill="FFFFFF"/>
        </w:rPr>
      </w:pPr>
      <w:r w:rsidRPr="00BE6FA1">
        <w:rPr>
          <w:rFonts w:ascii="Times New Roman" w:hAnsi="Times New Roman" w:cs="Times New Roman"/>
          <w:sz w:val="24"/>
          <w:szCs w:val="24"/>
          <w:shd w:val="clear" w:color="auto" w:fill="FFFFFF"/>
        </w:rPr>
        <w:t>Aleja lipowa złożona z 58 drzew, wys. drzew od 12 do 18 m w wieku 60 do 80 lat</w:t>
      </w:r>
    </w:p>
    <w:p w:rsidR="002C7091" w:rsidRPr="00BE6FA1" w:rsidRDefault="002C7091" w:rsidP="009A7AFF">
      <w:pPr>
        <w:pStyle w:val="Akapitzlist"/>
        <w:numPr>
          <w:ilvl w:val="0"/>
          <w:numId w:val="15"/>
        </w:numPr>
        <w:shd w:val="clear" w:color="auto" w:fill="FFFFFF"/>
        <w:spacing w:after="0" w:line="360" w:lineRule="auto"/>
        <w:rPr>
          <w:rFonts w:ascii="Times New Roman" w:hAnsi="Times New Roman" w:cs="Times New Roman"/>
          <w:sz w:val="24"/>
          <w:szCs w:val="24"/>
        </w:rPr>
      </w:pPr>
      <w:r w:rsidRPr="00BE6FA1">
        <w:rPr>
          <w:rFonts w:ascii="Times New Roman" w:hAnsi="Times New Roman" w:cs="Times New Roman"/>
          <w:sz w:val="24"/>
          <w:szCs w:val="24"/>
          <w:shd w:val="clear" w:color="auto" w:fill="FFFFFF"/>
        </w:rPr>
        <w:t>Pojedyncze drzewo, wiek ok. 200 lat</w:t>
      </w:r>
    </w:p>
    <w:p w:rsidR="003D2452" w:rsidRPr="00BE6FA1" w:rsidRDefault="003D2452" w:rsidP="003A27DA">
      <w:pPr>
        <w:shd w:val="clear" w:color="auto" w:fill="FFFFFF"/>
        <w:spacing w:line="360" w:lineRule="auto"/>
        <w:rPr>
          <w:rFonts w:ascii="Times New Roman" w:hAnsi="Times New Roman" w:cs="Times New Roman"/>
          <w:sz w:val="18"/>
          <w:szCs w:val="18"/>
        </w:rPr>
      </w:pPr>
    </w:p>
    <w:p w:rsidR="00CA6247" w:rsidRPr="00BE6FA1" w:rsidRDefault="00CA6247" w:rsidP="003A27DA">
      <w:pPr>
        <w:shd w:val="clear" w:color="auto" w:fill="FFFFFF"/>
        <w:spacing w:line="360" w:lineRule="auto"/>
        <w:rPr>
          <w:rFonts w:ascii="Times New Roman" w:hAnsi="Times New Roman" w:cs="Times New Roman"/>
          <w:sz w:val="18"/>
          <w:szCs w:val="18"/>
        </w:rPr>
      </w:pPr>
    </w:p>
    <w:p w:rsidR="00CA6247" w:rsidRPr="00BE6FA1" w:rsidRDefault="00CA6247" w:rsidP="003A27DA">
      <w:pPr>
        <w:shd w:val="clear" w:color="auto" w:fill="FFFFFF"/>
        <w:spacing w:line="360" w:lineRule="auto"/>
        <w:rPr>
          <w:rFonts w:ascii="Times New Roman" w:hAnsi="Times New Roman" w:cs="Times New Roman"/>
          <w:sz w:val="18"/>
          <w:szCs w:val="18"/>
        </w:rPr>
      </w:pPr>
    </w:p>
    <w:p w:rsidR="004C0092" w:rsidRPr="00BE6FA1" w:rsidRDefault="004C0092" w:rsidP="003A27DA">
      <w:pPr>
        <w:pStyle w:val="Nagwek2"/>
        <w:spacing w:line="360" w:lineRule="auto"/>
        <w:rPr>
          <w:rFonts w:ascii="Times New Roman" w:hAnsi="Times New Roman" w:cs="Times New Roman"/>
          <w:color w:val="auto"/>
        </w:rPr>
      </w:pPr>
      <w:bookmarkStart w:id="14" w:name="_Toc449097717"/>
      <w:r w:rsidRPr="00BE6FA1">
        <w:rPr>
          <w:rFonts w:ascii="Times New Roman" w:hAnsi="Times New Roman" w:cs="Times New Roman"/>
          <w:color w:val="auto"/>
        </w:rPr>
        <w:lastRenderedPageBreak/>
        <w:t>Ludność</w:t>
      </w:r>
      <w:bookmarkEnd w:id="14"/>
    </w:p>
    <w:p w:rsidR="004C0092" w:rsidRPr="00BE6FA1" w:rsidRDefault="00F00BC2"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Szczegółowe dane dotyczące ludności Miasta i Gminy Kańczuga w latach 2010-2014 obrazują poniższe tabele oraz wykresy.</w:t>
      </w:r>
    </w:p>
    <w:tbl>
      <w:tblPr>
        <w:tblStyle w:val="Tabela-Siatka"/>
        <w:tblW w:w="5000" w:type="pct"/>
        <w:tblLook w:val="04A0" w:firstRow="1" w:lastRow="0" w:firstColumn="1" w:lastColumn="0" w:noHBand="0" w:noVBand="1"/>
      </w:tblPr>
      <w:tblGrid>
        <w:gridCol w:w="2044"/>
        <w:gridCol w:w="1403"/>
        <w:gridCol w:w="1403"/>
        <w:gridCol w:w="1403"/>
        <w:gridCol w:w="1403"/>
        <w:gridCol w:w="1406"/>
      </w:tblGrid>
      <w:tr w:rsidR="000716A2" w:rsidRPr="00BE6FA1" w:rsidTr="009E11EB">
        <w:tc>
          <w:tcPr>
            <w:tcW w:w="5000" w:type="pct"/>
            <w:gridSpan w:val="6"/>
            <w:vAlign w:val="center"/>
          </w:tcPr>
          <w:p w:rsidR="005F10E1" w:rsidRPr="00BE6FA1" w:rsidRDefault="005F10E1" w:rsidP="00CA6247">
            <w:pPr>
              <w:spacing w:line="360" w:lineRule="auto"/>
              <w:jc w:val="center"/>
              <w:rPr>
                <w:rFonts w:ascii="Times New Roman" w:hAnsi="Times New Roman" w:cs="Times New Roman"/>
                <w:sz w:val="24"/>
                <w:szCs w:val="24"/>
              </w:rPr>
            </w:pPr>
            <w:r w:rsidRPr="00BE6FA1">
              <w:rPr>
                <w:rFonts w:ascii="Times New Roman" w:hAnsi="Times New Roman" w:cs="Times New Roman"/>
                <w:b/>
                <w:sz w:val="24"/>
                <w:szCs w:val="24"/>
              </w:rPr>
              <w:t xml:space="preserve">Liczba ludności </w:t>
            </w:r>
            <w:r w:rsidR="009E11EB" w:rsidRPr="00BE6FA1">
              <w:rPr>
                <w:rFonts w:ascii="Times New Roman" w:hAnsi="Times New Roman" w:cs="Times New Roman"/>
                <w:b/>
                <w:sz w:val="24"/>
                <w:szCs w:val="24"/>
              </w:rPr>
              <w:t>w Gminie Kańczuga w latach 2010-2014</w:t>
            </w:r>
            <w:r w:rsidR="008B3749" w:rsidRPr="00BE6FA1">
              <w:rPr>
                <w:rFonts w:ascii="Times New Roman" w:hAnsi="Times New Roman" w:cs="Times New Roman"/>
                <w:b/>
                <w:sz w:val="24"/>
                <w:szCs w:val="24"/>
              </w:rPr>
              <w:br/>
            </w:r>
            <w:r w:rsidR="008B3749" w:rsidRPr="00BE6FA1">
              <w:rPr>
                <w:rFonts w:ascii="Times New Roman" w:hAnsi="Times New Roman" w:cs="Times New Roman"/>
                <w:sz w:val="24"/>
                <w:szCs w:val="24"/>
              </w:rPr>
              <w:t>(stan na 31.12. każdego roku)</w:t>
            </w:r>
          </w:p>
        </w:tc>
      </w:tr>
      <w:tr w:rsidR="00F6725C" w:rsidRPr="00BE6FA1" w:rsidTr="00246C8C">
        <w:trPr>
          <w:trHeight w:val="258"/>
        </w:trPr>
        <w:tc>
          <w:tcPr>
            <w:tcW w:w="1128" w:type="pct"/>
            <w:vAlign w:val="center"/>
          </w:tcPr>
          <w:p w:rsidR="009E11EB" w:rsidRPr="00BE6FA1" w:rsidRDefault="009E11EB" w:rsidP="00CA6247">
            <w:pPr>
              <w:spacing w:line="360" w:lineRule="auto"/>
              <w:jc w:val="center"/>
              <w:rPr>
                <w:rFonts w:ascii="Times New Roman" w:hAnsi="Times New Roman" w:cs="Times New Roman"/>
                <w:sz w:val="24"/>
                <w:szCs w:val="24"/>
              </w:rPr>
            </w:pPr>
          </w:p>
        </w:tc>
        <w:tc>
          <w:tcPr>
            <w:tcW w:w="774" w:type="pct"/>
            <w:vAlign w:val="center"/>
          </w:tcPr>
          <w:p w:rsidR="009E11EB" w:rsidRPr="00BE6FA1" w:rsidRDefault="009E11EB"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2010</w:t>
            </w:r>
          </w:p>
        </w:tc>
        <w:tc>
          <w:tcPr>
            <w:tcW w:w="774" w:type="pct"/>
            <w:vAlign w:val="center"/>
          </w:tcPr>
          <w:p w:rsidR="009E11EB" w:rsidRPr="00BE6FA1" w:rsidRDefault="009E11EB"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2011</w:t>
            </w:r>
          </w:p>
        </w:tc>
        <w:tc>
          <w:tcPr>
            <w:tcW w:w="774" w:type="pct"/>
            <w:vAlign w:val="center"/>
          </w:tcPr>
          <w:p w:rsidR="009E11EB" w:rsidRPr="00BE6FA1" w:rsidRDefault="009E11EB"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2012</w:t>
            </w:r>
          </w:p>
        </w:tc>
        <w:tc>
          <w:tcPr>
            <w:tcW w:w="774" w:type="pct"/>
            <w:vAlign w:val="center"/>
          </w:tcPr>
          <w:p w:rsidR="009E11EB" w:rsidRPr="00BE6FA1" w:rsidRDefault="009E11EB"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2013</w:t>
            </w:r>
          </w:p>
        </w:tc>
        <w:tc>
          <w:tcPr>
            <w:tcW w:w="776" w:type="pct"/>
            <w:vAlign w:val="center"/>
          </w:tcPr>
          <w:p w:rsidR="009E11EB" w:rsidRPr="00BE6FA1" w:rsidRDefault="009E11EB"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2014</w:t>
            </w:r>
          </w:p>
        </w:tc>
      </w:tr>
      <w:tr w:rsidR="00F6725C" w:rsidRPr="00BE6FA1" w:rsidTr="00246C8C">
        <w:tc>
          <w:tcPr>
            <w:tcW w:w="1128"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ogółem</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12637</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12625</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12596</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12586</w:t>
            </w:r>
          </w:p>
        </w:tc>
        <w:tc>
          <w:tcPr>
            <w:tcW w:w="776"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12551</w:t>
            </w:r>
          </w:p>
        </w:tc>
      </w:tr>
      <w:tr w:rsidR="00F6725C" w:rsidRPr="00BE6FA1" w:rsidTr="00246C8C">
        <w:tc>
          <w:tcPr>
            <w:tcW w:w="1128"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mężczyźni</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6208</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6211</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6198</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6185</w:t>
            </w:r>
          </w:p>
        </w:tc>
        <w:tc>
          <w:tcPr>
            <w:tcW w:w="776"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6197</w:t>
            </w:r>
          </w:p>
        </w:tc>
      </w:tr>
      <w:tr w:rsidR="00F6725C" w:rsidRPr="00BE6FA1" w:rsidTr="00246C8C">
        <w:tc>
          <w:tcPr>
            <w:tcW w:w="1128"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kobiety</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6429</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6414</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6398</w:t>
            </w:r>
          </w:p>
        </w:tc>
        <w:tc>
          <w:tcPr>
            <w:tcW w:w="774"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6401</w:t>
            </w:r>
          </w:p>
        </w:tc>
        <w:tc>
          <w:tcPr>
            <w:tcW w:w="776" w:type="pct"/>
            <w:vAlign w:val="center"/>
          </w:tcPr>
          <w:p w:rsidR="009E11EB" w:rsidRPr="00BE6FA1" w:rsidRDefault="009E11EB"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6354</w:t>
            </w:r>
          </w:p>
        </w:tc>
      </w:tr>
      <w:tr w:rsidR="000716A2" w:rsidRPr="00BE6FA1" w:rsidTr="008B3749">
        <w:tc>
          <w:tcPr>
            <w:tcW w:w="5000" w:type="pct"/>
            <w:gridSpan w:val="6"/>
            <w:vAlign w:val="center"/>
          </w:tcPr>
          <w:p w:rsidR="008B3749"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b/>
                <w:sz w:val="24"/>
                <w:szCs w:val="24"/>
              </w:rPr>
              <w:t xml:space="preserve">Liczba ludności w Mieście Kańczuga w latach 2010-2014 </w:t>
            </w:r>
            <w:r w:rsidRPr="00BE6FA1">
              <w:rPr>
                <w:rFonts w:ascii="Times New Roman" w:hAnsi="Times New Roman" w:cs="Times New Roman"/>
                <w:b/>
                <w:sz w:val="24"/>
                <w:szCs w:val="24"/>
              </w:rPr>
              <w:br/>
            </w:r>
            <w:r w:rsidRPr="00BE6FA1">
              <w:rPr>
                <w:rFonts w:ascii="Times New Roman" w:hAnsi="Times New Roman" w:cs="Times New Roman"/>
                <w:sz w:val="24"/>
                <w:szCs w:val="24"/>
              </w:rPr>
              <w:t>(stan na 31.12. każdego roku)</w:t>
            </w:r>
          </w:p>
        </w:tc>
      </w:tr>
      <w:tr w:rsidR="00F6725C" w:rsidRPr="00BE6FA1" w:rsidTr="00246C8C">
        <w:tc>
          <w:tcPr>
            <w:tcW w:w="1128" w:type="pct"/>
            <w:vAlign w:val="center"/>
          </w:tcPr>
          <w:p w:rsidR="00246C8C" w:rsidRPr="00BE6FA1" w:rsidRDefault="00246C8C" w:rsidP="00CA6247">
            <w:pPr>
              <w:spacing w:line="360" w:lineRule="auto"/>
              <w:jc w:val="center"/>
              <w:rPr>
                <w:rFonts w:ascii="Times New Roman" w:hAnsi="Times New Roman" w:cs="Times New Roman"/>
                <w:sz w:val="24"/>
                <w:szCs w:val="24"/>
              </w:rPr>
            </w:pPr>
          </w:p>
        </w:tc>
        <w:tc>
          <w:tcPr>
            <w:tcW w:w="774" w:type="pct"/>
            <w:vAlign w:val="center"/>
          </w:tcPr>
          <w:p w:rsidR="00246C8C" w:rsidRPr="00BE6FA1" w:rsidRDefault="00246C8C"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2010</w:t>
            </w:r>
          </w:p>
        </w:tc>
        <w:tc>
          <w:tcPr>
            <w:tcW w:w="774" w:type="pct"/>
            <w:vAlign w:val="center"/>
          </w:tcPr>
          <w:p w:rsidR="00246C8C" w:rsidRPr="00BE6FA1" w:rsidRDefault="00246C8C"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2011</w:t>
            </w:r>
          </w:p>
        </w:tc>
        <w:tc>
          <w:tcPr>
            <w:tcW w:w="774" w:type="pct"/>
            <w:vAlign w:val="center"/>
          </w:tcPr>
          <w:p w:rsidR="00246C8C" w:rsidRPr="00BE6FA1" w:rsidRDefault="00246C8C"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2012</w:t>
            </w:r>
          </w:p>
        </w:tc>
        <w:tc>
          <w:tcPr>
            <w:tcW w:w="774" w:type="pct"/>
            <w:vAlign w:val="center"/>
          </w:tcPr>
          <w:p w:rsidR="00246C8C" w:rsidRPr="00BE6FA1" w:rsidRDefault="00246C8C"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2013</w:t>
            </w:r>
          </w:p>
        </w:tc>
        <w:tc>
          <w:tcPr>
            <w:tcW w:w="776" w:type="pct"/>
            <w:vAlign w:val="center"/>
          </w:tcPr>
          <w:p w:rsidR="00246C8C" w:rsidRPr="00BE6FA1" w:rsidRDefault="00246C8C" w:rsidP="00CA6247">
            <w:pPr>
              <w:spacing w:line="360" w:lineRule="auto"/>
              <w:jc w:val="center"/>
              <w:rPr>
                <w:rFonts w:ascii="Times New Roman" w:hAnsi="Times New Roman" w:cs="Times New Roman"/>
                <w:bCs/>
                <w:sz w:val="24"/>
                <w:szCs w:val="24"/>
              </w:rPr>
            </w:pPr>
            <w:r w:rsidRPr="00BE6FA1">
              <w:rPr>
                <w:rFonts w:ascii="Times New Roman" w:hAnsi="Times New Roman" w:cs="Times New Roman"/>
                <w:bCs/>
                <w:sz w:val="24"/>
                <w:szCs w:val="24"/>
              </w:rPr>
              <w:t>2014</w:t>
            </w:r>
          </w:p>
        </w:tc>
      </w:tr>
      <w:tr w:rsidR="00F6725C" w:rsidRPr="00BE6FA1" w:rsidTr="00246C8C">
        <w:tc>
          <w:tcPr>
            <w:tcW w:w="1128" w:type="pct"/>
            <w:vAlign w:val="center"/>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ogółem</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3231</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3230</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3242</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3236</w:t>
            </w:r>
          </w:p>
        </w:tc>
        <w:tc>
          <w:tcPr>
            <w:tcW w:w="776"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3237</w:t>
            </w:r>
          </w:p>
        </w:tc>
      </w:tr>
      <w:tr w:rsidR="00F6725C" w:rsidRPr="00BE6FA1" w:rsidTr="00246C8C">
        <w:tc>
          <w:tcPr>
            <w:tcW w:w="1128" w:type="pct"/>
            <w:vAlign w:val="center"/>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mężczyźni</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1575</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1575</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1585</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1581</w:t>
            </w:r>
          </w:p>
        </w:tc>
        <w:tc>
          <w:tcPr>
            <w:tcW w:w="776"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1581</w:t>
            </w:r>
          </w:p>
        </w:tc>
      </w:tr>
      <w:tr w:rsidR="005E3FC6" w:rsidRPr="00BE6FA1" w:rsidTr="00246C8C">
        <w:tc>
          <w:tcPr>
            <w:tcW w:w="1128" w:type="pct"/>
            <w:vAlign w:val="center"/>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kobiety</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1656</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1655</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1657</w:t>
            </w:r>
          </w:p>
        </w:tc>
        <w:tc>
          <w:tcPr>
            <w:tcW w:w="774" w:type="pct"/>
            <w:vAlign w:val="bottom"/>
          </w:tcPr>
          <w:p w:rsidR="00246C8C" w:rsidRPr="00BE6FA1" w:rsidRDefault="00246C8C" w:rsidP="00CA6247">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1655</w:t>
            </w:r>
          </w:p>
        </w:tc>
        <w:tc>
          <w:tcPr>
            <w:tcW w:w="776" w:type="pct"/>
            <w:vAlign w:val="bottom"/>
          </w:tcPr>
          <w:p w:rsidR="00246C8C" w:rsidRPr="00BE6FA1" w:rsidRDefault="00246C8C" w:rsidP="005E3FC6">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1656</w:t>
            </w:r>
          </w:p>
        </w:tc>
      </w:tr>
    </w:tbl>
    <w:p w:rsidR="00672216" w:rsidRPr="00BE6FA1" w:rsidRDefault="005E3FC6" w:rsidP="00672216">
      <w:pPr>
        <w:pStyle w:val="Legenda"/>
        <w:spacing w:after="240"/>
        <w:rPr>
          <w:rFonts w:ascii="Times New Roman" w:hAnsi="Times New Roman" w:cs="Times New Roman"/>
          <w:color w:val="auto"/>
        </w:rPr>
      </w:pPr>
      <w:bookmarkStart w:id="15" w:name="_Toc445289849"/>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Liczba ludności w Mieście i Gminie Kańczuga (BDL, dane z 2000 - 2014 r.)</w:t>
      </w:r>
      <w:bookmarkEnd w:id="15"/>
    </w:p>
    <w:p w:rsidR="00E57842" w:rsidRPr="00BE6FA1" w:rsidRDefault="009C519D" w:rsidP="00E57842">
      <w:pPr>
        <w:keepNext/>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06271386" wp14:editId="2424B8F9">
            <wp:extent cx="5709683" cy="4061638"/>
            <wp:effectExtent l="0" t="0" r="571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3FC6" w:rsidRPr="00BE6FA1" w:rsidRDefault="00E57842" w:rsidP="00E57842">
      <w:pPr>
        <w:pStyle w:val="Legenda"/>
        <w:jc w:val="center"/>
        <w:rPr>
          <w:rFonts w:ascii="Times New Roman" w:hAnsi="Times New Roman" w:cs="Times New Roman"/>
          <w:color w:val="auto"/>
        </w:rPr>
      </w:pPr>
      <w:bookmarkStart w:id="16" w:name="_Toc448844731"/>
      <w:r w:rsidRPr="00BE6FA1">
        <w:rPr>
          <w:rFonts w:ascii="Times New Roman" w:hAnsi="Times New Roman" w:cs="Times New Roman"/>
          <w:color w:val="auto"/>
        </w:rPr>
        <w:t xml:space="preserve">Wykres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2</w:t>
      </w:r>
      <w:r w:rsidRPr="00BE6FA1">
        <w:rPr>
          <w:rFonts w:ascii="Times New Roman" w:hAnsi="Times New Roman" w:cs="Times New Roman"/>
          <w:color w:val="auto"/>
        </w:rPr>
        <w:fldChar w:fldCharType="end"/>
      </w:r>
      <w:r w:rsidRPr="00BE6FA1">
        <w:rPr>
          <w:rFonts w:ascii="Times New Roman" w:hAnsi="Times New Roman" w:cs="Times New Roman"/>
          <w:color w:val="auto"/>
        </w:rPr>
        <w:t>. Liczba ludności w Gminie Kańczuga (BDL, dane z 2000 - 2014 r.)</w:t>
      </w:r>
      <w:bookmarkEnd w:id="16"/>
    </w:p>
    <w:p w:rsidR="00E57842" w:rsidRPr="00BE6FA1" w:rsidRDefault="00D656B1" w:rsidP="00E57842">
      <w:pPr>
        <w:keepNext/>
        <w:spacing w:line="360" w:lineRule="auto"/>
        <w:jc w:val="center"/>
        <w:rPr>
          <w:rFonts w:ascii="Times New Roman" w:hAnsi="Times New Roman" w:cs="Times New Roman"/>
        </w:rPr>
      </w:pPr>
      <w:r w:rsidRPr="00BE6FA1">
        <w:rPr>
          <w:rFonts w:ascii="Times New Roman" w:hAnsi="Times New Roman" w:cs="Times New Roman"/>
          <w:noProof/>
        </w:rPr>
        <w:lastRenderedPageBreak/>
        <w:drawing>
          <wp:inline distT="0" distB="0" distL="0" distR="0" wp14:anchorId="2FD8F243" wp14:editId="30D2CAF5">
            <wp:extent cx="5760720" cy="3892743"/>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3FC6" w:rsidRPr="00BE6FA1" w:rsidRDefault="00E57842" w:rsidP="00E57842">
      <w:pPr>
        <w:pStyle w:val="Legenda"/>
        <w:jc w:val="center"/>
        <w:rPr>
          <w:rFonts w:ascii="Times New Roman" w:hAnsi="Times New Roman" w:cs="Times New Roman"/>
          <w:color w:val="auto"/>
        </w:rPr>
      </w:pPr>
      <w:bookmarkStart w:id="17" w:name="_Toc448844732"/>
      <w:r w:rsidRPr="00BE6FA1">
        <w:rPr>
          <w:rFonts w:ascii="Times New Roman" w:hAnsi="Times New Roman" w:cs="Times New Roman"/>
          <w:color w:val="auto"/>
        </w:rPr>
        <w:t xml:space="preserve">Wykres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3</w:t>
      </w:r>
      <w:r w:rsidRPr="00BE6FA1">
        <w:rPr>
          <w:rFonts w:ascii="Times New Roman" w:hAnsi="Times New Roman" w:cs="Times New Roman"/>
          <w:color w:val="auto"/>
        </w:rPr>
        <w:fldChar w:fldCharType="end"/>
      </w:r>
      <w:r w:rsidRPr="00BE6FA1">
        <w:rPr>
          <w:rFonts w:ascii="Times New Roman" w:hAnsi="Times New Roman" w:cs="Times New Roman"/>
          <w:color w:val="auto"/>
        </w:rPr>
        <w:t>. Liczba ludności w Mieście Kańczuga (BDL, dane z 2000 - 2014 r.)</w:t>
      </w:r>
      <w:bookmarkEnd w:id="17"/>
    </w:p>
    <w:p w:rsidR="00CA6247" w:rsidRPr="00BE6FA1" w:rsidRDefault="00CA6247" w:rsidP="003A27DA">
      <w:pPr>
        <w:spacing w:line="360" w:lineRule="auto"/>
        <w:jc w:val="center"/>
        <w:rPr>
          <w:rFonts w:ascii="Times New Roman" w:hAnsi="Times New Roman" w:cs="Times New Roman"/>
          <w:sz w:val="24"/>
        </w:rPr>
      </w:pPr>
    </w:p>
    <w:p w:rsidR="00E57842" w:rsidRPr="00BE6FA1" w:rsidRDefault="007B04E7" w:rsidP="00E57842">
      <w:pPr>
        <w:keepNext/>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21C0F1F2" wp14:editId="020E9BB2">
            <wp:extent cx="5760720" cy="3693696"/>
            <wp:effectExtent l="0" t="0" r="0" b="25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7842" w:rsidRPr="00BE6FA1" w:rsidRDefault="00E57842" w:rsidP="00E57842">
      <w:pPr>
        <w:pStyle w:val="Legenda"/>
        <w:jc w:val="center"/>
        <w:rPr>
          <w:rFonts w:ascii="Times New Roman" w:hAnsi="Times New Roman" w:cs="Times New Roman"/>
          <w:color w:val="auto"/>
        </w:rPr>
      </w:pPr>
      <w:bookmarkStart w:id="18" w:name="_Toc448844733"/>
      <w:r w:rsidRPr="00BE6FA1">
        <w:rPr>
          <w:rFonts w:ascii="Times New Roman" w:hAnsi="Times New Roman" w:cs="Times New Roman"/>
          <w:color w:val="auto"/>
        </w:rPr>
        <w:t xml:space="preserve">Wykres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4</w:t>
      </w:r>
      <w:r w:rsidRPr="00BE6FA1">
        <w:rPr>
          <w:rFonts w:ascii="Times New Roman" w:hAnsi="Times New Roman" w:cs="Times New Roman"/>
          <w:color w:val="auto"/>
        </w:rPr>
        <w:fldChar w:fldCharType="end"/>
      </w:r>
      <w:r w:rsidRPr="00BE6FA1">
        <w:rPr>
          <w:rFonts w:ascii="Times New Roman" w:hAnsi="Times New Roman" w:cs="Times New Roman"/>
          <w:color w:val="auto"/>
        </w:rPr>
        <w:t>. Struktura wieku i płci w Gminie Kańczuga (BDL, dane z 2014 r.)</w:t>
      </w:r>
      <w:bookmarkEnd w:id="18"/>
    </w:p>
    <w:p w:rsidR="008239D7" w:rsidRPr="00BE6FA1" w:rsidRDefault="004C0092" w:rsidP="003A27DA">
      <w:pPr>
        <w:pStyle w:val="Nagwek2"/>
        <w:spacing w:line="360" w:lineRule="auto"/>
        <w:rPr>
          <w:rFonts w:ascii="Times New Roman" w:hAnsi="Times New Roman" w:cs="Times New Roman"/>
          <w:color w:val="auto"/>
        </w:rPr>
      </w:pPr>
      <w:bookmarkStart w:id="19" w:name="_Toc449097718"/>
      <w:r w:rsidRPr="00BE6FA1">
        <w:rPr>
          <w:rFonts w:ascii="Times New Roman" w:hAnsi="Times New Roman" w:cs="Times New Roman"/>
          <w:color w:val="auto"/>
        </w:rPr>
        <w:lastRenderedPageBreak/>
        <w:t>Działalność gospodarcza</w:t>
      </w:r>
      <w:bookmarkEnd w:id="19"/>
    </w:p>
    <w:p w:rsidR="007F557F" w:rsidRPr="00BE6FA1" w:rsidRDefault="007F557F" w:rsidP="003A27DA">
      <w:pPr>
        <w:spacing w:line="360" w:lineRule="auto"/>
        <w:rPr>
          <w:rFonts w:ascii="Times New Roman" w:hAnsi="Times New Roman" w:cs="Times New Roman"/>
        </w:rPr>
      </w:pPr>
    </w:p>
    <w:p w:rsidR="0003254A" w:rsidRPr="00BE6FA1" w:rsidRDefault="0003254A"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Liczba zarejestrowanych do dnia 1.02.2016 r. podmiotów prowadzących działalność gospodarczą w Gminie </w:t>
      </w:r>
      <w:r w:rsidR="000712B2" w:rsidRPr="00BE6FA1">
        <w:rPr>
          <w:rFonts w:ascii="Times New Roman" w:hAnsi="Times New Roman" w:cs="Times New Roman"/>
          <w:sz w:val="24"/>
          <w:szCs w:val="24"/>
        </w:rPr>
        <w:t>Kańczuga</w:t>
      </w:r>
      <w:r w:rsidRPr="00BE6FA1">
        <w:rPr>
          <w:rFonts w:ascii="Times New Roman" w:hAnsi="Times New Roman" w:cs="Times New Roman"/>
          <w:sz w:val="24"/>
          <w:szCs w:val="24"/>
        </w:rPr>
        <w:t>, po przeważającym kodzie PKD (Polska Klasyfikacja Działalności) sekcji działalności gospodarczej</w:t>
      </w:r>
    </w:p>
    <w:p w:rsidR="0003254A" w:rsidRPr="00BE6FA1" w:rsidRDefault="0003254A" w:rsidP="003A27DA">
      <w:pPr>
        <w:spacing w:after="0" w:line="360" w:lineRule="auto"/>
        <w:ind w:firstLine="360"/>
        <w:jc w:val="both"/>
        <w:rPr>
          <w:rFonts w:ascii="Times New Roman" w:hAnsi="Times New Roman" w:cs="Times New Roman"/>
          <w:sz w:val="24"/>
          <w:szCs w:val="24"/>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433"/>
        <w:gridCol w:w="7017"/>
        <w:gridCol w:w="1612"/>
      </w:tblGrid>
      <w:tr w:rsidR="000716A2" w:rsidRPr="00BE6FA1" w:rsidTr="00741C82">
        <w:trPr>
          <w:jc w:val="center"/>
        </w:trPr>
        <w:tc>
          <w:tcPr>
            <w:tcW w:w="4108" w:type="pct"/>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Kod sekcji PKD</w:t>
            </w:r>
          </w:p>
        </w:tc>
        <w:tc>
          <w:tcPr>
            <w:tcW w:w="892" w:type="pc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Ilość działalności</w:t>
            </w:r>
          </w:p>
        </w:tc>
      </w:tr>
      <w:tr w:rsidR="000716A2"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A</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ind w:left="68" w:right="431"/>
              <w:jc w:val="center"/>
              <w:rPr>
                <w:rFonts w:ascii="Times New Roman" w:hAnsi="Times New Roman" w:cs="Times New Roman"/>
                <w:sz w:val="24"/>
                <w:szCs w:val="24"/>
              </w:rPr>
            </w:pPr>
            <w:r w:rsidRPr="00BE6FA1">
              <w:rPr>
                <w:rFonts w:ascii="Times New Roman" w:hAnsi="Times New Roman" w:cs="Times New Roman"/>
                <w:sz w:val="24"/>
                <w:szCs w:val="24"/>
              </w:rPr>
              <w:t>ROLNICTWO, LEŚNICTWO, ŁOWIECTWO I RYBACTWO</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10</w:t>
            </w:r>
          </w:p>
        </w:tc>
      </w:tr>
      <w:tr w:rsidR="000716A2"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C</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ind w:left="68" w:right="431"/>
              <w:jc w:val="center"/>
              <w:rPr>
                <w:rFonts w:ascii="Times New Roman" w:hAnsi="Times New Roman" w:cs="Times New Roman"/>
                <w:sz w:val="24"/>
                <w:szCs w:val="24"/>
              </w:rPr>
            </w:pPr>
            <w:r w:rsidRPr="00BE6FA1">
              <w:rPr>
                <w:rFonts w:ascii="Times New Roman" w:hAnsi="Times New Roman" w:cs="Times New Roman"/>
                <w:sz w:val="24"/>
                <w:szCs w:val="24"/>
              </w:rPr>
              <w:t>PRZETWÓRSTWO PRZEMYSŁOWE</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37</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C5795" w:rsidRPr="00BE6FA1" w:rsidRDefault="001C5795" w:rsidP="003A27DA">
            <w:pPr>
              <w:shd w:val="clear" w:color="auto" w:fill="FFFFFF"/>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C5795" w:rsidRPr="00BE6FA1" w:rsidRDefault="001C5795" w:rsidP="003A27DA">
            <w:pPr>
              <w:shd w:val="clear" w:color="auto" w:fill="FFFFFF"/>
              <w:spacing w:after="0" w:line="360" w:lineRule="auto"/>
              <w:ind w:left="68" w:right="431"/>
              <w:jc w:val="center"/>
              <w:rPr>
                <w:rFonts w:ascii="Times New Roman" w:hAnsi="Times New Roman" w:cs="Times New Roman"/>
                <w:sz w:val="24"/>
                <w:szCs w:val="24"/>
              </w:rPr>
            </w:pPr>
            <w:r w:rsidRPr="00BE6FA1">
              <w:rPr>
                <w:rFonts w:ascii="Times New Roman" w:hAnsi="Times New Roman" w:cs="Times New Roman"/>
                <w:sz w:val="24"/>
                <w:szCs w:val="24"/>
              </w:rPr>
              <w:t xml:space="preserve">DOSTAWA WODY: </w:t>
            </w:r>
            <w:r w:rsidR="000D2AB0" w:rsidRPr="00BE6FA1">
              <w:rPr>
                <w:rFonts w:ascii="Times New Roman" w:hAnsi="Times New Roman" w:cs="Times New Roman"/>
                <w:sz w:val="24"/>
                <w:szCs w:val="24"/>
              </w:rPr>
              <w:t>GOSPODAROWANIE ŚCIEKAMI I ODPADAMI ORAZ DZIAŁALNOŚĆ ZWIĄZANA Z REKULTYWACJĄ</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C5795"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F</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BUDOWNICTWO</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70</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HANDEL HURTOWY I DETALICZNY; NAPRAWA POJAZDÓW SAMOCHODOWYCH, WŁĄCZAJĄC MOTOCYKLE</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134</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H</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TRANSPORT I GOSPODARKA MAGAZYNOWA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46</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I</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DZIAŁALNOŚĆ ZWIĄZANA Z ZAKWATEROWANIEM I USŁUGAMI GASTRONOMICZNYMI</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r w:rsidR="0003254A" w:rsidRPr="00BE6FA1">
              <w:rPr>
                <w:rFonts w:ascii="Times New Roman" w:hAnsi="Times New Roman" w:cs="Times New Roman"/>
                <w:sz w:val="24"/>
                <w:szCs w:val="24"/>
              </w:rPr>
              <w:t>0</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J</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INFORMACJA I KOMUNIKACJA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8</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K</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DZIAŁALNOŚĆ FINANSOWA I UBEZPIECZENIOWA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6</w:t>
            </w:r>
          </w:p>
        </w:tc>
      </w:tr>
      <w:tr w:rsidR="000716A2"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L</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DZIAŁALNOŚĆ ZWIĄZANA Z OBSŁUGĄ RYNKU NIERUCHOMOŚCI</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hd w:val="clear" w:color="auto" w:fill="FFFFFF"/>
              <w:spacing w:after="0" w:line="360" w:lineRule="auto"/>
              <w:ind w:left="70" w:right="430"/>
              <w:jc w:val="center"/>
              <w:rPr>
                <w:rFonts w:ascii="Times New Roman" w:hAnsi="Times New Roman" w:cs="Times New Roman"/>
                <w:sz w:val="24"/>
                <w:szCs w:val="24"/>
              </w:rPr>
            </w:pPr>
            <w:r w:rsidRPr="00BE6FA1">
              <w:rPr>
                <w:rFonts w:ascii="Times New Roman" w:hAnsi="Times New Roman" w:cs="Times New Roman"/>
                <w:sz w:val="24"/>
                <w:szCs w:val="24"/>
              </w:rPr>
              <w:t>DZIAŁALNOŚĆ PROFESJONALNA, NAUKOWA I TECHNICZNA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20</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DZIAŁALNOŚĆ W ZAKRESIE USŁUG ADMINISTROWANIA I DZIAŁALNOŚĆ WSPIERAJĄCA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4</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P</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EDUKACJA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8</w:t>
            </w:r>
          </w:p>
        </w:tc>
      </w:tr>
      <w:tr w:rsidR="00F6725C" w:rsidRPr="00BE6FA1" w:rsidTr="001C5795">
        <w:trPr>
          <w:jc w:val="center"/>
        </w:trPr>
        <w:tc>
          <w:tcPr>
            <w:tcW w:w="23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Q</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OPIEKA ZDROWOTNA I POMOC SPOŁECZNA</w:t>
            </w:r>
          </w:p>
        </w:tc>
        <w:tc>
          <w:tcPr>
            <w:tcW w:w="8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25</w:t>
            </w:r>
          </w:p>
        </w:tc>
      </w:tr>
      <w:tr w:rsidR="00F6725C" w:rsidRPr="00BE6FA1" w:rsidTr="001C5795">
        <w:trPr>
          <w:jc w:val="center"/>
        </w:trPr>
        <w:tc>
          <w:tcPr>
            <w:tcW w:w="233"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S</w:t>
            </w:r>
          </w:p>
        </w:tc>
        <w:tc>
          <w:tcPr>
            <w:tcW w:w="3875"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POZOSTAŁA DZIAŁALNOŚĆ USŁUGOWA</w:t>
            </w:r>
          </w:p>
        </w:tc>
        <w:tc>
          <w:tcPr>
            <w:tcW w:w="892"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03254A" w:rsidRPr="00BE6FA1" w:rsidRDefault="001C5795"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21</w:t>
            </w:r>
          </w:p>
        </w:tc>
      </w:tr>
      <w:tr w:rsidR="00F6725C" w:rsidRPr="00BE6FA1" w:rsidTr="00741C82">
        <w:trPr>
          <w:jc w:val="center"/>
        </w:trPr>
        <w:tc>
          <w:tcPr>
            <w:tcW w:w="4108" w:type="pct"/>
            <w:gridSpan w:val="2"/>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03254A"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SUMA</w:t>
            </w:r>
          </w:p>
        </w:tc>
        <w:tc>
          <w:tcPr>
            <w:tcW w:w="892" w:type="pct"/>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03254A" w:rsidRPr="00BE6FA1" w:rsidRDefault="001C5795" w:rsidP="005E3FC6">
            <w:pPr>
              <w:keepNext/>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401</w:t>
            </w:r>
          </w:p>
        </w:tc>
      </w:tr>
    </w:tbl>
    <w:p w:rsidR="00540D2E" w:rsidRPr="00BE6FA1" w:rsidRDefault="005E3FC6" w:rsidP="005E3FC6">
      <w:pPr>
        <w:pStyle w:val="Legenda"/>
        <w:rPr>
          <w:rFonts w:ascii="Times New Roman" w:hAnsi="Times New Roman" w:cs="Times New Roman"/>
          <w:color w:val="auto"/>
        </w:rPr>
      </w:pPr>
      <w:bookmarkStart w:id="20" w:name="_Toc445289850"/>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Działalność gospodarcza w Gminie Kańczuga (Urząd Gminy, dane z 2016 r.)</w:t>
      </w:r>
      <w:bookmarkEnd w:id="20"/>
    </w:p>
    <w:p w:rsidR="004C0092" w:rsidRPr="00BE6FA1" w:rsidRDefault="008239D7" w:rsidP="003A27DA">
      <w:pPr>
        <w:pStyle w:val="Nagwek2"/>
        <w:spacing w:line="360" w:lineRule="auto"/>
        <w:rPr>
          <w:rFonts w:ascii="Times New Roman" w:hAnsi="Times New Roman" w:cs="Times New Roman"/>
          <w:color w:val="auto"/>
        </w:rPr>
      </w:pPr>
      <w:bookmarkStart w:id="21" w:name="_Toc449097719"/>
      <w:r w:rsidRPr="00BE6FA1">
        <w:rPr>
          <w:rFonts w:ascii="Times New Roman" w:hAnsi="Times New Roman" w:cs="Times New Roman"/>
          <w:color w:val="auto"/>
        </w:rPr>
        <w:lastRenderedPageBreak/>
        <w:t xml:space="preserve">Duże zakłady przemysłowe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w:t>
      </w:r>
      <w:bookmarkEnd w:id="21"/>
    </w:p>
    <w:p w:rsidR="005C4765" w:rsidRPr="00BE6FA1" w:rsidRDefault="005C4765" w:rsidP="003A27DA">
      <w:pPr>
        <w:pStyle w:val="default"/>
        <w:shd w:val="clear" w:color="auto" w:fill="FFFFFF"/>
        <w:spacing w:before="0" w:beforeAutospacing="0" w:after="0" w:afterAutospacing="0" w:line="360" w:lineRule="auto"/>
        <w:jc w:val="both"/>
      </w:pPr>
    </w:p>
    <w:p w:rsidR="005C4765" w:rsidRPr="00BE6FA1" w:rsidRDefault="005C4765" w:rsidP="003A27DA">
      <w:pPr>
        <w:pStyle w:val="default"/>
        <w:shd w:val="clear" w:color="auto" w:fill="FFFFFF"/>
        <w:spacing w:before="0" w:beforeAutospacing="0" w:after="0" w:afterAutospacing="0" w:line="360" w:lineRule="auto"/>
        <w:jc w:val="both"/>
      </w:pPr>
      <w:r w:rsidRPr="00BE6FA1">
        <w:t>Najważniejsze zakłady pracy, firmy z terenu Miasta i Gminy Kańczuga to:</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Axtone S.A. - dostawca innowacyjnych rozwiązań dla taboru kolejowego.</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Marma Polskie Folie - jeden z największych</w:t>
      </w:r>
      <w:r w:rsidR="00AB79C2" w:rsidRPr="00BE6FA1">
        <w:t xml:space="preserve"> przetwórców tworzyw sztucznych </w:t>
      </w:r>
      <w:r w:rsidRPr="00BE6FA1">
        <w:t>w Europie.</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Bonus Plus – firma zajmująca się przetwórstwem orzechów włoskich, laskowych, arachidowych i migdałów do wyro</w:t>
      </w:r>
      <w:r w:rsidR="00AB79C2" w:rsidRPr="00BE6FA1">
        <w:t xml:space="preserve">bów czekoladowych, piekarnictwa </w:t>
      </w:r>
      <w:r w:rsidRPr="00BE6FA1">
        <w:t>cukierniczego, lodów i jogurtów.</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Rich</w:t>
      </w:r>
      <w:r w:rsidR="000F2C97" w:rsidRPr="00BE6FA1">
        <w:t>d</w:t>
      </w:r>
      <w:r w:rsidRPr="00BE6FA1">
        <w:t>. Anders Polska</w:t>
      </w:r>
      <w:r w:rsidRPr="00BE6FA1">
        <w:rPr>
          <w:rStyle w:val="apple-converted-space"/>
        </w:rPr>
        <w:t> </w:t>
      </w:r>
      <w:r w:rsidRPr="00BE6FA1">
        <w:t>-</w:t>
      </w:r>
      <w:r w:rsidRPr="00BE6FA1">
        <w:rPr>
          <w:rStyle w:val="apple-converted-space"/>
        </w:rPr>
        <w:t> </w:t>
      </w:r>
      <w:r w:rsidRPr="00BE6FA1">
        <w:t xml:space="preserve">Zakład Produkcyjny w Kańczudze specjalizujący się w produkcji drewna klejonego wielowarstwowo na potrzeby przemysłu stolarki otworowej (kantówki okienne i drzwiowe) i </w:t>
      </w:r>
      <w:r w:rsidR="00AB79C2" w:rsidRPr="00BE6FA1">
        <w:t xml:space="preserve">przemysłu meblarskiego (stelaże </w:t>
      </w:r>
      <w:r w:rsidRPr="00BE6FA1">
        <w:t>i płyty.</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Kisan</w:t>
      </w:r>
      <w:r w:rsidR="000F2C97" w:rsidRPr="00BE6FA1">
        <w:rPr>
          <w:rStyle w:val="apple-converted-space"/>
        </w:rPr>
        <w:t xml:space="preserve"> – </w:t>
      </w:r>
      <w:r w:rsidRPr="00BE6FA1">
        <w:t>producent kompletnych sy</w:t>
      </w:r>
      <w:r w:rsidR="00AB79C2" w:rsidRPr="00BE6FA1">
        <w:t xml:space="preserve">stemów instalacji wodociągowych </w:t>
      </w:r>
      <w:r w:rsidR="00AB79C2" w:rsidRPr="00BE6FA1">
        <w:br/>
      </w:r>
      <w:r w:rsidRPr="00BE6FA1">
        <w:t>i grzewczych stosujących technologię rur wielowarstwowych.</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 xml:space="preserve">Tworzydlo – firma zajmująca się transportem </w:t>
      </w:r>
      <w:r w:rsidR="000D713D">
        <w:t>krajowym i międzynarodowym oraz </w:t>
      </w:r>
      <w:r w:rsidRPr="00BE6FA1">
        <w:t>spr</w:t>
      </w:r>
      <w:r w:rsidR="00AB79C2" w:rsidRPr="00BE6FA1">
        <w:t xml:space="preserve">zedażą materiałów budowlanych i </w:t>
      </w:r>
      <w:r w:rsidRPr="00BE6FA1">
        <w:t>wykończeniowych.</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WACMAC – firma zajmująca się konfekcjonowaniem bakalii i przetwórstwem orzechów.</w:t>
      </w:r>
    </w:p>
    <w:p w:rsidR="005C4765"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"Mar-Car" Auto-Serwis Okręgowa Stacja Diagnostyczna Marek Wojtowicz.</w:t>
      </w:r>
    </w:p>
    <w:p w:rsidR="008239D7" w:rsidRPr="00BE6FA1" w:rsidRDefault="005C4765" w:rsidP="003A27DA">
      <w:pPr>
        <w:pStyle w:val="default"/>
        <w:numPr>
          <w:ilvl w:val="0"/>
          <w:numId w:val="1"/>
        </w:numPr>
        <w:shd w:val="clear" w:color="auto" w:fill="FFFFFF"/>
        <w:spacing w:before="0" w:beforeAutospacing="0" w:after="0" w:afterAutospacing="0" w:line="360" w:lineRule="auto"/>
        <w:ind w:left="709" w:hanging="425"/>
        <w:jc w:val="both"/>
      </w:pPr>
      <w:r w:rsidRPr="00BE6FA1">
        <w:t>Ca</w:t>
      </w:r>
      <w:r w:rsidR="00C8270D" w:rsidRPr="00BE6FA1">
        <w:t>r test SK</w:t>
      </w:r>
      <w:r w:rsidRPr="00BE6FA1">
        <w:t>P - Okręgowa stacja diagnostyczna - Paweł Chmura.</w:t>
      </w:r>
    </w:p>
    <w:p w:rsidR="00F06682" w:rsidRPr="00BE6FA1" w:rsidRDefault="00F06682" w:rsidP="003A27DA">
      <w:pPr>
        <w:pStyle w:val="default"/>
        <w:shd w:val="clear" w:color="auto" w:fill="FFFFFF"/>
        <w:spacing w:before="0" w:beforeAutospacing="0" w:after="0" w:afterAutospacing="0" w:line="360" w:lineRule="auto"/>
        <w:ind w:left="709"/>
        <w:jc w:val="both"/>
      </w:pPr>
    </w:p>
    <w:p w:rsidR="00540D2E" w:rsidRPr="00BE6FA1" w:rsidRDefault="008239D7" w:rsidP="003A27DA">
      <w:pPr>
        <w:pStyle w:val="Nagwek2"/>
        <w:spacing w:line="360" w:lineRule="auto"/>
        <w:rPr>
          <w:rFonts w:ascii="Times New Roman" w:hAnsi="Times New Roman" w:cs="Times New Roman"/>
          <w:color w:val="auto"/>
        </w:rPr>
      </w:pPr>
      <w:bookmarkStart w:id="22" w:name="_Toc449097720"/>
      <w:r w:rsidRPr="00BE6FA1">
        <w:rPr>
          <w:rFonts w:ascii="Times New Roman" w:hAnsi="Times New Roman" w:cs="Times New Roman"/>
          <w:color w:val="auto"/>
        </w:rPr>
        <w:t>Transport</w:t>
      </w:r>
      <w:bookmarkEnd w:id="22"/>
    </w:p>
    <w:p w:rsidR="00540D2E" w:rsidRPr="00BE6FA1" w:rsidRDefault="0076119E" w:rsidP="003A27DA">
      <w:pPr>
        <w:spacing w:line="360" w:lineRule="auto"/>
        <w:rPr>
          <w:rFonts w:ascii="Times New Roman" w:hAnsi="Times New Roman" w:cs="Times New Roman"/>
          <w:sz w:val="24"/>
          <w:szCs w:val="24"/>
        </w:rPr>
      </w:pPr>
      <w:r w:rsidRPr="00BE6FA1">
        <w:rPr>
          <w:rFonts w:ascii="Times New Roman" w:hAnsi="Times New Roman" w:cs="Times New Roman"/>
          <w:sz w:val="24"/>
          <w:szCs w:val="24"/>
        </w:rPr>
        <w:br/>
        <w:t>Sieć dróg kołowych w gminie tworzą:</w:t>
      </w:r>
      <w:r w:rsidRPr="00BE6FA1">
        <w:rPr>
          <w:rFonts w:ascii="Times New Roman" w:hAnsi="Times New Roman" w:cs="Times New Roman"/>
          <w:sz w:val="24"/>
          <w:szCs w:val="24"/>
        </w:rPr>
        <w:br/>
      </w:r>
      <w:r w:rsidRPr="00BE6FA1">
        <w:rPr>
          <w:rFonts w:ascii="Times New Roman" w:hAnsi="Times New Roman" w:cs="Times New Roman"/>
          <w:sz w:val="24"/>
          <w:szCs w:val="24"/>
        </w:rPr>
        <w:tab/>
        <w:t>1. drogi wojewódzkie</w:t>
      </w:r>
      <w:r w:rsidRPr="00BE6FA1">
        <w:rPr>
          <w:rFonts w:ascii="Times New Roman" w:hAnsi="Times New Roman" w:cs="Times New Roman"/>
          <w:sz w:val="24"/>
          <w:szCs w:val="24"/>
        </w:rPr>
        <w:br/>
      </w:r>
      <w:r w:rsidRPr="00BE6FA1">
        <w:rPr>
          <w:rFonts w:ascii="Times New Roman" w:hAnsi="Times New Roman" w:cs="Times New Roman"/>
          <w:sz w:val="24"/>
          <w:szCs w:val="24"/>
        </w:rPr>
        <w:tab/>
        <w:t>2. d</w:t>
      </w:r>
      <w:r w:rsidR="00CA6247" w:rsidRPr="00BE6FA1">
        <w:rPr>
          <w:rFonts w:ascii="Times New Roman" w:hAnsi="Times New Roman" w:cs="Times New Roman"/>
          <w:sz w:val="24"/>
          <w:szCs w:val="24"/>
        </w:rPr>
        <w:t>rogi powiatowe</w:t>
      </w:r>
      <w:r w:rsidR="00CA6247" w:rsidRPr="00BE6FA1">
        <w:rPr>
          <w:rFonts w:ascii="Times New Roman" w:hAnsi="Times New Roman" w:cs="Times New Roman"/>
          <w:sz w:val="24"/>
          <w:szCs w:val="24"/>
        </w:rPr>
        <w:br/>
      </w:r>
      <w:r w:rsidR="00CA6247" w:rsidRPr="00BE6FA1">
        <w:rPr>
          <w:rFonts w:ascii="Times New Roman" w:hAnsi="Times New Roman" w:cs="Times New Roman"/>
          <w:sz w:val="24"/>
          <w:szCs w:val="24"/>
        </w:rPr>
        <w:tab/>
        <w:t>3. drogi gminne</w:t>
      </w:r>
    </w:p>
    <w:p w:rsidR="0076119E" w:rsidRPr="00BE6FA1" w:rsidRDefault="0076119E" w:rsidP="003A27DA">
      <w:pPr>
        <w:spacing w:line="360" w:lineRule="auto"/>
        <w:rPr>
          <w:rFonts w:ascii="Times New Roman" w:hAnsi="Times New Roman" w:cs="Times New Roman"/>
          <w:sz w:val="24"/>
          <w:szCs w:val="24"/>
        </w:rPr>
      </w:pPr>
      <w:r w:rsidRPr="00BE6FA1">
        <w:rPr>
          <w:rFonts w:ascii="Times New Roman" w:hAnsi="Times New Roman" w:cs="Times New Roman"/>
          <w:sz w:val="24"/>
          <w:szCs w:val="24"/>
        </w:rPr>
        <w:t>Zarządcami sieci drogowej na terenie gminy są:</w:t>
      </w:r>
    </w:p>
    <w:p w:rsidR="0076119E" w:rsidRPr="00BE6FA1" w:rsidRDefault="0076119E" w:rsidP="009A7AFF">
      <w:pPr>
        <w:pStyle w:val="Akapitzlist"/>
        <w:numPr>
          <w:ilvl w:val="0"/>
          <w:numId w:val="16"/>
        </w:numPr>
        <w:spacing w:line="360" w:lineRule="auto"/>
        <w:rPr>
          <w:rFonts w:ascii="Times New Roman" w:hAnsi="Times New Roman" w:cs="Times New Roman"/>
          <w:sz w:val="24"/>
          <w:szCs w:val="24"/>
        </w:rPr>
      </w:pPr>
      <w:r w:rsidRPr="00BE6FA1">
        <w:rPr>
          <w:rFonts w:ascii="Times New Roman" w:hAnsi="Times New Roman" w:cs="Times New Roman"/>
          <w:sz w:val="24"/>
          <w:szCs w:val="24"/>
        </w:rPr>
        <w:t>drogi wojewódzkie – Podkarpacki Zarząd Dróg Wojewódzkich w Rzeszowie,</w:t>
      </w:r>
    </w:p>
    <w:p w:rsidR="0076119E" w:rsidRPr="00BE6FA1" w:rsidRDefault="0076119E" w:rsidP="009A7AFF">
      <w:pPr>
        <w:pStyle w:val="Akapitzlist"/>
        <w:numPr>
          <w:ilvl w:val="0"/>
          <w:numId w:val="16"/>
        </w:numPr>
        <w:spacing w:line="360" w:lineRule="auto"/>
        <w:rPr>
          <w:rFonts w:ascii="Times New Roman" w:hAnsi="Times New Roman" w:cs="Times New Roman"/>
          <w:sz w:val="24"/>
          <w:szCs w:val="24"/>
        </w:rPr>
      </w:pPr>
      <w:r w:rsidRPr="00BE6FA1">
        <w:rPr>
          <w:rFonts w:ascii="Times New Roman" w:hAnsi="Times New Roman" w:cs="Times New Roman"/>
          <w:sz w:val="24"/>
          <w:szCs w:val="24"/>
        </w:rPr>
        <w:t>drogi powiatowe – Powiatowy Zarząd Dróg w Przeworsku,</w:t>
      </w:r>
    </w:p>
    <w:p w:rsidR="0076119E" w:rsidRPr="00BE6FA1" w:rsidRDefault="0076119E" w:rsidP="009A7AFF">
      <w:pPr>
        <w:pStyle w:val="Akapitzlist"/>
        <w:numPr>
          <w:ilvl w:val="0"/>
          <w:numId w:val="16"/>
        </w:numPr>
        <w:spacing w:line="360" w:lineRule="auto"/>
        <w:rPr>
          <w:rFonts w:ascii="Times New Roman" w:hAnsi="Times New Roman" w:cs="Times New Roman"/>
          <w:sz w:val="24"/>
          <w:szCs w:val="24"/>
        </w:rPr>
      </w:pPr>
      <w:r w:rsidRPr="00BE6FA1">
        <w:rPr>
          <w:rFonts w:ascii="Times New Roman" w:hAnsi="Times New Roman" w:cs="Times New Roman"/>
          <w:sz w:val="24"/>
          <w:szCs w:val="24"/>
        </w:rPr>
        <w:t>Drogi gminne – Miasto i Gmina Kańczuga.</w:t>
      </w:r>
      <w:r w:rsidRPr="00BE6FA1">
        <w:rPr>
          <w:rFonts w:ascii="Times New Roman" w:hAnsi="Times New Roman" w:cs="Times New Roman"/>
          <w:sz w:val="24"/>
          <w:szCs w:val="24"/>
        </w:rPr>
        <w:br/>
      </w:r>
    </w:p>
    <w:p w:rsidR="0076119E" w:rsidRPr="00BE6FA1" w:rsidRDefault="0076119E" w:rsidP="003A27DA">
      <w:pPr>
        <w:spacing w:line="360" w:lineRule="auto"/>
        <w:rPr>
          <w:rFonts w:ascii="Times New Roman" w:hAnsi="Times New Roman" w:cs="Times New Roman"/>
          <w:sz w:val="24"/>
          <w:szCs w:val="24"/>
        </w:rPr>
      </w:pPr>
      <w:r w:rsidRPr="00BE6FA1">
        <w:rPr>
          <w:rFonts w:ascii="Times New Roman" w:hAnsi="Times New Roman" w:cs="Times New Roman"/>
          <w:sz w:val="24"/>
          <w:szCs w:val="24"/>
        </w:rPr>
        <w:lastRenderedPageBreak/>
        <w:t>Długości dróg według rodzaju nawierzchni:</w:t>
      </w:r>
    </w:p>
    <w:p w:rsidR="0076119E"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twarda ulepszona bitumiczna: 50,071 km,</w:t>
      </w:r>
    </w:p>
    <w:p w:rsidR="0076119E"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gruntowa wzmocniona żwirem, żużlem, itp.: 6,81 km,</w:t>
      </w:r>
    </w:p>
    <w:p w:rsidR="0076119E"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gruntowa naturalna (z gruntu rodzimego): 19,318 km,</w:t>
      </w:r>
    </w:p>
    <w:p w:rsidR="0076119E"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twarda nieulepszona tłuczniowa: 11,196 km,</w:t>
      </w:r>
    </w:p>
    <w:p w:rsidR="0076119E"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twarda ulepszona kostka:0,058 km,</w:t>
      </w:r>
    </w:p>
    <w:p w:rsidR="00F06682" w:rsidRPr="00BE6FA1" w:rsidRDefault="0076119E" w:rsidP="009A7AFF">
      <w:pPr>
        <w:pStyle w:val="Akapitzlist"/>
        <w:numPr>
          <w:ilvl w:val="0"/>
          <w:numId w:val="17"/>
        </w:numPr>
        <w:spacing w:line="360" w:lineRule="auto"/>
        <w:rPr>
          <w:rFonts w:ascii="Times New Roman" w:hAnsi="Times New Roman" w:cs="Times New Roman"/>
          <w:sz w:val="24"/>
          <w:szCs w:val="24"/>
        </w:rPr>
      </w:pPr>
      <w:r w:rsidRPr="00BE6FA1">
        <w:rPr>
          <w:rFonts w:ascii="Times New Roman" w:hAnsi="Times New Roman" w:cs="Times New Roman"/>
          <w:sz w:val="24"/>
          <w:szCs w:val="24"/>
        </w:rPr>
        <w:t xml:space="preserve">suma powierzchni chodników </w:t>
      </w:r>
      <w:r w:rsidR="00F06682" w:rsidRPr="00BE6FA1">
        <w:rPr>
          <w:rFonts w:ascii="Times New Roman" w:hAnsi="Times New Roman" w:cs="Times New Roman"/>
          <w:sz w:val="24"/>
          <w:szCs w:val="24"/>
        </w:rPr>
        <w:t>i ścieżek rowerowych: 15086,4 m</w:t>
      </w:r>
      <w:r w:rsidR="00F06682" w:rsidRPr="00BE6FA1">
        <w:rPr>
          <w:rFonts w:ascii="Times New Roman" w:hAnsi="Times New Roman" w:cs="Times New Roman"/>
          <w:sz w:val="24"/>
          <w:szCs w:val="24"/>
          <w:vertAlign w:val="superscript"/>
        </w:rPr>
        <w:t>2</w:t>
      </w:r>
      <w:r w:rsidR="00F06682" w:rsidRPr="00BE6FA1">
        <w:rPr>
          <w:rFonts w:ascii="Times New Roman" w:hAnsi="Times New Roman" w:cs="Times New Roman"/>
          <w:sz w:val="24"/>
          <w:szCs w:val="24"/>
        </w:rPr>
        <w:t>.</w:t>
      </w:r>
      <w:r w:rsidRPr="00BE6FA1">
        <w:rPr>
          <w:rFonts w:ascii="Times New Roman" w:hAnsi="Times New Roman" w:cs="Times New Roman"/>
          <w:sz w:val="24"/>
          <w:szCs w:val="24"/>
        </w:rPr>
        <w:br/>
      </w:r>
    </w:p>
    <w:p w:rsidR="00F06682" w:rsidRPr="00BE6FA1" w:rsidRDefault="008239D7" w:rsidP="003A27DA">
      <w:pPr>
        <w:pStyle w:val="Nagwek2"/>
        <w:spacing w:line="360" w:lineRule="auto"/>
        <w:rPr>
          <w:rFonts w:ascii="Times New Roman" w:hAnsi="Times New Roman" w:cs="Times New Roman"/>
          <w:color w:val="auto"/>
          <w:sz w:val="24"/>
          <w:szCs w:val="24"/>
        </w:rPr>
      </w:pPr>
      <w:bookmarkStart w:id="23" w:name="_Toc449097721"/>
      <w:r w:rsidRPr="00BE6FA1">
        <w:rPr>
          <w:rFonts w:ascii="Times New Roman" w:hAnsi="Times New Roman" w:cs="Times New Roman"/>
          <w:color w:val="auto"/>
          <w:sz w:val="24"/>
          <w:szCs w:val="24"/>
        </w:rPr>
        <w:t>Gospodarka odpadami</w:t>
      </w:r>
      <w:bookmarkEnd w:id="23"/>
    </w:p>
    <w:p w:rsidR="008239D7" w:rsidRPr="00BE6FA1" w:rsidRDefault="0076119E"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Za realizację zadań związanych z gospodarką komu</w:t>
      </w:r>
      <w:r w:rsidR="00F06682" w:rsidRPr="00BE6FA1">
        <w:rPr>
          <w:rFonts w:ascii="Times New Roman" w:hAnsi="Times New Roman" w:cs="Times New Roman"/>
          <w:sz w:val="24"/>
          <w:szCs w:val="24"/>
        </w:rPr>
        <w:t xml:space="preserve">nalną w gminie odpowiada Zakład </w:t>
      </w:r>
      <w:r w:rsidRPr="00BE6FA1">
        <w:rPr>
          <w:rFonts w:ascii="Times New Roman" w:hAnsi="Times New Roman" w:cs="Times New Roman"/>
          <w:sz w:val="24"/>
          <w:szCs w:val="24"/>
        </w:rPr>
        <w:t>Gospodarki Komunalnej Spółka z o.o. Jest on prawnym na</w:t>
      </w:r>
      <w:r w:rsidR="00CA6247" w:rsidRPr="00BE6FA1">
        <w:rPr>
          <w:rFonts w:ascii="Times New Roman" w:hAnsi="Times New Roman" w:cs="Times New Roman"/>
          <w:sz w:val="24"/>
          <w:szCs w:val="24"/>
        </w:rPr>
        <w:t xml:space="preserve">stępcą Zakładu Wodociągów </w:t>
      </w:r>
      <w:r w:rsidR="00CA6247" w:rsidRPr="00BE6FA1">
        <w:rPr>
          <w:rFonts w:ascii="Times New Roman" w:hAnsi="Times New Roman" w:cs="Times New Roman"/>
          <w:sz w:val="24"/>
          <w:szCs w:val="24"/>
        </w:rPr>
        <w:br/>
        <w:t xml:space="preserve">i </w:t>
      </w:r>
      <w:r w:rsidRPr="00BE6FA1">
        <w:rPr>
          <w:rFonts w:ascii="Times New Roman" w:hAnsi="Times New Roman" w:cs="Times New Roman"/>
          <w:sz w:val="24"/>
          <w:szCs w:val="24"/>
        </w:rPr>
        <w:t>Kanalizacji w Kańczudze.</w:t>
      </w:r>
    </w:p>
    <w:p w:rsidR="00EC40E7" w:rsidRPr="00BE6FA1" w:rsidRDefault="00D566F6"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 ramach przetargów realizowany jest </w:t>
      </w:r>
      <w:r w:rsidR="0076119E" w:rsidRPr="00BE6FA1">
        <w:rPr>
          <w:rFonts w:ascii="Times New Roman" w:hAnsi="Times New Roman" w:cs="Times New Roman"/>
          <w:sz w:val="24"/>
          <w:szCs w:val="24"/>
        </w:rPr>
        <w:t>odbiór odpadów zmieszanych z zab</w:t>
      </w:r>
      <w:r w:rsidR="00F06682" w:rsidRPr="00BE6FA1">
        <w:rPr>
          <w:rFonts w:ascii="Times New Roman" w:hAnsi="Times New Roman" w:cs="Times New Roman"/>
          <w:sz w:val="24"/>
          <w:szCs w:val="24"/>
        </w:rPr>
        <w:t xml:space="preserve">udowy jednorodzinnej. </w:t>
      </w:r>
      <w:r w:rsidR="00EC40E7" w:rsidRPr="00BE6FA1">
        <w:rPr>
          <w:rFonts w:ascii="Times New Roman" w:hAnsi="Times New Roman" w:cs="Times New Roman"/>
          <w:sz w:val="24"/>
          <w:szCs w:val="24"/>
        </w:rPr>
        <w:t xml:space="preserve">W </w:t>
      </w:r>
      <w:r w:rsidR="00F06682" w:rsidRPr="00BE6FA1">
        <w:rPr>
          <w:rFonts w:ascii="Times New Roman" w:hAnsi="Times New Roman" w:cs="Times New Roman"/>
          <w:sz w:val="24"/>
          <w:szCs w:val="24"/>
        </w:rPr>
        <w:t xml:space="preserve">sezonie </w:t>
      </w:r>
      <w:r w:rsidR="0076119E" w:rsidRPr="00BE6FA1">
        <w:rPr>
          <w:rFonts w:ascii="Times New Roman" w:hAnsi="Times New Roman" w:cs="Times New Roman"/>
          <w:sz w:val="24"/>
          <w:szCs w:val="24"/>
        </w:rPr>
        <w:t>letnim (kwiecień-wrzesień) odbywa się on 2 razy w miesiącu</w:t>
      </w:r>
      <w:r w:rsidR="00EC40E7" w:rsidRPr="00BE6FA1">
        <w:rPr>
          <w:rFonts w:ascii="Times New Roman" w:hAnsi="Times New Roman" w:cs="Times New Roman"/>
          <w:sz w:val="24"/>
          <w:szCs w:val="24"/>
        </w:rPr>
        <w:t xml:space="preserve">, natomiast w </w:t>
      </w:r>
      <w:r w:rsidR="00F06682" w:rsidRPr="00BE6FA1">
        <w:rPr>
          <w:rFonts w:ascii="Times New Roman" w:hAnsi="Times New Roman" w:cs="Times New Roman"/>
          <w:sz w:val="24"/>
          <w:szCs w:val="24"/>
        </w:rPr>
        <w:t>sezonie jesienno-</w:t>
      </w:r>
      <w:r w:rsidR="0076119E" w:rsidRPr="00BE6FA1">
        <w:rPr>
          <w:rFonts w:ascii="Times New Roman" w:hAnsi="Times New Roman" w:cs="Times New Roman"/>
          <w:sz w:val="24"/>
          <w:szCs w:val="24"/>
        </w:rPr>
        <w:t>zimowym (styczeń-marzec, październi</w:t>
      </w:r>
      <w:r w:rsidR="00EC40E7" w:rsidRPr="00BE6FA1">
        <w:rPr>
          <w:rFonts w:ascii="Times New Roman" w:hAnsi="Times New Roman" w:cs="Times New Roman"/>
          <w:sz w:val="24"/>
          <w:szCs w:val="24"/>
        </w:rPr>
        <w:t xml:space="preserve">k – grudzień) 1 raz </w:t>
      </w:r>
      <w:r w:rsidR="00E57842" w:rsidRPr="00BE6FA1">
        <w:rPr>
          <w:rFonts w:ascii="Times New Roman" w:hAnsi="Times New Roman" w:cs="Times New Roman"/>
          <w:sz w:val="24"/>
          <w:szCs w:val="24"/>
        </w:rPr>
        <w:br/>
      </w:r>
      <w:r w:rsidR="00EC40E7" w:rsidRPr="00BE6FA1">
        <w:rPr>
          <w:rFonts w:ascii="Times New Roman" w:hAnsi="Times New Roman" w:cs="Times New Roman"/>
          <w:sz w:val="24"/>
          <w:szCs w:val="24"/>
        </w:rPr>
        <w:t xml:space="preserve">w miesiącu. </w:t>
      </w:r>
    </w:p>
    <w:p w:rsidR="009107A4" w:rsidRPr="00BE6FA1" w:rsidRDefault="0076119E"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Na terenie gminy prowadzona jest także zbiórka odpadów seg</w:t>
      </w:r>
      <w:r w:rsidR="00EC40E7" w:rsidRPr="00BE6FA1">
        <w:rPr>
          <w:rFonts w:ascii="Times New Roman" w:hAnsi="Times New Roman" w:cs="Times New Roman"/>
          <w:sz w:val="24"/>
          <w:szCs w:val="24"/>
        </w:rPr>
        <w:t xml:space="preserve">regowanych </w:t>
      </w:r>
      <w:r w:rsidR="0006550F" w:rsidRPr="00BE6FA1">
        <w:rPr>
          <w:rFonts w:ascii="Times New Roman" w:hAnsi="Times New Roman" w:cs="Times New Roman"/>
          <w:sz w:val="24"/>
          <w:szCs w:val="24"/>
        </w:rPr>
        <w:br/>
      </w:r>
      <w:r w:rsidR="00EC40E7" w:rsidRPr="00BE6FA1">
        <w:rPr>
          <w:rFonts w:ascii="Times New Roman" w:hAnsi="Times New Roman" w:cs="Times New Roman"/>
          <w:sz w:val="24"/>
          <w:szCs w:val="24"/>
        </w:rPr>
        <w:t xml:space="preserve">(tj. szkło, </w:t>
      </w:r>
      <w:r w:rsidR="00F06682" w:rsidRPr="00BE6FA1">
        <w:rPr>
          <w:rFonts w:ascii="Times New Roman" w:hAnsi="Times New Roman" w:cs="Times New Roman"/>
          <w:sz w:val="24"/>
          <w:szCs w:val="24"/>
        </w:rPr>
        <w:t xml:space="preserve">papier i </w:t>
      </w:r>
      <w:r w:rsidRPr="00BE6FA1">
        <w:rPr>
          <w:rFonts w:ascii="Times New Roman" w:hAnsi="Times New Roman" w:cs="Times New Roman"/>
          <w:sz w:val="24"/>
          <w:szCs w:val="24"/>
        </w:rPr>
        <w:t>tektura, tworzywa sztuczne i odpady wielkomateriałowe, popi</w:t>
      </w:r>
      <w:r w:rsidR="00EC40E7" w:rsidRPr="00BE6FA1">
        <w:rPr>
          <w:rFonts w:ascii="Times New Roman" w:hAnsi="Times New Roman" w:cs="Times New Roman"/>
          <w:sz w:val="24"/>
          <w:szCs w:val="24"/>
        </w:rPr>
        <w:t xml:space="preserve">ół, metal) raz w </w:t>
      </w:r>
      <w:r w:rsidR="00F06682" w:rsidRPr="00BE6FA1">
        <w:rPr>
          <w:rFonts w:ascii="Times New Roman" w:hAnsi="Times New Roman" w:cs="Times New Roman"/>
          <w:sz w:val="24"/>
          <w:szCs w:val="24"/>
        </w:rPr>
        <w:t xml:space="preserve">miesiącu przez </w:t>
      </w:r>
      <w:r w:rsidR="00EC40E7" w:rsidRPr="00BE6FA1">
        <w:rPr>
          <w:rFonts w:ascii="Times New Roman" w:hAnsi="Times New Roman" w:cs="Times New Roman"/>
          <w:sz w:val="24"/>
          <w:szCs w:val="24"/>
        </w:rPr>
        <w:t xml:space="preserve">cały rok. </w:t>
      </w:r>
      <w:r w:rsidRPr="00BE6FA1">
        <w:rPr>
          <w:rFonts w:ascii="Times New Roman" w:hAnsi="Times New Roman" w:cs="Times New Roman"/>
          <w:sz w:val="24"/>
          <w:szCs w:val="24"/>
        </w:rPr>
        <w:t xml:space="preserve">Na terenie gminy </w:t>
      </w:r>
      <w:r w:rsidR="00806262" w:rsidRPr="00BE6FA1">
        <w:rPr>
          <w:rFonts w:ascii="Times New Roman" w:hAnsi="Times New Roman" w:cs="Times New Roman"/>
          <w:sz w:val="24"/>
          <w:szCs w:val="24"/>
        </w:rPr>
        <w:t>znajduje się</w:t>
      </w:r>
      <w:r w:rsidRPr="00BE6FA1">
        <w:rPr>
          <w:rFonts w:ascii="Times New Roman" w:hAnsi="Times New Roman" w:cs="Times New Roman"/>
          <w:sz w:val="24"/>
          <w:szCs w:val="24"/>
        </w:rPr>
        <w:t xml:space="preserve"> Punkty Selektywnej Zbi</w:t>
      </w:r>
      <w:r w:rsidR="00EC40E7" w:rsidRPr="00BE6FA1">
        <w:rPr>
          <w:rFonts w:ascii="Times New Roman" w:hAnsi="Times New Roman" w:cs="Times New Roman"/>
          <w:sz w:val="24"/>
          <w:szCs w:val="24"/>
        </w:rPr>
        <w:t xml:space="preserve">órki </w:t>
      </w:r>
      <w:r w:rsidR="00806262" w:rsidRPr="00BE6FA1">
        <w:rPr>
          <w:rFonts w:ascii="Times New Roman" w:hAnsi="Times New Roman" w:cs="Times New Roman"/>
          <w:sz w:val="24"/>
          <w:szCs w:val="24"/>
        </w:rPr>
        <w:t>Odpadów Komunalnych (</w:t>
      </w:r>
      <w:r w:rsidRPr="00BE6FA1">
        <w:rPr>
          <w:rFonts w:ascii="Times New Roman" w:hAnsi="Times New Roman" w:cs="Times New Roman"/>
          <w:sz w:val="24"/>
          <w:szCs w:val="24"/>
        </w:rPr>
        <w:t>PSZOK</w:t>
      </w:r>
      <w:r w:rsidR="00806262" w:rsidRPr="00BE6FA1">
        <w:rPr>
          <w:rFonts w:ascii="Times New Roman" w:hAnsi="Times New Roman" w:cs="Times New Roman"/>
          <w:sz w:val="24"/>
          <w:szCs w:val="24"/>
        </w:rPr>
        <w:t>)</w:t>
      </w:r>
      <w:r w:rsidRPr="00BE6FA1">
        <w:rPr>
          <w:rFonts w:ascii="Times New Roman" w:hAnsi="Times New Roman" w:cs="Times New Roman"/>
          <w:sz w:val="24"/>
          <w:szCs w:val="24"/>
        </w:rPr>
        <w:t xml:space="preserve"> w Siedleczce, gdzie zbierane są odpa</w:t>
      </w:r>
      <w:r w:rsidR="00F06682" w:rsidRPr="00BE6FA1">
        <w:rPr>
          <w:rFonts w:ascii="Times New Roman" w:hAnsi="Times New Roman" w:cs="Times New Roman"/>
          <w:sz w:val="24"/>
          <w:szCs w:val="24"/>
        </w:rPr>
        <w:t xml:space="preserve">dy segregowane takie jak szkło, </w:t>
      </w:r>
      <w:r w:rsidRPr="00BE6FA1">
        <w:rPr>
          <w:rFonts w:ascii="Times New Roman" w:hAnsi="Times New Roman" w:cs="Times New Roman"/>
          <w:sz w:val="24"/>
          <w:szCs w:val="24"/>
        </w:rPr>
        <w:t>plastik, metal, makul</w:t>
      </w:r>
      <w:r w:rsidR="00F06682" w:rsidRPr="00BE6FA1">
        <w:rPr>
          <w:rFonts w:ascii="Times New Roman" w:hAnsi="Times New Roman" w:cs="Times New Roman"/>
          <w:sz w:val="24"/>
          <w:szCs w:val="24"/>
        </w:rPr>
        <w:t>atur</w:t>
      </w:r>
      <w:r w:rsidR="00EC40E7" w:rsidRPr="00BE6FA1">
        <w:rPr>
          <w:rFonts w:ascii="Times New Roman" w:hAnsi="Times New Roman" w:cs="Times New Roman"/>
          <w:sz w:val="24"/>
          <w:szCs w:val="24"/>
        </w:rPr>
        <w:t xml:space="preserve">a, popiół, </w:t>
      </w:r>
      <w:r w:rsidR="00F06682" w:rsidRPr="00BE6FA1">
        <w:rPr>
          <w:rFonts w:ascii="Times New Roman" w:hAnsi="Times New Roman" w:cs="Times New Roman"/>
          <w:sz w:val="24"/>
          <w:szCs w:val="24"/>
        </w:rPr>
        <w:t xml:space="preserve">wielomateriałowe odpady budowlane, odpady </w:t>
      </w:r>
      <w:r w:rsidRPr="00BE6FA1">
        <w:rPr>
          <w:rFonts w:ascii="Times New Roman" w:hAnsi="Times New Roman" w:cs="Times New Roman"/>
          <w:sz w:val="24"/>
          <w:szCs w:val="24"/>
        </w:rPr>
        <w:t>wielkogabarytowe oraz opony.</w:t>
      </w:r>
    </w:p>
    <w:p w:rsidR="00B90901" w:rsidRPr="00BE6FA1" w:rsidRDefault="00B90901" w:rsidP="00B90901">
      <w:pPr>
        <w:pStyle w:val="Nagwek2"/>
        <w:spacing w:line="360" w:lineRule="auto"/>
        <w:rPr>
          <w:rFonts w:ascii="Times New Roman" w:hAnsi="Times New Roman" w:cs="Times New Roman"/>
          <w:color w:val="auto"/>
          <w:sz w:val="24"/>
          <w:szCs w:val="24"/>
        </w:rPr>
      </w:pPr>
    </w:p>
    <w:p w:rsidR="00A63A6F" w:rsidRPr="00BE6FA1" w:rsidRDefault="008239D7" w:rsidP="00B90901">
      <w:pPr>
        <w:pStyle w:val="Nagwek2"/>
        <w:spacing w:after="120" w:line="360" w:lineRule="auto"/>
        <w:rPr>
          <w:rFonts w:ascii="Times New Roman" w:hAnsi="Times New Roman" w:cs="Times New Roman"/>
          <w:color w:val="auto"/>
          <w:sz w:val="24"/>
          <w:szCs w:val="24"/>
        </w:rPr>
      </w:pPr>
      <w:bookmarkStart w:id="24" w:name="_Toc449097722"/>
      <w:r w:rsidRPr="00BE6FA1">
        <w:rPr>
          <w:rFonts w:ascii="Times New Roman" w:hAnsi="Times New Roman" w:cs="Times New Roman"/>
          <w:color w:val="auto"/>
          <w:sz w:val="24"/>
          <w:szCs w:val="24"/>
        </w:rPr>
        <w:t>Gospodarka wodno</w:t>
      </w:r>
      <w:r w:rsidR="00F3759F" w:rsidRPr="00BE6FA1">
        <w:rPr>
          <w:rFonts w:ascii="Times New Roman" w:hAnsi="Times New Roman" w:cs="Times New Roman"/>
          <w:color w:val="auto"/>
          <w:sz w:val="24"/>
          <w:szCs w:val="24"/>
        </w:rPr>
        <w:t>–</w:t>
      </w:r>
      <w:r w:rsidRPr="00BE6FA1">
        <w:rPr>
          <w:rFonts w:ascii="Times New Roman" w:hAnsi="Times New Roman" w:cs="Times New Roman"/>
          <w:color w:val="auto"/>
          <w:sz w:val="24"/>
          <w:szCs w:val="24"/>
        </w:rPr>
        <w:t xml:space="preserve"> ściekowa</w:t>
      </w:r>
      <w:bookmarkEnd w:id="24"/>
    </w:p>
    <w:p w:rsidR="00EC40E7" w:rsidRPr="00BE6FA1" w:rsidRDefault="00EC40E7"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 2014 roku długość czynnej sieci kanalizacyjnej na terenie gminy wynosiła </w:t>
      </w:r>
      <w:r w:rsidR="0006550F" w:rsidRPr="00BE6FA1">
        <w:rPr>
          <w:rFonts w:ascii="Times New Roman" w:hAnsi="Times New Roman" w:cs="Times New Roman"/>
          <w:sz w:val="24"/>
          <w:szCs w:val="24"/>
        </w:rPr>
        <w:br/>
      </w:r>
      <w:r w:rsidRPr="00BE6FA1">
        <w:rPr>
          <w:rFonts w:ascii="Times New Roman" w:hAnsi="Times New Roman" w:cs="Times New Roman"/>
          <w:sz w:val="24"/>
          <w:szCs w:val="24"/>
        </w:rPr>
        <w:t>122 km, liczba przyłączy do budynków mieszkalnych i zbiorowego mieszkania wynosiła 2090, natomiast ilość ścieków odprowadzonych 174000 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w:t>
      </w:r>
    </w:p>
    <w:p w:rsidR="005968F1" w:rsidRPr="00BE6FA1" w:rsidRDefault="005968F1" w:rsidP="003A27DA">
      <w:pPr>
        <w:spacing w:line="360" w:lineRule="auto"/>
        <w:ind w:firstLine="708"/>
        <w:jc w:val="both"/>
        <w:rPr>
          <w:rFonts w:ascii="Times New Roman" w:hAnsi="Times New Roman" w:cs="Times New Roman"/>
          <w:b/>
          <w:sz w:val="24"/>
          <w:szCs w:val="24"/>
        </w:rPr>
      </w:pPr>
    </w:p>
    <w:p w:rsidR="00EC40E7" w:rsidRPr="00BE6FA1" w:rsidRDefault="009C2A50"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Na terenie </w:t>
      </w:r>
      <w:r w:rsidR="001F0217" w:rsidRPr="00BE6FA1">
        <w:rPr>
          <w:rFonts w:ascii="Times New Roman" w:hAnsi="Times New Roman" w:cs="Times New Roman"/>
          <w:sz w:val="24"/>
          <w:szCs w:val="24"/>
        </w:rPr>
        <w:t>Miasta i G</w:t>
      </w:r>
      <w:r w:rsidR="0006550F" w:rsidRPr="00BE6FA1">
        <w:rPr>
          <w:rFonts w:ascii="Times New Roman" w:hAnsi="Times New Roman" w:cs="Times New Roman"/>
          <w:sz w:val="24"/>
          <w:szCs w:val="24"/>
        </w:rPr>
        <w:t xml:space="preserve">miny Kańczuga stopień przyłączenia gospodarstw domowych do sieci wodociągowej wynosi </w:t>
      </w:r>
      <w:r w:rsidR="00933D43" w:rsidRPr="00BE6FA1">
        <w:rPr>
          <w:rFonts w:ascii="Times New Roman" w:hAnsi="Times New Roman" w:cs="Times New Roman"/>
          <w:sz w:val="24"/>
          <w:szCs w:val="24"/>
        </w:rPr>
        <w:t>100%</w:t>
      </w:r>
      <w:r w:rsidRPr="00BE6FA1">
        <w:rPr>
          <w:rFonts w:ascii="Times New Roman" w:hAnsi="Times New Roman" w:cs="Times New Roman"/>
          <w:sz w:val="24"/>
          <w:szCs w:val="24"/>
        </w:rPr>
        <w:t xml:space="preserve"> na terenie miasta Kańczuga i 97% na terenie gminy</w:t>
      </w:r>
      <w:r w:rsidR="00806262" w:rsidRPr="00BE6FA1">
        <w:rPr>
          <w:rFonts w:ascii="Times New Roman" w:hAnsi="Times New Roman" w:cs="Times New Roman"/>
          <w:sz w:val="24"/>
          <w:szCs w:val="24"/>
        </w:rPr>
        <w:t>,</w:t>
      </w:r>
      <w:r w:rsidR="0006550F" w:rsidRPr="00BE6FA1">
        <w:rPr>
          <w:rFonts w:ascii="Times New Roman" w:hAnsi="Times New Roman" w:cs="Times New Roman"/>
          <w:sz w:val="24"/>
          <w:szCs w:val="24"/>
        </w:rPr>
        <w:t xml:space="preserve"> </w:t>
      </w:r>
      <w:r w:rsidR="00E57842" w:rsidRPr="00BE6FA1">
        <w:rPr>
          <w:rFonts w:ascii="Times New Roman" w:hAnsi="Times New Roman" w:cs="Times New Roman"/>
          <w:sz w:val="24"/>
          <w:szCs w:val="24"/>
        </w:rPr>
        <w:br/>
      </w:r>
      <w:r w:rsidR="0006550F" w:rsidRPr="00BE6FA1">
        <w:rPr>
          <w:rFonts w:ascii="Times New Roman" w:hAnsi="Times New Roman" w:cs="Times New Roman"/>
          <w:sz w:val="24"/>
          <w:szCs w:val="24"/>
        </w:rPr>
        <w:t>a stopień</w:t>
      </w:r>
      <w:r w:rsidR="00B90901" w:rsidRPr="00BE6FA1">
        <w:rPr>
          <w:rFonts w:ascii="Times New Roman" w:hAnsi="Times New Roman" w:cs="Times New Roman"/>
          <w:sz w:val="24"/>
          <w:szCs w:val="24"/>
        </w:rPr>
        <w:t xml:space="preserve"> skanalizowania 75% </w:t>
      </w:r>
      <w:r w:rsidR="0006550F" w:rsidRPr="00BE6FA1">
        <w:rPr>
          <w:rFonts w:ascii="Times New Roman" w:hAnsi="Times New Roman" w:cs="Times New Roman"/>
          <w:sz w:val="24"/>
          <w:szCs w:val="24"/>
        </w:rPr>
        <w:t>(na całym obszarze gminy). Ilość gospodarstw wiejskich podłączona do kanalizacji to 45,7%, natomiast 54,3% ogólnej liczby</w:t>
      </w:r>
      <w:r w:rsidR="00806262" w:rsidRPr="00BE6FA1">
        <w:rPr>
          <w:rFonts w:ascii="Times New Roman" w:hAnsi="Times New Roman" w:cs="Times New Roman"/>
          <w:sz w:val="24"/>
          <w:szCs w:val="24"/>
        </w:rPr>
        <w:t xml:space="preserve"> </w:t>
      </w:r>
      <w:r w:rsidR="0006550F" w:rsidRPr="00BE6FA1">
        <w:rPr>
          <w:rFonts w:ascii="Times New Roman" w:hAnsi="Times New Roman" w:cs="Times New Roman"/>
          <w:sz w:val="24"/>
          <w:szCs w:val="24"/>
        </w:rPr>
        <w:t xml:space="preserve">gospodarstw posiada indywidualne zbiorniki bezodpływowe. </w:t>
      </w:r>
    </w:p>
    <w:p w:rsidR="008A6F6C" w:rsidRPr="00BE6FA1" w:rsidRDefault="008A6F6C" w:rsidP="008A6F6C">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Według informacji Banku Danych Lokalnych na dzień 31.12.2014r. stan sieci wodociągowej  w Mieście i Gminie Kańczuga przedstawiał się następująco: </w:t>
      </w:r>
    </w:p>
    <w:p w:rsidR="008A6F6C" w:rsidRPr="00BE6FA1" w:rsidRDefault="008A6F6C" w:rsidP="009A7AFF">
      <w:pPr>
        <w:pStyle w:val="Akapitzlist"/>
        <w:numPr>
          <w:ilvl w:val="0"/>
          <w:numId w:val="6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Długość sieci  wodociągowej 152,70 km</w:t>
      </w:r>
      <w:bookmarkStart w:id="25" w:name="_GoBack"/>
      <w:bookmarkEnd w:id="25"/>
    </w:p>
    <w:p w:rsidR="008A6F6C" w:rsidRPr="00BE6FA1" w:rsidRDefault="008A6F6C" w:rsidP="009A7AFF">
      <w:pPr>
        <w:pStyle w:val="Akapitzlist"/>
        <w:numPr>
          <w:ilvl w:val="0"/>
          <w:numId w:val="6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Przyłącza wodociągowe do budynków – 2908 szt.</w:t>
      </w:r>
    </w:p>
    <w:p w:rsidR="00D566F6" w:rsidRPr="00BE6FA1" w:rsidRDefault="008A6F6C" w:rsidP="009A7AFF">
      <w:pPr>
        <w:pStyle w:val="Akapitzlist"/>
        <w:numPr>
          <w:ilvl w:val="0"/>
          <w:numId w:val="6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Ludność korzystająca z sieci wodociągowej – 10 423 os.   </w:t>
      </w:r>
    </w:p>
    <w:p w:rsidR="008A6F6C" w:rsidRPr="00BE6FA1" w:rsidRDefault="008A6F6C" w:rsidP="008A6F6C">
      <w:pPr>
        <w:pStyle w:val="Akapitzlist"/>
        <w:spacing w:line="360" w:lineRule="auto"/>
        <w:jc w:val="both"/>
        <w:rPr>
          <w:rFonts w:ascii="Times New Roman" w:hAnsi="Times New Roman" w:cs="Times New Roman"/>
          <w:sz w:val="24"/>
          <w:szCs w:val="24"/>
        </w:rPr>
      </w:pPr>
    </w:p>
    <w:p w:rsidR="008A6F6C" w:rsidRPr="00BE6FA1" w:rsidRDefault="008A6F6C" w:rsidP="008A6F6C">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Na terenie gminy funkcjonują dwie oczyszczalnie ścieków: </w:t>
      </w:r>
    </w:p>
    <w:p w:rsidR="008A6F6C" w:rsidRPr="00BE6FA1" w:rsidRDefault="008A6F6C" w:rsidP="009A7AFF">
      <w:pPr>
        <w:pStyle w:val="Akapitzlist"/>
        <w:numPr>
          <w:ilvl w:val="0"/>
          <w:numId w:val="7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Oczyszczalnia ścieków w Krzeczowicach</w:t>
      </w:r>
    </w:p>
    <w:p w:rsidR="008A6F6C" w:rsidRPr="00BE6FA1" w:rsidRDefault="008A6F6C" w:rsidP="008A6F6C">
      <w:pPr>
        <w:pStyle w:val="Akapitzlist"/>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Zdolność przerobowa Qśre dob  = 676 m3/dobę. </w:t>
      </w:r>
    </w:p>
    <w:p w:rsidR="008A6F6C" w:rsidRPr="00BE6FA1" w:rsidRDefault="008A6F6C" w:rsidP="008A6F6C">
      <w:pPr>
        <w:pStyle w:val="Akapitzlist"/>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Obsługuje miejscowości: Krzeczowice, Bóbrka Kańczucka, Pantalowice.</w:t>
      </w:r>
    </w:p>
    <w:p w:rsidR="008A6F6C" w:rsidRPr="00BE6FA1" w:rsidRDefault="008A6F6C" w:rsidP="008A6F6C">
      <w:pPr>
        <w:pStyle w:val="Akapitzlist"/>
        <w:spacing w:line="360" w:lineRule="auto"/>
        <w:jc w:val="both"/>
        <w:rPr>
          <w:rFonts w:ascii="Times New Roman" w:hAnsi="Times New Roman" w:cs="Times New Roman"/>
          <w:sz w:val="24"/>
          <w:szCs w:val="24"/>
        </w:rPr>
      </w:pPr>
    </w:p>
    <w:p w:rsidR="008A6F6C" w:rsidRPr="00BE6FA1" w:rsidRDefault="008A6F6C" w:rsidP="009A7AFF">
      <w:pPr>
        <w:pStyle w:val="Akapitzlist"/>
        <w:numPr>
          <w:ilvl w:val="0"/>
          <w:numId w:val="7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Oczyszczalnia ścieków w Kańczudze.</w:t>
      </w:r>
    </w:p>
    <w:p w:rsidR="008A6F6C" w:rsidRPr="00BE6FA1" w:rsidRDefault="008A6F6C" w:rsidP="008A6F6C">
      <w:pPr>
        <w:pStyle w:val="Akapitzlist"/>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Zdolność przerobowa – Qśre dob  = 500 m3/dobę. </w:t>
      </w:r>
    </w:p>
    <w:p w:rsidR="008A6F6C" w:rsidRPr="00BE6FA1" w:rsidRDefault="008A6F6C" w:rsidP="008A6F6C">
      <w:pPr>
        <w:pStyle w:val="Akapitzlist"/>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Obsługuje miejscowości: Kańczuga, Niżatyce, Siedleczka, Łopuszka Wielka; Łopuszka Mała</w:t>
      </w:r>
    </w:p>
    <w:p w:rsidR="008A6F6C" w:rsidRPr="00BE6FA1" w:rsidRDefault="008A6F6C" w:rsidP="003A27DA">
      <w:pPr>
        <w:pStyle w:val="Default0"/>
        <w:spacing w:line="360" w:lineRule="auto"/>
        <w:ind w:firstLine="720"/>
        <w:jc w:val="both"/>
        <w:rPr>
          <w:color w:val="auto"/>
        </w:rPr>
      </w:pPr>
    </w:p>
    <w:p w:rsidR="00EC7687" w:rsidRPr="00BE6FA1" w:rsidRDefault="00EC7687" w:rsidP="003A27DA">
      <w:pPr>
        <w:pStyle w:val="Default0"/>
        <w:spacing w:line="360" w:lineRule="auto"/>
        <w:ind w:firstLine="720"/>
        <w:jc w:val="both"/>
        <w:rPr>
          <w:color w:val="auto"/>
        </w:rPr>
      </w:pPr>
      <w:r w:rsidRPr="00BE6FA1">
        <w:rPr>
          <w:color w:val="auto"/>
        </w:rPr>
        <w:t>Oczyszczalnie ścieków na terenie</w:t>
      </w:r>
      <w:r w:rsidR="001F0217" w:rsidRPr="00BE6FA1">
        <w:rPr>
          <w:color w:val="auto"/>
        </w:rPr>
        <w:t xml:space="preserve"> Miasta i</w:t>
      </w:r>
      <w:r w:rsidRPr="00BE6FA1">
        <w:rPr>
          <w:color w:val="auto"/>
        </w:rPr>
        <w:t xml:space="preserve"> Gminy Kańczuga nie są monitorowane pod kątem emisji niezwiązanej ze zużyciem energii, a wynikającej z funkcjonowania obiektów (np. emisji CH</w:t>
      </w:r>
      <w:r w:rsidRPr="00BE6FA1">
        <w:rPr>
          <w:color w:val="auto"/>
          <w:vertAlign w:val="subscript"/>
        </w:rPr>
        <w:t>4</w:t>
      </w:r>
      <w:r w:rsidRPr="00BE6FA1">
        <w:rPr>
          <w:color w:val="auto"/>
        </w:rPr>
        <w:t>).</w:t>
      </w:r>
    </w:p>
    <w:p w:rsidR="005968F1" w:rsidRPr="00BE6FA1" w:rsidRDefault="005968F1" w:rsidP="003A27DA">
      <w:pPr>
        <w:pStyle w:val="Default0"/>
        <w:spacing w:line="360" w:lineRule="auto"/>
        <w:ind w:firstLine="720"/>
        <w:jc w:val="both"/>
        <w:rPr>
          <w:color w:val="auto"/>
        </w:rPr>
      </w:pPr>
    </w:p>
    <w:p w:rsidR="005968F1" w:rsidRPr="00BE6FA1" w:rsidRDefault="005968F1" w:rsidP="003A27DA">
      <w:pPr>
        <w:pStyle w:val="Default0"/>
        <w:spacing w:line="360" w:lineRule="auto"/>
        <w:ind w:firstLine="720"/>
        <w:jc w:val="both"/>
        <w:rPr>
          <w:color w:val="auto"/>
        </w:rPr>
      </w:pPr>
    </w:p>
    <w:p w:rsidR="005968F1" w:rsidRPr="00BE6FA1" w:rsidRDefault="005968F1" w:rsidP="003A27DA">
      <w:pPr>
        <w:pStyle w:val="Default0"/>
        <w:spacing w:line="360" w:lineRule="auto"/>
        <w:ind w:firstLine="720"/>
        <w:jc w:val="both"/>
        <w:rPr>
          <w:color w:val="auto"/>
        </w:rPr>
      </w:pPr>
    </w:p>
    <w:p w:rsidR="005968F1" w:rsidRPr="00BE6FA1" w:rsidRDefault="005968F1" w:rsidP="003A27DA">
      <w:pPr>
        <w:pStyle w:val="Default0"/>
        <w:spacing w:line="360" w:lineRule="auto"/>
        <w:ind w:firstLine="720"/>
        <w:jc w:val="both"/>
        <w:rPr>
          <w:color w:val="auto"/>
        </w:rPr>
      </w:pPr>
    </w:p>
    <w:p w:rsidR="005968F1" w:rsidRPr="00BE6FA1" w:rsidRDefault="005968F1" w:rsidP="003A27DA">
      <w:pPr>
        <w:pStyle w:val="Default0"/>
        <w:spacing w:line="360" w:lineRule="auto"/>
        <w:ind w:firstLine="720"/>
        <w:jc w:val="both"/>
        <w:rPr>
          <w:color w:val="auto"/>
        </w:rPr>
      </w:pPr>
    </w:p>
    <w:p w:rsidR="005968F1" w:rsidRPr="00BE6FA1" w:rsidRDefault="005968F1" w:rsidP="003A27DA">
      <w:pPr>
        <w:pStyle w:val="Default0"/>
        <w:spacing w:line="360" w:lineRule="auto"/>
        <w:ind w:firstLine="720"/>
        <w:jc w:val="both"/>
        <w:rPr>
          <w:color w:val="auto"/>
        </w:rPr>
      </w:pPr>
    </w:p>
    <w:p w:rsidR="000144A4" w:rsidRPr="00BE6FA1" w:rsidRDefault="000144A4" w:rsidP="003A27DA">
      <w:pPr>
        <w:pStyle w:val="Default0"/>
        <w:spacing w:line="360" w:lineRule="auto"/>
        <w:ind w:firstLine="720"/>
        <w:jc w:val="both"/>
        <w:rPr>
          <w:color w:val="auto"/>
        </w:rPr>
      </w:pPr>
    </w:p>
    <w:p w:rsidR="000144A4" w:rsidRPr="00BE6FA1" w:rsidRDefault="000144A4" w:rsidP="003A27DA">
      <w:pPr>
        <w:pStyle w:val="Akapitzlist"/>
        <w:autoSpaceDE w:val="0"/>
        <w:autoSpaceDN w:val="0"/>
        <w:adjustRightInd w:val="0"/>
        <w:spacing w:after="0" w:line="360" w:lineRule="auto"/>
        <w:ind w:left="0"/>
        <w:jc w:val="both"/>
        <w:rPr>
          <w:rFonts w:ascii="Times New Roman" w:hAnsi="Times New Roman" w:cs="Times New Roman"/>
          <w:sz w:val="32"/>
          <w:szCs w:val="24"/>
        </w:rPr>
      </w:pPr>
      <w:r w:rsidRPr="00BE6FA1">
        <w:rPr>
          <w:rFonts w:ascii="Times New Roman" w:hAnsi="Times New Roman" w:cs="Times New Roman"/>
          <w:sz w:val="24"/>
          <w:szCs w:val="20"/>
        </w:rPr>
        <w:lastRenderedPageBreak/>
        <w:t>Charakterystyka sieci wodociągowej zlokalizowanej w Gminie Kańczuga</w:t>
      </w:r>
    </w:p>
    <w:tbl>
      <w:tblPr>
        <w:tblStyle w:val="Tabela-Siatka"/>
        <w:tblW w:w="5000" w:type="pct"/>
        <w:jc w:val="center"/>
        <w:tblLayout w:type="fixed"/>
        <w:tblLook w:val="04A0" w:firstRow="1" w:lastRow="0" w:firstColumn="1" w:lastColumn="0" w:noHBand="0" w:noVBand="1"/>
      </w:tblPr>
      <w:tblGrid>
        <w:gridCol w:w="3839"/>
        <w:gridCol w:w="1252"/>
        <w:gridCol w:w="778"/>
        <w:gridCol w:w="778"/>
        <w:gridCol w:w="778"/>
        <w:gridCol w:w="778"/>
        <w:gridCol w:w="859"/>
      </w:tblGrid>
      <w:tr w:rsidR="005968F1" w:rsidRPr="00BE6FA1" w:rsidTr="005968F1">
        <w:trPr>
          <w:jc w:val="center"/>
        </w:trPr>
        <w:tc>
          <w:tcPr>
            <w:tcW w:w="2119" w:type="pct"/>
            <w:vAlign w:val="center"/>
          </w:tcPr>
          <w:p w:rsidR="000144A4" w:rsidRPr="00BE6FA1" w:rsidRDefault="000144A4" w:rsidP="005968F1">
            <w:pPr>
              <w:spacing w:line="276" w:lineRule="auto"/>
              <w:jc w:val="center"/>
              <w:rPr>
                <w:rFonts w:ascii="Times New Roman" w:hAnsi="Times New Roman" w:cs="Times New Roman"/>
                <w:sz w:val="24"/>
                <w:szCs w:val="24"/>
              </w:rPr>
            </w:pPr>
          </w:p>
        </w:tc>
        <w:tc>
          <w:tcPr>
            <w:tcW w:w="691"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Jednostka miary</w:t>
            </w:r>
          </w:p>
        </w:tc>
        <w:tc>
          <w:tcPr>
            <w:tcW w:w="429"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2010</w:t>
            </w:r>
          </w:p>
        </w:tc>
        <w:tc>
          <w:tcPr>
            <w:tcW w:w="429"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2011</w:t>
            </w:r>
          </w:p>
        </w:tc>
        <w:tc>
          <w:tcPr>
            <w:tcW w:w="429"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2012</w:t>
            </w:r>
          </w:p>
        </w:tc>
        <w:tc>
          <w:tcPr>
            <w:tcW w:w="429"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2013</w:t>
            </w:r>
          </w:p>
        </w:tc>
        <w:tc>
          <w:tcPr>
            <w:tcW w:w="474" w:type="pct"/>
            <w:vAlign w:val="center"/>
          </w:tcPr>
          <w:p w:rsidR="000144A4" w:rsidRPr="00BE6FA1" w:rsidRDefault="000144A4" w:rsidP="005968F1">
            <w:pPr>
              <w:spacing w:line="276" w:lineRule="auto"/>
              <w:jc w:val="center"/>
              <w:rPr>
                <w:rFonts w:ascii="Times New Roman" w:hAnsi="Times New Roman" w:cs="Times New Roman"/>
                <w:b/>
                <w:sz w:val="24"/>
                <w:szCs w:val="24"/>
              </w:rPr>
            </w:pPr>
            <w:r w:rsidRPr="00BE6FA1">
              <w:rPr>
                <w:rFonts w:ascii="Times New Roman" w:hAnsi="Times New Roman" w:cs="Times New Roman"/>
                <w:b/>
                <w:sz w:val="24"/>
                <w:szCs w:val="24"/>
              </w:rPr>
              <w:t>2014</w:t>
            </w:r>
          </w:p>
        </w:tc>
      </w:tr>
      <w:tr w:rsidR="005968F1" w:rsidRPr="00BE6FA1" w:rsidTr="005968F1">
        <w:trPr>
          <w:jc w:val="center"/>
        </w:trPr>
        <w:tc>
          <w:tcPr>
            <w:tcW w:w="211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długość czynnej sieci rozdzielczej</w:t>
            </w:r>
          </w:p>
        </w:tc>
        <w:tc>
          <w:tcPr>
            <w:tcW w:w="691"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km</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134,3</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134,3</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152,7</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152,7</w:t>
            </w:r>
          </w:p>
        </w:tc>
        <w:tc>
          <w:tcPr>
            <w:tcW w:w="474"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152,7</w:t>
            </w:r>
          </w:p>
        </w:tc>
      </w:tr>
      <w:tr w:rsidR="005968F1" w:rsidRPr="00BE6FA1" w:rsidTr="005968F1">
        <w:trPr>
          <w:jc w:val="center"/>
        </w:trPr>
        <w:tc>
          <w:tcPr>
            <w:tcW w:w="211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przyłącza prowadzące do budynków mieszkalnych i zbiorowego zamieszkania</w:t>
            </w:r>
          </w:p>
        </w:tc>
        <w:tc>
          <w:tcPr>
            <w:tcW w:w="691"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szt.</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2405</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2439</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2778</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2842</w:t>
            </w:r>
          </w:p>
        </w:tc>
        <w:tc>
          <w:tcPr>
            <w:tcW w:w="474"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2908</w:t>
            </w:r>
          </w:p>
        </w:tc>
      </w:tr>
      <w:tr w:rsidR="005968F1" w:rsidRPr="00BE6FA1" w:rsidTr="005968F1">
        <w:trPr>
          <w:jc w:val="center"/>
        </w:trPr>
        <w:tc>
          <w:tcPr>
            <w:tcW w:w="211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woda dostarczona gospodarstwom domowym</w:t>
            </w:r>
          </w:p>
        </w:tc>
        <w:tc>
          <w:tcPr>
            <w:tcW w:w="691"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dam</w:t>
            </w:r>
            <w:r w:rsidRPr="00BE6FA1">
              <w:rPr>
                <w:rFonts w:ascii="Times New Roman" w:hAnsi="Times New Roman" w:cs="Times New Roman"/>
                <w:sz w:val="24"/>
                <w:szCs w:val="24"/>
                <w:vertAlign w:val="superscript"/>
              </w:rPr>
              <w:t>3</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211,1</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213,8</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221,0</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226,0</w:t>
            </w:r>
          </w:p>
        </w:tc>
        <w:tc>
          <w:tcPr>
            <w:tcW w:w="474"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227,4</w:t>
            </w:r>
          </w:p>
        </w:tc>
      </w:tr>
      <w:tr w:rsidR="005968F1" w:rsidRPr="00BE6FA1" w:rsidTr="005968F1">
        <w:trPr>
          <w:jc w:val="center"/>
        </w:trPr>
        <w:tc>
          <w:tcPr>
            <w:tcW w:w="211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ludność korzystająca z sieci wodociągowej</w:t>
            </w:r>
          </w:p>
        </w:tc>
        <w:tc>
          <w:tcPr>
            <w:tcW w:w="69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osoba</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3197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3196</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3208</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3203</w:t>
            </w:r>
          </w:p>
        </w:tc>
        <w:tc>
          <w:tcPr>
            <w:tcW w:w="474"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3205</w:t>
            </w:r>
          </w:p>
        </w:tc>
      </w:tr>
      <w:tr w:rsidR="005968F1" w:rsidRPr="00BE6FA1" w:rsidTr="005968F1">
        <w:trPr>
          <w:jc w:val="center"/>
        </w:trPr>
        <w:tc>
          <w:tcPr>
            <w:tcW w:w="211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ludność korzystająca z sieci wodociągowej w miastach</w:t>
            </w:r>
          </w:p>
        </w:tc>
        <w:tc>
          <w:tcPr>
            <w:tcW w:w="69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osoba</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8584</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8619</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9042</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9091</w:t>
            </w:r>
          </w:p>
        </w:tc>
        <w:tc>
          <w:tcPr>
            <w:tcW w:w="474"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10423</w:t>
            </w:r>
          </w:p>
        </w:tc>
      </w:tr>
      <w:tr w:rsidR="005968F1" w:rsidRPr="00BE6FA1" w:rsidTr="005968F1">
        <w:trPr>
          <w:jc w:val="center"/>
        </w:trPr>
        <w:tc>
          <w:tcPr>
            <w:tcW w:w="211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zużycie wody w gospodarstwach domowych ogółem na 1 mieszkańca</w:t>
            </w:r>
          </w:p>
        </w:tc>
        <w:tc>
          <w:tcPr>
            <w:tcW w:w="69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m</w:t>
            </w:r>
            <w:r w:rsidRPr="00BE6FA1">
              <w:rPr>
                <w:rFonts w:ascii="Times New Roman" w:hAnsi="Times New Roman" w:cs="Times New Roman"/>
                <w:sz w:val="24"/>
                <w:szCs w:val="24"/>
                <w:vertAlign w:val="superscript"/>
              </w:rPr>
              <w:t>3</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16,7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16,9</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17,5</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18,0</w:t>
            </w:r>
          </w:p>
        </w:tc>
        <w:tc>
          <w:tcPr>
            <w:tcW w:w="474"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18,1</w:t>
            </w:r>
          </w:p>
        </w:tc>
      </w:tr>
      <w:tr w:rsidR="005968F1" w:rsidRPr="00BE6FA1" w:rsidTr="005968F1">
        <w:trPr>
          <w:jc w:val="center"/>
        </w:trPr>
        <w:tc>
          <w:tcPr>
            <w:tcW w:w="211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zużycie wody w gospodarstwach domowych w miastach na 1 mieszkańca</w:t>
            </w:r>
          </w:p>
        </w:tc>
        <w:tc>
          <w:tcPr>
            <w:tcW w:w="69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m</w:t>
            </w:r>
            <w:r w:rsidRPr="00BE6FA1">
              <w:rPr>
                <w:rFonts w:ascii="Times New Roman" w:hAnsi="Times New Roman" w:cs="Times New Roman"/>
                <w:sz w:val="24"/>
                <w:szCs w:val="24"/>
                <w:vertAlign w:val="superscript"/>
              </w:rPr>
              <w:t>3</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26,2</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26,3</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26,6</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24,9</w:t>
            </w:r>
          </w:p>
        </w:tc>
        <w:tc>
          <w:tcPr>
            <w:tcW w:w="474"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25,1</w:t>
            </w:r>
          </w:p>
        </w:tc>
      </w:tr>
      <w:tr w:rsidR="005968F1" w:rsidRPr="00BE6FA1" w:rsidTr="005968F1">
        <w:trPr>
          <w:jc w:val="center"/>
        </w:trPr>
        <w:tc>
          <w:tcPr>
            <w:tcW w:w="211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zużycie wody w gospodarstwach domowych na wsi na 1 mieszkańca</w:t>
            </w:r>
          </w:p>
        </w:tc>
        <w:tc>
          <w:tcPr>
            <w:tcW w:w="69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m</w:t>
            </w:r>
            <w:r w:rsidRPr="00BE6FA1">
              <w:rPr>
                <w:rFonts w:ascii="Times New Roman" w:hAnsi="Times New Roman" w:cs="Times New Roman"/>
                <w:sz w:val="24"/>
                <w:szCs w:val="24"/>
                <w:vertAlign w:val="superscript"/>
              </w:rPr>
              <w:t>3</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13,4</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13,7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14,4</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15,6</w:t>
            </w:r>
          </w:p>
        </w:tc>
        <w:tc>
          <w:tcPr>
            <w:tcW w:w="474" w:type="pct"/>
            <w:vAlign w:val="center"/>
          </w:tcPr>
          <w:p w:rsidR="00464D03" w:rsidRPr="00BE6FA1" w:rsidRDefault="00464D03" w:rsidP="005968F1">
            <w:pPr>
              <w:keepNext/>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15,7</w:t>
            </w:r>
          </w:p>
        </w:tc>
      </w:tr>
    </w:tbl>
    <w:p w:rsidR="00B90901" w:rsidRPr="00BE6FA1" w:rsidRDefault="002D3502" w:rsidP="005968F1">
      <w:pPr>
        <w:pStyle w:val="Legenda"/>
        <w:rPr>
          <w:rFonts w:ascii="Times New Roman" w:hAnsi="Times New Roman" w:cs="Times New Roman"/>
          <w:color w:val="auto"/>
        </w:rPr>
      </w:pPr>
      <w:bookmarkStart w:id="26" w:name="_Toc445289851"/>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Charakterystyka sieci wodociągowej w Gminie Kańczuga (BDL, dane z 2000 - 2014 r.)</w:t>
      </w:r>
      <w:bookmarkEnd w:id="26"/>
    </w:p>
    <w:p w:rsidR="005968F1" w:rsidRPr="00BE6FA1" w:rsidRDefault="005968F1" w:rsidP="005968F1">
      <w:pPr>
        <w:rPr>
          <w:rFonts w:ascii="Times New Roman" w:hAnsi="Times New Roman" w:cs="Times New Roman"/>
        </w:rPr>
      </w:pPr>
    </w:p>
    <w:p w:rsidR="000144A4" w:rsidRPr="00BE6FA1" w:rsidRDefault="000144A4" w:rsidP="003A27DA">
      <w:pPr>
        <w:pStyle w:val="Akapitzlist"/>
        <w:autoSpaceDE w:val="0"/>
        <w:autoSpaceDN w:val="0"/>
        <w:adjustRightInd w:val="0"/>
        <w:spacing w:after="0" w:line="360" w:lineRule="auto"/>
        <w:ind w:left="0"/>
        <w:jc w:val="both"/>
        <w:rPr>
          <w:rFonts w:ascii="Times New Roman" w:hAnsi="Times New Roman" w:cs="Times New Roman"/>
          <w:sz w:val="32"/>
          <w:szCs w:val="24"/>
        </w:rPr>
      </w:pPr>
      <w:r w:rsidRPr="00BE6FA1">
        <w:rPr>
          <w:rFonts w:ascii="Times New Roman" w:hAnsi="Times New Roman" w:cs="Times New Roman"/>
          <w:sz w:val="24"/>
          <w:szCs w:val="20"/>
        </w:rPr>
        <w:t>Charakterystyka sieci kanalizacyjnej zlokalizowanej w Gminie Kańczuga</w:t>
      </w:r>
    </w:p>
    <w:tbl>
      <w:tblPr>
        <w:tblStyle w:val="Tabela-Siatka"/>
        <w:tblW w:w="5000" w:type="pct"/>
        <w:jc w:val="center"/>
        <w:tblLook w:val="04A0" w:firstRow="1" w:lastRow="0" w:firstColumn="1" w:lastColumn="0" w:noHBand="0" w:noVBand="1"/>
      </w:tblPr>
      <w:tblGrid>
        <w:gridCol w:w="3696"/>
        <w:gridCol w:w="1524"/>
        <w:gridCol w:w="730"/>
        <w:gridCol w:w="778"/>
        <w:gridCol w:w="778"/>
        <w:gridCol w:w="778"/>
        <w:gridCol w:w="778"/>
      </w:tblGrid>
      <w:tr w:rsidR="00F6725C" w:rsidRPr="00BE6FA1" w:rsidTr="00A63A6F">
        <w:trPr>
          <w:jc w:val="center"/>
        </w:trPr>
        <w:tc>
          <w:tcPr>
            <w:tcW w:w="2040" w:type="pct"/>
            <w:vAlign w:val="center"/>
          </w:tcPr>
          <w:p w:rsidR="000144A4" w:rsidRPr="00BE6FA1" w:rsidRDefault="000144A4" w:rsidP="005968F1">
            <w:pPr>
              <w:spacing w:line="276" w:lineRule="auto"/>
              <w:jc w:val="center"/>
              <w:rPr>
                <w:rFonts w:ascii="Times New Roman" w:hAnsi="Times New Roman" w:cs="Times New Roman"/>
                <w:sz w:val="24"/>
                <w:szCs w:val="24"/>
              </w:rPr>
            </w:pPr>
          </w:p>
        </w:tc>
        <w:tc>
          <w:tcPr>
            <w:tcW w:w="841"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Jednostka miary</w:t>
            </w:r>
          </w:p>
        </w:tc>
        <w:tc>
          <w:tcPr>
            <w:tcW w:w="403"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2010</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2011</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2012</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2013</w:t>
            </w:r>
          </w:p>
        </w:tc>
        <w:tc>
          <w:tcPr>
            <w:tcW w:w="429"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2014</w:t>
            </w:r>
          </w:p>
        </w:tc>
      </w:tr>
      <w:tr w:rsidR="00F6725C" w:rsidRPr="00BE6FA1" w:rsidTr="00A63A6F">
        <w:trPr>
          <w:jc w:val="center"/>
        </w:trPr>
        <w:tc>
          <w:tcPr>
            <w:tcW w:w="2040"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długość czynnej sieci kanalizacyjnej</w:t>
            </w:r>
          </w:p>
        </w:tc>
        <w:tc>
          <w:tcPr>
            <w:tcW w:w="841" w:type="pct"/>
            <w:vAlign w:val="center"/>
          </w:tcPr>
          <w:p w:rsidR="000144A4" w:rsidRPr="00BE6FA1" w:rsidRDefault="000144A4"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km</w:t>
            </w:r>
          </w:p>
        </w:tc>
        <w:tc>
          <w:tcPr>
            <w:tcW w:w="403"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90,2</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122,4</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122,4</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122,4</w:t>
            </w:r>
          </w:p>
        </w:tc>
        <w:tc>
          <w:tcPr>
            <w:tcW w:w="429" w:type="pct"/>
            <w:vAlign w:val="center"/>
          </w:tcPr>
          <w:p w:rsidR="000144A4"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122,4</w:t>
            </w:r>
          </w:p>
        </w:tc>
      </w:tr>
      <w:tr w:rsidR="00F6725C" w:rsidRPr="00BE6FA1" w:rsidTr="00A63A6F">
        <w:trPr>
          <w:jc w:val="center"/>
        </w:trPr>
        <w:tc>
          <w:tcPr>
            <w:tcW w:w="2040"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przyłącza prowadzące do budynków mieszkalnych </w:t>
            </w:r>
            <w:r w:rsidRPr="00BE6FA1">
              <w:rPr>
                <w:rFonts w:ascii="Times New Roman" w:hAnsi="Times New Roman" w:cs="Times New Roman"/>
                <w:sz w:val="24"/>
                <w:szCs w:val="24"/>
              </w:rPr>
              <w:br/>
              <w:t>i zbiorowego zamieszkania</w:t>
            </w:r>
          </w:p>
        </w:tc>
        <w:tc>
          <w:tcPr>
            <w:tcW w:w="84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szt.</w:t>
            </w:r>
          </w:p>
        </w:tc>
        <w:tc>
          <w:tcPr>
            <w:tcW w:w="403"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1819</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1960</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1976</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2043</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2090</w:t>
            </w:r>
          </w:p>
        </w:tc>
      </w:tr>
      <w:tr w:rsidR="00F6725C" w:rsidRPr="00BE6FA1" w:rsidTr="00A63A6F">
        <w:trPr>
          <w:jc w:val="center"/>
        </w:trPr>
        <w:tc>
          <w:tcPr>
            <w:tcW w:w="2040"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ścieki odprowadzone</w:t>
            </w:r>
          </w:p>
        </w:tc>
        <w:tc>
          <w:tcPr>
            <w:tcW w:w="84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dam</w:t>
            </w:r>
            <w:r w:rsidRPr="00BE6FA1">
              <w:rPr>
                <w:rFonts w:ascii="Times New Roman" w:hAnsi="Times New Roman" w:cs="Times New Roman"/>
                <w:sz w:val="24"/>
                <w:szCs w:val="24"/>
                <w:vertAlign w:val="superscript"/>
              </w:rPr>
              <w:t>3</w:t>
            </w:r>
          </w:p>
        </w:tc>
        <w:tc>
          <w:tcPr>
            <w:tcW w:w="403"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140</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161</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174</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178,0</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174,0</w:t>
            </w:r>
          </w:p>
        </w:tc>
      </w:tr>
      <w:tr w:rsidR="00F6725C" w:rsidRPr="00BE6FA1" w:rsidTr="00A63A6F">
        <w:trPr>
          <w:jc w:val="center"/>
        </w:trPr>
        <w:tc>
          <w:tcPr>
            <w:tcW w:w="2040"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ludność korzystająca z  sieci kanalizacyjnej</w:t>
            </w:r>
          </w:p>
        </w:tc>
        <w:tc>
          <w:tcPr>
            <w:tcW w:w="84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osoba</w:t>
            </w:r>
          </w:p>
        </w:tc>
        <w:tc>
          <w:tcPr>
            <w:tcW w:w="403"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2697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2702</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2717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2729</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2925</w:t>
            </w:r>
          </w:p>
        </w:tc>
      </w:tr>
      <w:tr w:rsidR="00F6725C" w:rsidRPr="00BE6FA1" w:rsidTr="00A63A6F">
        <w:trPr>
          <w:jc w:val="center"/>
        </w:trPr>
        <w:tc>
          <w:tcPr>
            <w:tcW w:w="2040"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ludność korzystająca z sieci kanalizacyjnej w miastach</w:t>
            </w:r>
          </w:p>
        </w:tc>
        <w:tc>
          <w:tcPr>
            <w:tcW w:w="841"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osoba</w:t>
            </w:r>
          </w:p>
        </w:tc>
        <w:tc>
          <w:tcPr>
            <w:tcW w:w="403"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6641</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6995</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7007</w:t>
            </w:r>
          </w:p>
        </w:tc>
        <w:tc>
          <w:tcPr>
            <w:tcW w:w="429" w:type="pct"/>
            <w:vAlign w:val="center"/>
          </w:tcPr>
          <w:p w:rsidR="00464D03" w:rsidRPr="00BE6FA1" w:rsidRDefault="00464D03" w:rsidP="005968F1">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7092</w:t>
            </w:r>
          </w:p>
        </w:tc>
        <w:tc>
          <w:tcPr>
            <w:tcW w:w="429" w:type="pct"/>
            <w:vAlign w:val="center"/>
          </w:tcPr>
          <w:p w:rsidR="00464D03" w:rsidRPr="00BE6FA1" w:rsidRDefault="00464D03" w:rsidP="005968F1">
            <w:pPr>
              <w:keepNext/>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7756</w:t>
            </w:r>
          </w:p>
        </w:tc>
      </w:tr>
    </w:tbl>
    <w:p w:rsidR="002D3502" w:rsidRPr="00BE6FA1" w:rsidRDefault="002D3502" w:rsidP="006B691A">
      <w:pPr>
        <w:pStyle w:val="Legenda"/>
        <w:rPr>
          <w:rFonts w:ascii="Times New Roman" w:hAnsi="Times New Roman" w:cs="Times New Roman"/>
          <w:color w:val="auto"/>
        </w:rPr>
      </w:pPr>
      <w:bookmarkStart w:id="27" w:name="_Toc445289852"/>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5</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Charakterystyka sieci kanalizacyjnej w Gminie Kańczuga (BDL, dane z 2000 - 2014 r.)</w:t>
      </w:r>
      <w:bookmarkEnd w:id="27"/>
    </w:p>
    <w:p w:rsidR="006B691A" w:rsidRPr="00BE6FA1" w:rsidRDefault="006B691A" w:rsidP="006B691A">
      <w:pPr>
        <w:rPr>
          <w:rFonts w:ascii="Times New Roman" w:hAnsi="Times New Roman" w:cs="Times New Roman"/>
        </w:rPr>
      </w:pPr>
    </w:p>
    <w:p w:rsidR="00EC40E7" w:rsidRPr="00BE6FA1" w:rsidRDefault="00EC40E7" w:rsidP="002D3502">
      <w:pPr>
        <w:pStyle w:val="Nagwek1"/>
        <w:spacing w:line="360" w:lineRule="auto"/>
        <w:jc w:val="both"/>
        <w:rPr>
          <w:rFonts w:ascii="Times New Roman" w:hAnsi="Times New Roman" w:cs="Times New Roman"/>
          <w:color w:val="auto"/>
        </w:rPr>
      </w:pPr>
      <w:bookmarkStart w:id="28" w:name="_Toc449097723"/>
      <w:r w:rsidRPr="00BE6FA1">
        <w:rPr>
          <w:rFonts w:ascii="Times New Roman" w:hAnsi="Times New Roman" w:cs="Times New Roman"/>
          <w:color w:val="auto"/>
        </w:rPr>
        <w:lastRenderedPageBreak/>
        <w:t>Charakterystyka nośników energetycznych na terenie Gminy</w:t>
      </w:r>
      <w:bookmarkEnd w:id="28"/>
    </w:p>
    <w:p w:rsidR="00A049AF" w:rsidRPr="00BE6FA1" w:rsidRDefault="00F3759F" w:rsidP="003A27DA">
      <w:pPr>
        <w:pStyle w:val="Nagwek2"/>
        <w:spacing w:line="360" w:lineRule="auto"/>
        <w:rPr>
          <w:rFonts w:ascii="Times New Roman" w:hAnsi="Times New Roman" w:cs="Times New Roman"/>
          <w:color w:val="auto"/>
        </w:rPr>
      </w:pPr>
      <w:bookmarkStart w:id="29" w:name="_Toc449097724"/>
      <w:r w:rsidRPr="00BE6FA1">
        <w:rPr>
          <w:rFonts w:ascii="Times New Roman" w:hAnsi="Times New Roman" w:cs="Times New Roman"/>
          <w:color w:val="auto"/>
        </w:rPr>
        <w:t>System cieplny</w:t>
      </w:r>
      <w:bookmarkEnd w:id="29"/>
    </w:p>
    <w:p w:rsidR="00A049AF" w:rsidRPr="00BE6FA1" w:rsidRDefault="00A049AF"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Na terenie gminy istnieje </w:t>
      </w:r>
      <w:r w:rsidR="00A2168B" w:rsidRPr="00BE6FA1">
        <w:rPr>
          <w:rFonts w:ascii="Times New Roman" w:hAnsi="Times New Roman" w:cs="Times New Roman"/>
          <w:sz w:val="24"/>
          <w:szCs w:val="24"/>
        </w:rPr>
        <w:t xml:space="preserve">lokalna </w:t>
      </w:r>
      <w:r w:rsidRPr="00BE6FA1">
        <w:rPr>
          <w:rFonts w:ascii="Times New Roman" w:hAnsi="Times New Roman" w:cs="Times New Roman"/>
          <w:sz w:val="24"/>
          <w:szCs w:val="24"/>
        </w:rPr>
        <w:t xml:space="preserve">sieć ciepłownicza należąca do </w:t>
      </w:r>
      <w:r w:rsidR="0008057D" w:rsidRPr="00BE6FA1">
        <w:rPr>
          <w:rFonts w:ascii="Times New Roman" w:hAnsi="Times New Roman" w:cs="Times New Roman"/>
          <w:sz w:val="24"/>
          <w:szCs w:val="24"/>
        </w:rPr>
        <w:t>firmy „AXTONE”</w:t>
      </w:r>
      <w:r w:rsidRPr="00BE6FA1">
        <w:rPr>
          <w:rFonts w:ascii="Times New Roman" w:hAnsi="Times New Roman" w:cs="Times New Roman"/>
          <w:sz w:val="24"/>
          <w:szCs w:val="24"/>
        </w:rPr>
        <w:t>.</w:t>
      </w:r>
      <w:r w:rsidR="00806262" w:rsidRPr="00BE6FA1">
        <w:rPr>
          <w:rFonts w:ascii="Times New Roman" w:hAnsi="Times New Roman" w:cs="Times New Roman"/>
          <w:sz w:val="24"/>
          <w:szCs w:val="24"/>
        </w:rPr>
        <w:t xml:space="preserve"> </w:t>
      </w:r>
      <w:r w:rsidRPr="00BE6FA1">
        <w:rPr>
          <w:rFonts w:ascii="Times New Roman" w:hAnsi="Times New Roman" w:cs="Times New Roman"/>
          <w:sz w:val="24"/>
          <w:szCs w:val="24"/>
        </w:rPr>
        <w:t>Paliwem wykorzystywanym w kotłowni „AXTONE” zasilającej sieć jest gaz ziemny. Kotłownię tworzą 3 kotły o łącznej mocy 7,5 MW (2,9 MW, 4 MW i 0,6 MW), a jej sprawność jest określana na poziomie 92%. Sieć ciepłownicza zaopatruje 7 budynków wielorodzinnych przy ulicy Witosa oraz Słowackiego o łącznej powierzchni 12927,3 m2.</w:t>
      </w:r>
      <w:r w:rsidR="00563D06" w:rsidRPr="00BE6FA1">
        <w:rPr>
          <w:rFonts w:ascii="Times New Roman" w:hAnsi="Times New Roman" w:cs="Times New Roman"/>
          <w:sz w:val="24"/>
          <w:szCs w:val="24"/>
        </w:rPr>
        <w:t xml:space="preserve"> Zaopatrywana jest również Szkoła Podstawowa i Gimnazjum oraz Hala sportowa.</w:t>
      </w:r>
      <w:r w:rsidRPr="00BE6FA1">
        <w:rPr>
          <w:rFonts w:ascii="Times New Roman" w:hAnsi="Times New Roman" w:cs="Times New Roman"/>
          <w:sz w:val="24"/>
          <w:szCs w:val="24"/>
        </w:rPr>
        <w:t xml:space="preserve"> Długość sieci cieplnej zasilającej (od komory przy Zespole Szkół w Kańczudze) wynosi 250 mb,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t xml:space="preserve">w tym 86 mb sieci napowietrznej. Długość wewnętrznej osiedlowej sieci cieplnej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t>z wymiennikowni C.O. wynosi 108,5 mb + 85,1 mb, natomiast sieć centralnej ciepłej wody ma długość 193,6 mb.</w:t>
      </w:r>
      <w:r w:rsidR="00806262" w:rsidRPr="00BE6FA1">
        <w:rPr>
          <w:rFonts w:ascii="Times New Roman" w:hAnsi="Times New Roman" w:cs="Times New Roman"/>
          <w:sz w:val="24"/>
          <w:szCs w:val="24"/>
        </w:rPr>
        <w:t xml:space="preserve"> </w:t>
      </w:r>
    </w:p>
    <w:p w:rsidR="00A049AF" w:rsidRPr="00BE6FA1" w:rsidRDefault="00A049AF"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Na obszarze gminy znajdują się kotłownie wykorzystujące paliwo gazowe zlokalizowane w:</w:t>
      </w:r>
    </w:p>
    <w:p w:rsidR="00A049AF" w:rsidRPr="00BE6FA1" w:rsidRDefault="00A049AF" w:rsidP="009A7AFF">
      <w:pPr>
        <w:pStyle w:val="Akapitzlist"/>
        <w:numPr>
          <w:ilvl w:val="0"/>
          <w:numId w:val="2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Budynku administracji UMiG Kańczuga,</w:t>
      </w:r>
    </w:p>
    <w:p w:rsidR="00A049AF" w:rsidRPr="00BE6FA1" w:rsidRDefault="00A049AF" w:rsidP="009A7AFF">
      <w:pPr>
        <w:pStyle w:val="Akapitzlist"/>
        <w:numPr>
          <w:ilvl w:val="0"/>
          <w:numId w:val="2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Miejsko-Gminnym Przedszkolu w Kańczudze,</w:t>
      </w:r>
    </w:p>
    <w:p w:rsidR="00A049AF" w:rsidRPr="00BE6FA1" w:rsidRDefault="00A049AF" w:rsidP="009A7AFF">
      <w:pPr>
        <w:pStyle w:val="Akapitzlist"/>
        <w:numPr>
          <w:ilvl w:val="0"/>
          <w:numId w:val="2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Szkołach podstawowych w poszczególnych sołectwach.</w:t>
      </w:r>
    </w:p>
    <w:p w:rsidR="00A049AF" w:rsidRPr="00BE6FA1" w:rsidRDefault="00A049AF"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Wielkość zainstalowanej mocy cieplnej w kotłowniach przyszkolnych i w przedszkolu sięga od 150 – 300 kW w każdej i zależy od rozmiaru obiektu.</w:t>
      </w:r>
    </w:p>
    <w:p w:rsidR="00A049AF" w:rsidRPr="00BE6FA1" w:rsidRDefault="00A049AF"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Na ter</w:t>
      </w:r>
      <w:r w:rsidR="00563D06" w:rsidRPr="00BE6FA1">
        <w:rPr>
          <w:rFonts w:ascii="Times New Roman" w:hAnsi="Times New Roman" w:cs="Times New Roman"/>
          <w:sz w:val="24"/>
          <w:szCs w:val="24"/>
        </w:rPr>
        <w:t>enie gminy są zlokalizowane cztery</w:t>
      </w:r>
      <w:r w:rsidRPr="00BE6FA1">
        <w:rPr>
          <w:rFonts w:ascii="Times New Roman" w:hAnsi="Times New Roman" w:cs="Times New Roman"/>
          <w:sz w:val="24"/>
          <w:szCs w:val="24"/>
        </w:rPr>
        <w:t xml:space="preserve"> instalacje grzewcze wykorzystujące energię słonecz</w:t>
      </w:r>
      <w:r w:rsidR="00563D06" w:rsidRPr="00BE6FA1">
        <w:rPr>
          <w:rFonts w:ascii="Times New Roman" w:hAnsi="Times New Roman" w:cs="Times New Roman"/>
          <w:sz w:val="24"/>
          <w:szCs w:val="24"/>
        </w:rPr>
        <w:t xml:space="preserve">ną - w Lipniku, Łopuszce Małej, </w:t>
      </w:r>
      <w:r w:rsidR="00933D43" w:rsidRPr="00BE6FA1">
        <w:rPr>
          <w:rFonts w:ascii="Times New Roman" w:hAnsi="Times New Roman" w:cs="Times New Roman"/>
          <w:sz w:val="24"/>
          <w:szCs w:val="24"/>
        </w:rPr>
        <w:t>Szkoła</w:t>
      </w:r>
      <w:r w:rsidR="00806262" w:rsidRPr="00BE6FA1">
        <w:rPr>
          <w:rFonts w:ascii="Times New Roman" w:hAnsi="Times New Roman" w:cs="Times New Roman"/>
          <w:sz w:val="24"/>
          <w:szCs w:val="24"/>
        </w:rPr>
        <w:t xml:space="preserve"> </w:t>
      </w:r>
      <w:r w:rsidR="00563D06" w:rsidRPr="00BE6FA1">
        <w:rPr>
          <w:rFonts w:ascii="Times New Roman" w:hAnsi="Times New Roman" w:cs="Times New Roman"/>
          <w:sz w:val="24"/>
          <w:szCs w:val="24"/>
        </w:rPr>
        <w:t>Podstawowa w Siedleczce oraz</w:t>
      </w:r>
      <w:r w:rsidR="00933D43" w:rsidRPr="00BE6FA1">
        <w:rPr>
          <w:rFonts w:ascii="Times New Roman" w:hAnsi="Times New Roman" w:cs="Times New Roman"/>
          <w:sz w:val="24"/>
          <w:szCs w:val="24"/>
        </w:rPr>
        <w:t xml:space="preserve"> budynek MKS Kańczuga.</w:t>
      </w:r>
    </w:p>
    <w:p w:rsidR="00F3759F" w:rsidRPr="00BE6FA1" w:rsidRDefault="00A049AF"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Pomimo wysokiego stopnia gazyfikacji gminy (dostęp do sieci gazowej posiada ponad 98% gospodarstw) duża część gospodarstw indywidualnych posiada alternatywne źródła wytwarzania energii cieplnej służącej do ogrzewania budynków. Najczęściej są to źródła na paliwa stałe jako podstawowy sposób pozyskiwania ciepła.</w:t>
      </w:r>
    </w:p>
    <w:p w:rsidR="00D415B8" w:rsidRPr="00BE6FA1" w:rsidRDefault="00A049AF" w:rsidP="006B691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Planowane jest wybudowanie nowej kotłowni gazowej wraz z instalacją solarną kolektorów słonecznych na dachu budynku wielorodzinnego przy ulicy Witosa 2 </w:t>
      </w:r>
      <w:r w:rsidR="003A39C5" w:rsidRPr="00BE6FA1">
        <w:rPr>
          <w:rFonts w:ascii="Times New Roman" w:hAnsi="Times New Roman" w:cs="Times New Roman"/>
          <w:sz w:val="24"/>
          <w:szCs w:val="24"/>
        </w:rPr>
        <w:br/>
      </w:r>
      <w:r w:rsidRPr="00BE6FA1">
        <w:rPr>
          <w:rFonts w:ascii="Times New Roman" w:hAnsi="Times New Roman" w:cs="Times New Roman"/>
          <w:sz w:val="24"/>
          <w:szCs w:val="24"/>
        </w:rPr>
        <w:t xml:space="preserve">w Kańczudze przez Spółdzielnię Mieszkaniową w Przeworsku. Planowana kotłownia gazowa zlokalizowana zostanie w nowym budynku w sąsiedztwie budynku wielorodzinnego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lastRenderedPageBreak/>
        <w:t>Witosa 2. Przewiduje się instalację 3 kotłów wodnych formy DE DIETRICH ( kocioł wiodący GT430-11 z konsolą sterowniczą DIEMATIC-m3 oraz dwa kotły podporządkowane GT430-11 z konsolą sterowniczą K3). Łączna moc kotłowni wynosić będzie 1350 kW. Wstępne przygotowanie ciepłej wody użytkowej realizowane będzie przez instalację solarną umiejscowioną na dachu budynku nr 2 przy ulicy Witosa (zastosowanie czterech baterii po 6 sztuk kolektorów słonecznych firmy De DIETRICH typ Pro C250V PL)</w:t>
      </w:r>
      <w:r w:rsidR="00D415B8" w:rsidRPr="00BE6FA1">
        <w:rPr>
          <w:rFonts w:ascii="Times New Roman" w:hAnsi="Times New Roman" w:cs="Times New Roman"/>
          <w:sz w:val="24"/>
          <w:szCs w:val="24"/>
        </w:rPr>
        <w:t xml:space="preserve">. Ponadto, planowana jest budowa nowej kotłowni w Szkole Podstawowej w Kańczudze. </w:t>
      </w:r>
    </w:p>
    <w:p w:rsidR="00A049AF" w:rsidRPr="00BE6FA1" w:rsidRDefault="00A049AF"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Parametry sieci cieplnej: 85/70</w:t>
      </w:r>
      <w:r w:rsidRPr="00BE6FA1">
        <w:rPr>
          <w:rFonts w:ascii="Cambria Math" w:hAnsi="Cambria Math" w:cs="Cambria Math"/>
          <w:sz w:val="24"/>
          <w:szCs w:val="24"/>
        </w:rPr>
        <w:t>⁰</w:t>
      </w:r>
      <w:r w:rsidRPr="00BE6FA1">
        <w:rPr>
          <w:rFonts w:ascii="Times New Roman" w:hAnsi="Times New Roman" w:cs="Times New Roman"/>
          <w:sz w:val="24"/>
          <w:szCs w:val="24"/>
        </w:rPr>
        <w:t>C</w:t>
      </w:r>
    </w:p>
    <w:p w:rsidR="00A049AF" w:rsidRPr="00BE6FA1" w:rsidRDefault="00A049AF"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Sieć obejmuje następujące budynki: Witosa 6, Witosa 4, Witosa 2, Słowackiego 2, Słowackiego 4a, Słow</w:t>
      </w:r>
      <w:r w:rsidR="003A39C5" w:rsidRPr="00BE6FA1">
        <w:rPr>
          <w:rFonts w:ascii="Times New Roman" w:hAnsi="Times New Roman" w:cs="Times New Roman"/>
          <w:sz w:val="24"/>
          <w:szCs w:val="24"/>
        </w:rPr>
        <w:t>ackiego 4b, Słowackiego 14 i 16</w:t>
      </w:r>
    </w:p>
    <w:p w:rsidR="00A049AF" w:rsidRPr="00BE6FA1" w:rsidRDefault="00A049AF"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Moc dla celów c.o.: 838,3 </w:t>
      </w:r>
      <w:r w:rsidR="008A241B" w:rsidRPr="00BE6FA1">
        <w:rPr>
          <w:rFonts w:ascii="Times New Roman" w:hAnsi="Times New Roman" w:cs="Times New Roman"/>
          <w:sz w:val="24"/>
          <w:szCs w:val="24"/>
        </w:rPr>
        <w:t>Kw</w:t>
      </w:r>
    </w:p>
    <w:p w:rsidR="00A049AF" w:rsidRPr="00BE6FA1" w:rsidRDefault="00A049AF"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Moc dla celów c.w.u.: 500,5 </w:t>
      </w:r>
      <w:r w:rsidR="008A241B" w:rsidRPr="00BE6FA1">
        <w:rPr>
          <w:rFonts w:ascii="Times New Roman" w:hAnsi="Times New Roman" w:cs="Times New Roman"/>
          <w:sz w:val="24"/>
          <w:szCs w:val="24"/>
        </w:rPr>
        <w:t>Kw</w:t>
      </w:r>
    </w:p>
    <w:p w:rsidR="002D3502" w:rsidRPr="00BE6FA1" w:rsidRDefault="00A049AF"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Razem: 1338,8 </w:t>
      </w:r>
      <w:r w:rsidR="008A241B" w:rsidRPr="00BE6FA1">
        <w:rPr>
          <w:rFonts w:ascii="Times New Roman" w:hAnsi="Times New Roman" w:cs="Times New Roman"/>
          <w:sz w:val="24"/>
          <w:szCs w:val="24"/>
        </w:rPr>
        <w:t>Kw</w:t>
      </w:r>
    </w:p>
    <w:p w:rsidR="002350DE" w:rsidRPr="00BE6FA1" w:rsidRDefault="002350DE" w:rsidP="003A27DA">
      <w:pPr>
        <w:spacing w:line="360" w:lineRule="auto"/>
        <w:jc w:val="both"/>
        <w:rPr>
          <w:rFonts w:ascii="Times New Roman" w:hAnsi="Times New Roman" w:cs="Times New Roman"/>
          <w:sz w:val="24"/>
          <w:szCs w:val="24"/>
        </w:rPr>
      </w:pPr>
    </w:p>
    <w:p w:rsidR="002F454C" w:rsidRPr="00BE6FA1" w:rsidRDefault="002F454C" w:rsidP="003A27DA">
      <w:pPr>
        <w:pStyle w:val="Nagwek2"/>
        <w:spacing w:line="360" w:lineRule="auto"/>
        <w:rPr>
          <w:rFonts w:ascii="Times New Roman" w:hAnsi="Times New Roman" w:cs="Times New Roman"/>
          <w:color w:val="auto"/>
        </w:rPr>
      </w:pPr>
      <w:bookmarkStart w:id="30" w:name="_Toc449097725"/>
      <w:r w:rsidRPr="00BE6FA1">
        <w:rPr>
          <w:rFonts w:ascii="Times New Roman" w:hAnsi="Times New Roman" w:cs="Times New Roman"/>
          <w:color w:val="auto"/>
        </w:rPr>
        <w:t>System gazowniczy</w:t>
      </w:r>
      <w:bookmarkEnd w:id="30"/>
    </w:p>
    <w:p w:rsidR="005A6438" w:rsidRPr="00BE6FA1" w:rsidRDefault="005A6438" w:rsidP="003A27DA">
      <w:pPr>
        <w:shd w:val="clear" w:color="auto" w:fill="FFFFFF"/>
        <w:spacing w:after="0" w:line="360" w:lineRule="auto"/>
        <w:jc w:val="both"/>
        <w:rPr>
          <w:rFonts w:ascii="Times New Roman" w:eastAsia="Times New Roman" w:hAnsi="Times New Roman" w:cs="Times New Roman"/>
          <w:sz w:val="24"/>
          <w:szCs w:val="24"/>
        </w:rPr>
      </w:pPr>
    </w:p>
    <w:p w:rsidR="005A6438" w:rsidRPr="00BE6FA1" w:rsidRDefault="005A6438"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Wydobyciem gazu ziemnego ze złóż znajdujących się na obszarze gminy Kańczuga zajmuje się Polskie Górnictwo Naftowe i Gazownictwo S.A. w Warszawie – Kopalnia Gazu Ziemnego Kańczuga – Ośrodek Zbioru Gazu Pantalowice. Wydobywany jest gaz ziemny grupy E. Punkt wejścia Mirocin – Kańczuga przynależy do strefy produkcji krajowej, </w:t>
      </w:r>
      <w:r w:rsidR="002D3502"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a wydobyty gaz odbierany jest przez gazociąg należący do GAZ-SYSTEM S.A.</w:t>
      </w:r>
    </w:p>
    <w:p w:rsidR="005A6438" w:rsidRPr="00BE6FA1" w:rsidRDefault="005A6438"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Na obszarze Miasta i Gminy Kańczuga nie znajdują się gazociągi wysokiego ciśnienia. Brak infrastruktury gazowej będącej własnością GAZ-SYSTEM S.A. Teren gminy zasilany jest w gaz z sieci należącej do PSG sp. </w:t>
      </w:r>
      <w:r w:rsidR="008A241B" w:rsidRPr="00BE6FA1">
        <w:rPr>
          <w:rFonts w:ascii="Times New Roman" w:eastAsia="Times New Roman" w:hAnsi="Times New Roman" w:cs="Times New Roman"/>
          <w:sz w:val="24"/>
          <w:szCs w:val="24"/>
        </w:rPr>
        <w:t>Z</w:t>
      </w:r>
      <w:r w:rsidRPr="00BE6FA1">
        <w:rPr>
          <w:rFonts w:ascii="Times New Roman" w:eastAsia="Times New Roman" w:hAnsi="Times New Roman" w:cs="Times New Roman"/>
          <w:sz w:val="24"/>
          <w:szCs w:val="24"/>
        </w:rPr>
        <w:t xml:space="preserve"> o.o.</w:t>
      </w:r>
    </w:p>
    <w:p w:rsidR="00BC14F6" w:rsidRPr="00BE6FA1" w:rsidRDefault="00BC14F6"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BC14F6" w:rsidRPr="00BE6FA1" w:rsidRDefault="005A6438"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Stan gazowej sieci dystrybucyjnej w gminie Kańczuga na dzień 31.12.2014 r.:</w:t>
      </w:r>
    </w:p>
    <w:p w:rsidR="005A6438" w:rsidRPr="00BE6FA1" w:rsidRDefault="005A6438" w:rsidP="009A7AFF">
      <w:pPr>
        <w:pStyle w:val="Akapitzlist"/>
        <w:numPr>
          <w:ilvl w:val="0"/>
          <w:numId w:val="22"/>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długość sieci gazowej średniego i niskiego ciśnienia dla miasta Kańczuga – 17,9 km</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długość sieci gazowej średniego ciśnienia dla gminy Kańczuga – 124,8 km,</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długość sieci gazowej wysokiego ciśnienia dla gminy Kańczuga – 4,5 km,</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długość przyłączy gazowych średniego ciśnienia dla gminy Kańczuga – 45,7 km,</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długość przyłączy gazowych wysokiego ciśnienia dla gminy Kańczuga – 0,6 km,</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liczba gospodarstw domowych i obiektów użyteczności publicznej, w których gaz ziemny wykorzystywany jest do celów grzewczych dla miasta Kańczuga:</w:t>
      </w:r>
    </w:p>
    <w:p w:rsidR="005A6438" w:rsidRPr="00BE6FA1" w:rsidRDefault="005A6438" w:rsidP="009A7AFF">
      <w:pPr>
        <w:pStyle w:val="Akapitzlist"/>
        <w:numPr>
          <w:ilvl w:val="0"/>
          <w:numId w:val="23"/>
        </w:numPr>
        <w:shd w:val="clear" w:color="auto" w:fill="FFFFFF"/>
        <w:spacing w:after="0" w:line="360" w:lineRule="auto"/>
        <w:ind w:left="1134"/>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mieszkalne – 526 sztuk,</w:t>
      </w:r>
    </w:p>
    <w:p w:rsidR="005A6438" w:rsidRPr="00BE6FA1" w:rsidRDefault="005A6438" w:rsidP="009A7AFF">
      <w:pPr>
        <w:pStyle w:val="Akapitzlist"/>
        <w:numPr>
          <w:ilvl w:val="0"/>
          <w:numId w:val="23"/>
        </w:numPr>
        <w:shd w:val="clear" w:color="auto" w:fill="FFFFFF"/>
        <w:spacing w:after="0" w:line="360" w:lineRule="auto"/>
        <w:ind w:left="1134"/>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użyteczności publicznej – 29 sztuk;</w:t>
      </w:r>
    </w:p>
    <w:p w:rsidR="005A6438" w:rsidRPr="00BE6FA1" w:rsidRDefault="005A6438" w:rsidP="009A7AFF">
      <w:pPr>
        <w:pStyle w:val="Akapitzlist"/>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liczba gospodarstw domowych i obiektów użyteczności publicznej, w których gaz ziemny jest wykorzystywany do celów grzewczych dla gminy Kańczuga:</w:t>
      </w:r>
    </w:p>
    <w:p w:rsidR="005A6438" w:rsidRPr="00BE6FA1" w:rsidRDefault="005A6438" w:rsidP="009A7AFF">
      <w:pPr>
        <w:pStyle w:val="Akapitzlist"/>
        <w:numPr>
          <w:ilvl w:val="0"/>
          <w:numId w:val="21"/>
        </w:numPr>
        <w:shd w:val="clear" w:color="auto" w:fill="FFFFFF"/>
        <w:spacing w:after="0" w:line="360" w:lineRule="auto"/>
        <w:ind w:left="1134"/>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mieszkalne – 1932 szt.,</w:t>
      </w:r>
    </w:p>
    <w:p w:rsidR="005A6438" w:rsidRPr="00BE6FA1" w:rsidRDefault="005A6438" w:rsidP="009A7AFF">
      <w:pPr>
        <w:pStyle w:val="Akapitzlist"/>
        <w:numPr>
          <w:ilvl w:val="0"/>
          <w:numId w:val="21"/>
        </w:numPr>
        <w:shd w:val="clear" w:color="auto" w:fill="FFFFFF"/>
        <w:spacing w:after="0" w:line="360" w:lineRule="auto"/>
        <w:ind w:left="1134"/>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użyteczności publicznej – 47 sztuk.</w:t>
      </w:r>
    </w:p>
    <w:p w:rsidR="00BC14F6" w:rsidRPr="00BE6FA1" w:rsidRDefault="00BC14F6" w:rsidP="003A27DA">
      <w:pPr>
        <w:shd w:val="clear" w:color="auto" w:fill="FFFFFF"/>
        <w:spacing w:after="0" w:line="360" w:lineRule="auto"/>
        <w:jc w:val="both"/>
        <w:rPr>
          <w:rFonts w:ascii="Times New Roman" w:eastAsia="Times New Roman" w:hAnsi="Times New Roman" w:cs="Times New Roman"/>
          <w:sz w:val="24"/>
          <w:szCs w:val="24"/>
        </w:rPr>
      </w:pPr>
    </w:p>
    <w:p w:rsidR="00BC14F6" w:rsidRPr="00BE6FA1" w:rsidRDefault="00BC14F6"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Miasto Kańczuga jest zasilane gazem ziemnym wysokometanowym grupy </w:t>
      </w:r>
      <w:r w:rsidRPr="00BE6FA1">
        <w:rPr>
          <w:rFonts w:ascii="Times New Roman" w:eastAsia="Times New Roman" w:hAnsi="Times New Roman" w:cs="Times New Roman"/>
          <w:sz w:val="24"/>
          <w:szCs w:val="24"/>
        </w:rPr>
        <w:br/>
        <w:t xml:space="preserve">E z wykorzystaniem systemu sieci gazowej dystrybucyjnej średniego ciśnienia oraz zespołu stacji gazowych wysokiego ciśnienia. Sieci gazowe w obszarach zabudowanych są zlokalizowane wzdłuż ciągów pieszo-jezdnych (technika rozgałęźna). Stacje gazowe wysokiego ciśnienia są zlokalizowane w miejscowości Siedleczka oraz w Przeworsku </w:t>
      </w:r>
      <w:r w:rsidR="006B691A"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na ul. Poniatowskiego.</w:t>
      </w:r>
    </w:p>
    <w:p w:rsidR="00BC14F6" w:rsidRPr="00BE6FA1" w:rsidRDefault="00BC14F6"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System zasilania niskiego ciśnienia w obrębie obszarów zabudowy osiedlowej jednorodzinnej i wielorodzinnej (bloki mieszkalne) zasilany jest za pośrednictwem dwóch stacji redukcyjno-pomiarowych średniego ciśnienia zlokalizowanych przy ulicy Zakościelnej i Mickiewicza. Miejscowości: Medynia Kańczucka, Bóbrka Kańczucka, Krzeczowice, Sietesz, Siedleczka, Łopuszka Mała, Łopuszka Wielka, Żuklin, Pantalowice, Rączyna, Niżatyce, Lipnik, Wola Rzeplińska oraz Chodakówka są zasilane techniką gazociągów dystrybucyjnych średniego ciśnienia za pośrednictwem stacji gazowych wysokiego ciśnienia zlokalizowanych w Siedleczce i w Przeworsku.</w:t>
      </w:r>
    </w:p>
    <w:p w:rsidR="008E278F" w:rsidRPr="00BE6FA1" w:rsidRDefault="00BC14F6"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Istniejąca sieć gazowa posiada rezerwy przepustowości gwarantujące dostawę gazu dla odbiorców domowych istniejących oraz powstających nowych budynków mieszkalnych. Stan techniczny sieci gazowej Miasta i Gminy Kańczuga jest zadowalający. Odbiorcy gazu </w:t>
      </w:r>
      <w:r w:rsidR="002D3502"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w obrębie terytorialnym miasta Kańczuga zasilani są techniką średniego oraz niskiego ciśnienia poprzez sieć gazociągów z przyłączami domowymi. Redukcja gazu z ciśnienia średniego na niskie odbywa się za pomocą reduktorów domowych za</w:t>
      </w:r>
      <w:r w:rsidR="003C5A1E" w:rsidRPr="00BE6FA1">
        <w:rPr>
          <w:rFonts w:ascii="Times New Roman" w:eastAsia="Times New Roman" w:hAnsi="Times New Roman" w:cs="Times New Roman"/>
          <w:sz w:val="24"/>
          <w:szCs w:val="24"/>
        </w:rPr>
        <w:t xml:space="preserve">instalowanych </w:t>
      </w:r>
      <w:r w:rsidR="002D3502" w:rsidRPr="00BE6FA1">
        <w:rPr>
          <w:rFonts w:ascii="Times New Roman" w:eastAsia="Times New Roman" w:hAnsi="Times New Roman" w:cs="Times New Roman"/>
          <w:sz w:val="24"/>
          <w:szCs w:val="24"/>
        </w:rPr>
        <w:br/>
      </w:r>
      <w:r w:rsidR="003C5A1E" w:rsidRPr="00BE6FA1">
        <w:rPr>
          <w:rFonts w:ascii="Times New Roman" w:eastAsia="Times New Roman" w:hAnsi="Times New Roman" w:cs="Times New Roman"/>
          <w:sz w:val="24"/>
          <w:szCs w:val="24"/>
        </w:rPr>
        <w:t>u odbiorców gazu.</w:t>
      </w:r>
    </w:p>
    <w:p w:rsidR="008E278F" w:rsidRPr="00BE6FA1" w:rsidRDefault="008E278F"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Na terenie Miasta i Gminy Kańczuga Zakład w Rzeszowie nie przewiduje istotnych inwestycji z zakresu przebudowy oraz budowy sieci gazowej, za wyjątkiem niewielkich </w:t>
      </w:r>
      <w:r w:rsidRPr="00BE6FA1">
        <w:rPr>
          <w:rFonts w:ascii="Times New Roman" w:eastAsia="Times New Roman" w:hAnsi="Times New Roman" w:cs="Times New Roman"/>
          <w:sz w:val="24"/>
          <w:szCs w:val="24"/>
        </w:rPr>
        <w:lastRenderedPageBreak/>
        <w:t xml:space="preserve">rozbudów mających na celu dostawę gazu dla nowopowstających budynków mieszkalnych </w:t>
      </w:r>
      <w:r w:rsidR="002D3502"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w ramach opłat przyłączeniowych.</w:t>
      </w:r>
    </w:p>
    <w:p w:rsidR="008E278F" w:rsidRPr="00BE6FA1" w:rsidRDefault="008E278F"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W celu zapewnienia bezpieczeństwa publicznego i ciągłości dostaw gazu dokonywana jest systematycznie wymiana gazociągów znajdujących się w złym stanie technicznym. </w:t>
      </w:r>
      <w:r w:rsidR="002D3502"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W oparciu o coroczne harmonogramy prowadzona jest kontrola sieci gazowej pod kątem szczelności i bezkolizyjnej lokalizacji w stosunku do innych urządzeń nad i podziemnych. Każdego roku komisyjnie dokonywana jest ocena sieci gazowej na terenie Miasta i Gminy Kańczuga.</w:t>
      </w:r>
    </w:p>
    <w:p w:rsidR="008E278F" w:rsidRPr="00BE6FA1" w:rsidRDefault="008E278F"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 przypadku ewentualnego zapotrzebowania przez odbiorcę większych ilości gazu do celów przemysłowych lub innych, Zakład w Rzeszowie podejmuje zamierzenia inwestycyjne po dokonaniu uprzednio analizy możliwości przesyłowej sieci oraz uzasadnienia ekonomicznego celowości inwestycji.</w:t>
      </w:r>
    </w:p>
    <w:p w:rsidR="00B02FE8" w:rsidRPr="00BE6FA1" w:rsidRDefault="00B02FE8" w:rsidP="003A27DA">
      <w:pPr>
        <w:spacing w:line="360" w:lineRule="auto"/>
        <w:jc w:val="both"/>
        <w:rPr>
          <w:rFonts w:ascii="Times New Roman" w:hAnsi="Times New Roman" w:cs="Times New Roman"/>
          <w:sz w:val="24"/>
          <w:szCs w:val="24"/>
        </w:rPr>
      </w:pPr>
    </w:p>
    <w:p w:rsidR="002D3502" w:rsidRPr="00BE6FA1" w:rsidRDefault="002D3502" w:rsidP="003A27DA">
      <w:pPr>
        <w:spacing w:line="360" w:lineRule="auto"/>
        <w:jc w:val="both"/>
        <w:rPr>
          <w:rFonts w:ascii="Times New Roman" w:hAnsi="Times New Roman" w:cs="Times New Roman"/>
          <w:sz w:val="24"/>
          <w:szCs w:val="24"/>
        </w:rPr>
      </w:pPr>
    </w:p>
    <w:p w:rsidR="00F3759F" w:rsidRPr="00BE6FA1" w:rsidRDefault="00F3759F" w:rsidP="003A27DA">
      <w:pPr>
        <w:pStyle w:val="Nagwek2"/>
        <w:spacing w:line="360" w:lineRule="auto"/>
        <w:rPr>
          <w:rFonts w:ascii="Times New Roman" w:hAnsi="Times New Roman" w:cs="Times New Roman"/>
          <w:color w:val="auto"/>
        </w:rPr>
      </w:pPr>
      <w:bookmarkStart w:id="31" w:name="_Toc449097726"/>
      <w:r w:rsidRPr="00BE6FA1">
        <w:rPr>
          <w:rFonts w:ascii="Times New Roman" w:hAnsi="Times New Roman" w:cs="Times New Roman"/>
          <w:color w:val="auto"/>
        </w:rPr>
        <w:t>System elektroenergetyczny</w:t>
      </w:r>
      <w:bookmarkEnd w:id="31"/>
    </w:p>
    <w:p w:rsidR="003A39C5" w:rsidRPr="00BE6FA1" w:rsidRDefault="003A39C5" w:rsidP="003A27DA">
      <w:pPr>
        <w:shd w:val="clear" w:color="auto" w:fill="FFFFFF"/>
        <w:spacing w:after="0" w:line="360" w:lineRule="auto"/>
        <w:rPr>
          <w:rFonts w:ascii="Times New Roman" w:eastAsia="Times New Roman" w:hAnsi="Times New Roman" w:cs="Times New Roman"/>
          <w:sz w:val="24"/>
          <w:szCs w:val="24"/>
        </w:rPr>
      </w:pPr>
    </w:p>
    <w:p w:rsidR="003A39C5" w:rsidRPr="00BE6FA1" w:rsidRDefault="003A39C5"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Obszar Miasta i Gminy Kańczuga podlega pod PGE Dystrybucja S.A. Oddział Zamość. Obszar terytorialny Miasta i Gminy Kańczuga jest zasilany z GPZ 110/15 </w:t>
      </w:r>
      <w:r w:rsidR="008A241B" w:rsidRPr="00BE6FA1">
        <w:rPr>
          <w:rFonts w:ascii="Times New Roman" w:eastAsia="Times New Roman" w:hAnsi="Times New Roman" w:cs="Times New Roman"/>
          <w:sz w:val="24"/>
          <w:szCs w:val="24"/>
        </w:rPr>
        <w:t>Kv</w:t>
      </w:r>
      <w:r w:rsidRPr="00BE6FA1">
        <w:rPr>
          <w:rFonts w:ascii="Times New Roman" w:eastAsia="Times New Roman" w:hAnsi="Times New Roman" w:cs="Times New Roman"/>
          <w:sz w:val="24"/>
          <w:szCs w:val="24"/>
        </w:rPr>
        <w:t xml:space="preserve"> Przeworsk za pośrednictwem linii kablowych i napowietrznych SN 15 </w:t>
      </w:r>
      <w:r w:rsidR="008A241B" w:rsidRPr="00BE6FA1">
        <w:rPr>
          <w:rFonts w:ascii="Times New Roman" w:eastAsia="Times New Roman" w:hAnsi="Times New Roman" w:cs="Times New Roman"/>
          <w:sz w:val="24"/>
          <w:szCs w:val="24"/>
        </w:rPr>
        <w:t>Kv</w:t>
      </w:r>
      <w:r w:rsidRPr="00BE6FA1">
        <w:rPr>
          <w:rFonts w:ascii="Times New Roman" w:eastAsia="Times New Roman" w:hAnsi="Times New Roman" w:cs="Times New Roman"/>
          <w:sz w:val="24"/>
          <w:szCs w:val="24"/>
        </w:rPr>
        <w:t xml:space="preserve"> oraz stacji transformatorowych 15/0,4 </w:t>
      </w:r>
      <w:r w:rsidR="008A241B" w:rsidRPr="00BE6FA1">
        <w:rPr>
          <w:rFonts w:ascii="Times New Roman" w:eastAsia="Times New Roman" w:hAnsi="Times New Roman" w:cs="Times New Roman"/>
          <w:sz w:val="24"/>
          <w:szCs w:val="24"/>
        </w:rPr>
        <w:t>Kv</w:t>
      </w:r>
      <w:r w:rsidRPr="00BE6FA1">
        <w:rPr>
          <w:rFonts w:ascii="Times New Roman" w:eastAsia="Times New Roman" w:hAnsi="Times New Roman" w:cs="Times New Roman"/>
          <w:sz w:val="24"/>
          <w:szCs w:val="24"/>
        </w:rPr>
        <w:t>.</w:t>
      </w:r>
    </w:p>
    <w:p w:rsidR="003A39C5" w:rsidRPr="00BE6FA1" w:rsidRDefault="003A39C5"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Na terenie gminy nie są zlokalizowane urządzenia eksploatowane (stacje elektroenergetyczne, linie przesyłowe) przez PSE S.A. Oddział w Radomiu. </w:t>
      </w:r>
      <w:r w:rsidRPr="00BE6FA1">
        <w:rPr>
          <w:rFonts w:ascii="Times New Roman" w:eastAsia="Times New Roman" w:hAnsi="Times New Roman" w:cs="Times New Roman"/>
          <w:sz w:val="24"/>
          <w:szCs w:val="24"/>
        </w:rPr>
        <w:br/>
        <w:t xml:space="preserve">W nadchodzących latach nie są planowane realizacje inwestycji związanych </w:t>
      </w:r>
      <w:r w:rsidRPr="00BE6FA1">
        <w:rPr>
          <w:rFonts w:ascii="Times New Roman" w:eastAsia="Times New Roman" w:hAnsi="Times New Roman" w:cs="Times New Roman"/>
          <w:sz w:val="24"/>
          <w:szCs w:val="24"/>
        </w:rPr>
        <w:br/>
        <w:t>z rozbudową sieci przesyłowej.</w:t>
      </w:r>
    </w:p>
    <w:p w:rsidR="003A39C5" w:rsidRPr="00BE6FA1" w:rsidRDefault="003A39C5"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System elektroenergetyczny funkcjonujący na terenie Miasta i Gminy Kańczuga pokrywa potrzeby związane z zaopatrzeniem gminy w energię elektryczną.</w:t>
      </w:r>
      <w:r w:rsidR="00563D06" w:rsidRPr="00BE6FA1">
        <w:rPr>
          <w:rFonts w:ascii="Times New Roman" w:eastAsia="Times New Roman" w:hAnsi="Times New Roman" w:cs="Times New Roman"/>
          <w:sz w:val="24"/>
          <w:szCs w:val="24"/>
        </w:rPr>
        <w:t xml:space="preserve"> </w:t>
      </w:r>
      <w:r w:rsidRPr="00BE6FA1">
        <w:rPr>
          <w:rFonts w:ascii="Times New Roman" w:eastAsia="Times New Roman" w:hAnsi="Times New Roman" w:cs="Times New Roman"/>
          <w:sz w:val="24"/>
          <w:szCs w:val="24"/>
        </w:rPr>
        <w:t>Stan techniczny urządzeń energoelektrycznych został oceniony jako dobry. Bezpieczeństwo dostaw energii dla Miasta i Gminy Kańczuga nie jest zagrożone.</w:t>
      </w:r>
    </w:p>
    <w:p w:rsidR="003A39C5" w:rsidRPr="00BE6FA1" w:rsidRDefault="003A39C5"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6B691A" w:rsidRPr="00BE6FA1" w:rsidRDefault="006B691A"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6B691A" w:rsidRPr="00BE6FA1" w:rsidRDefault="006B691A"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6B691A" w:rsidRPr="00BE6FA1" w:rsidRDefault="006B691A"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6B691A" w:rsidRPr="00BE6FA1" w:rsidRDefault="006B691A"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3A39C5" w:rsidRPr="00BE6FA1" w:rsidRDefault="003A39C5" w:rsidP="00AF3A41">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Dane dotyczące stanu sieci elektroenergetycznej</w:t>
      </w:r>
      <w:r w:rsidR="00AF3A41" w:rsidRPr="00BE6FA1">
        <w:rPr>
          <w:rFonts w:ascii="Times New Roman" w:eastAsia="Times New Roman" w:hAnsi="Times New Roman" w:cs="Times New Roman"/>
          <w:sz w:val="24"/>
          <w:szCs w:val="24"/>
        </w:rPr>
        <w:t xml:space="preserve"> przedstawiają poniższe tabele.</w:t>
      </w:r>
    </w:p>
    <w:tbl>
      <w:tblPr>
        <w:tblStyle w:val="Tabela-Siatka"/>
        <w:tblW w:w="5000" w:type="pct"/>
        <w:tblLook w:val="04A0" w:firstRow="1" w:lastRow="0" w:firstColumn="1" w:lastColumn="0" w:noHBand="0" w:noVBand="1"/>
      </w:tblPr>
      <w:tblGrid>
        <w:gridCol w:w="532"/>
        <w:gridCol w:w="5107"/>
        <w:gridCol w:w="2182"/>
        <w:gridCol w:w="1241"/>
      </w:tblGrid>
      <w:tr w:rsidR="003A39C5" w:rsidRPr="00BE6FA1" w:rsidTr="00582849">
        <w:tc>
          <w:tcPr>
            <w:tcW w:w="293"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2818"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Długośc linii 15 </w:t>
            </w:r>
            <w:r w:rsidR="008A241B" w:rsidRPr="00BE6FA1">
              <w:rPr>
                <w:rFonts w:ascii="Times New Roman" w:eastAsia="Times New Roman" w:hAnsi="Times New Roman" w:cs="Times New Roman"/>
                <w:sz w:val="24"/>
                <w:szCs w:val="24"/>
              </w:rPr>
              <w:t>Kv</w:t>
            </w:r>
          </w:p>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99,672</w:t>
            </w:r>
          </w:p>
        </w:tc>
      </w:tr>
      <w:tr w:rsidR="00F6725C" w:rsidRPr="00BE6FA1" w:rsidTr="00582849">
        <w:tc>
          <w:tcPr>
            <w:tcW w:w="293"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2818"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3,862</w:t>
            </w:r>
          </w:p>
        </w:tc>
      </w:tr>
      <w:tr w:rsidR="003A39C5" w:rsidRPr="00BE6FA1" w:rsidTr="00582849">
        <w:tc>
          <w:tcPr>
            <w:tcW w:w="293"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w:t>
            </w:r>
          </w:p>
        </w:tc>
        <w:tc>
          <w:tcPr>
            <w:tcW w:w="2818"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Długość linii 30 </w:t>
            </w:r>
            <w:r w:rsidR="008A241B" w:rsidRPr="00BE6FA1">
              <w:rPr>
                <w:rFonts w:ascii="Times New Roman" w:eastAsia="Times New Roman" w:hAnsi="Times New Roman" w:cs="Times New Roman"/>
                <w:sz w:val="24"/>
                <w:szCs w:val="24"/>
              </w:rPr>
              <w:t>Kv</w:t>
            </w:r>
          </w:p>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w:t>
            </w:r>
          </w:p>
        </w:tc>
      </w:tr>
      <w:tr w:rsidR="00F6725C" w:rsidRPr="00BE6FA1" w:rsidTr="00582849">
        <w:tc>
          <w:tcPr>
            <w:tcW w:w="293"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2818"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w:t>
            </w:r>
          </w:p>
        </w:tc>
      </w:tr>
      <w:tr w:rsidR="003A39C5" w:rsidRPr="00BE6FA1" w:rsidTr="00582849">
        <w:tc>
          <w:tcPr>
            <w:tcW w:w="293"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w:t>
            </w:r>
          </w:p>
        </w:tc>
        <w:tc>
          <w:tcPr>
            <w:tcW w:w="2818"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Długość linii </w:t>
            </w:r>
            <w:r w:rsidR="008A241B" w:rsidRPr="00BE6FA1">
              <w:rPr>
                <w:rFonts w:ascii="Times New Roman" w:eastAsia="Times New Roman" w:hAnsi="Times New Roman" w:cs="Times New Roman"/>
                <w:sz w:val="24"/>
                <w:szCs w:val="24"/>
              </w:rPr>
              <w:t>Nn</w:t>
            </w:r>
            <w:r w:rsidRPr="00BE6FA1">
              <w:rPr>
                <w:rFonts w:ascii="Times New Roman" w:eastAsia="Times New Roman" w:hAnsi="Times New Roman" w:cs="Times New Roman"/>
                <w:sz w:val="24"/>
                <w:szCs w:val="24"/>
              </w:rPr>
              <w:t xml:space="preserve"> bez przyłączy</w:t>
            </w:r>
          </w:p>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142,03</w:t>
            </w:r>
          </w:p>
        </w:tc>
      </w:tr>
      <w:tr w:rsidR="00F6725C" w:rsidRPr="00BE6FA1" w:rsidTr="00582849">
        <w:tc>
          <w:tcPr>
            <w:tcW w:w="293"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2818"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15,721</w:t>
            </w:r>
          </w:p>
        </w:tc>
      </w:tr>
      <w:tr w:rsidR="003A39C5" w:rsidRPr="00BE6FA1" w:rsidTr="00582849">
        <w:tc>
          <w:tcPr>
            <w:tcW w:w="293"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w:t>
            </w:r>
          </w:p>
        </w:tc>
        <w:tc>
          <w:tcPr>
            <w:tcW w:w="2818"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Długość przyłączy </w:t>
            </w:r>
            <w:r w:rsidR="008A241B" w:rsidRPr="00BE6FA1">
              <w:rPr>
                <w:rFonts w:ascii="Times New Roman" w:eastAsia="Times New Roman" w:hAnsi="Times New Roman" w:cs="Times New Roman"/>
                <w:sz w:val="24"/>
                <w:szCs w:val="24"/>
              </w:rPr>
              <w:t>Nn</w:t>
            </w:r>
          </w:p>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686" w:type="pct"/>
            <w:vAlign w:val="center"/>
          </w:tcPr>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88,703</w:t>
            </w:r>
          </w:p>
        </w:tc>
      </w:tr>
      <w:tr w:rsidR="00F6725C" w:rsidRPr="00BE6FA1" w:rsidTr="00582849">
        <w:tc>
          <w:tcPr>
            <w:tcW w:w="293"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2818"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1204"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686"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19,484</w:t>
            </w:r>
          </w:p>
        </w:tc>
      </w:tr>
      <w:tr w:rsidR="003A39C5" w:rsidRPr="00BE6FA1" w:rsidTr="00582849">
        <w:tc>
          <w:tcPr>
            <w:tcW w:w="293"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c>
          <w:tcPr>
            <w:tcW w:w="2818" w:type="pct"/>
            <w:vMerge w:val="restar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Stacje transformatorowe 15/0,4 </w:t>
            </w:r>
            <w:r w:rsidR="008A241B" w:rsidRPr="00BE6FA1">
              <w:rPr>
                <w:rFonts w:ascii="Times New Roman" w:eastAsia="Times New Roman" w:hAnsi="Times New Roman" w:cs="Times New Roman"/>
                <w:sz w:val="24"/>
                <w:szCs w:val="24"/>
              </w:rPr>
              <w:t>Kv</w:t>
            </w:r>
          </w:p>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1204" w:type="pct"/>
            <w:vAlign w:val="center"/>
          </w:tcPr>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słupowe</w:t>
            </w:r>
          </w:p>
        </w:tc>
        <w:tc>
          <w:tcPr>
            <w:tcW w:w="686" w:type="pct"/>
            <w:vAlign w:val="center"/>
          </w:tcPr>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89</w:t>
            </w:r>
          </w:p>
        </w:tc>
      </w:tr>
      <w:tr w:rsidR="00F6725C" w:rsidRPr="00BE6FA1" w:rsidTr="00582849">
        <w:tc>
          <w:tcPr>
            <w:tcW w:w="293"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2818" w:type="pct"/>
            <w:vMerge/>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p>
        </w:tc>
        <w:tc>
          <w:tcPr>
            <w:tcW w:w="1204" w:type="pct"/>
            <w:vAlign w:val="center"/>
          </w:tcPr>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wnętrzowe</w:t>
            </w:r>
          </w:p>
        </w:tc>
        <w:tc>
          <w:tcPr>
            <w:tcW w:w="686" w:type="pct"/>
            <w:vAlign w:val="center"/>
          </w:tcPr>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r>
      <w:tr w:rsidR="003A39C5" w:rsidRPr="00BE6FA1" w:rsidTr="00582849">
        <w:tc>
          <w:tcPr>
            <w:tcW w:w="293" w:type="pct"/>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4021" w:type="pct"/>
            <w:gridSpan w:val="2"/>
            <w:vAlign w:val="center"/>
          </w:tcPr>
          <w:p w:rsidR="003A39C5" w:rsidRPr="00BE6FA1" w:rsidRDefault="003A39C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Moc zainstalowanych transf. 15/0,4 </w:t>
            </w:r>
            <w:r w:rsidR="008A241B" w:rsidRPr="00BE6FA1">
              <w:rPr>
                <w:rFonts w:ascii="Times New Roman" w:eastAsia="Times New Roman" w:hAnsi="Times New Roman" w:cs="Times New Roman"/>
                <w:sz w:val="24"/>
                <w:szCs w:val="24"/>
              </w:rPr>
              <w:t>Kv</w:t>
            </w:r>
          </w:p>
          <w:p w:rsidR="003A39C5" w:rsidRPr="00BE6FA1" w:rsidRDefault="00582849"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r w:rsidR="008A241B" w:rsidRPr="00BE6FA1">
              <w:rPr>
                <w:rFonts w:ascii="Times New Roman" w:eastAsia="Times New Roman" w:hAnsi="Times New Roman" w:cs="Times New Roman"/>
                <w:sz w:val="24"/>
                <w:szCs w:val="24"/>
              </w:rPr>
              <w:t>Kva</w:t>
            </w:r>
            <w:r w:rsidRPr="00BE6FA1">
              <w:rPr>
                <w:rFonts w:ascii="Times New Roman" w:eastAsia="Times New Roman" w:hAnsi="Times New Roman" w:cs="Times New Roman"/>
                <w:sz w:val="24"/>
                <w:szCs w:val="24"/>
              </w:rPr>
              <w:t>]</w:t>
            </w:r>
          </w:p>
        </w:tc>
        <w:tc>
          <w:tcPr>
            <w:tcW w:w="686" w:type="pct"/>
            <w:vAlign w:val="center"/>
          </w:tcPr>
          <w:p w:rsidR="003A39C5" w:rsidRPr="00BE6FA1" w:rsidRDefault="00582849" w:rsidP="003A27DA">
            <w:pPr>
              <w:keepNext/>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10 369</w:t>
            </w:r>
          </w:p>
        </w:tc>
      </w:tr>
    </w:tbl>
    <w:p w:rsidR="003A39C5" w:rsidRPr="00BE6FA1" w:rsidRDefault="000753E7" w:rsidP="003A27DA">
      <w:pPr>
        <w:pStyle w:val="Legenda"/>
        <w:spacing w:line="360" w:lineRule="auto"/>
        <w:rPr>
          <w:rFonts w:ascii="Times New Roman" w:eastAsia="Times New Roman" w:hAnsi="Times New Roman" w:cs="Times New Roman"/>
          <w:color w:val="auto"/>
          <w:sz w:val="24"/>
          <w:szCs w:val="24"/>
        </w:rPr>
      </w:pPr>
      <w:bookmarkStart w:id="32" w:name="_Toc445289853"/>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6</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Sieć SN i </w:t>
      </w:r>
      <w:r w:rsidR="008A241B" w:rsidRPr="00BE6FA1">
        <w:rPr>
          <w:rFonts w:ascii="Times New Roman" w:hAnsi="Times New Roman" w:cs="Times New Roman"/>
          <w:color w:val="auto"/>
        </w:rPr>
        <w:t>Nn</w:t>
      </w:r>
      <w:r w:rsidRPr="00BE6FA1">
        <w:rPr>
          <w:rFonts w:ascii="Times New Roman" w:hAnsi="Times New Roman" w:cs="Times New Roman"/>
          <w:color w:val="auto"/>
        </w:rPr>
        <w:t xml:space="preserve"> na terenie Miasta i Gminy Kańczuga (dane z: </w:t>
      </w:r>
      <w:r w:rsidRPr="00BE6FA1">
        <w:rPr>
          <w:rFonts w:ascii="Times New Roman" w:hAnsi="Times New Roman" w:cs="Times New Roman"/>
          <w:bCs w:val="0"/>
          <w:color w:val="auto"/>
        </w:rPr>
        <w:t>PGE Dystrybucja S.A. Oddział Zamość)</w:t>
      </w:r>
      <w:bookmarkEnd w:id="32"/>
    </w:p>
    <w:p w:rsidR="00B02FE8" w:rsidRPr="00BE6FA1" w:rsidRDefault="00B02FE8"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B02FE8" w:rsidRPr="00BE6FA1" w:rsidRDefault="00B02FE8"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AF3A41" w:rsidRPr="00BE6FA1" w:rsidRDefault="00AF3A41"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B02FE8" w:rsidRPr="00BE6FA1" w:rsidRDefault="00B02FE8" w:rsidP="003A27DA">
      <w:pPr>
        <w:shd w:val="clear" w:color="auto" w:fill="FFFFFF"/>
        <w:spacing w:after="0" w:line="360" w:lineRule="auto"/>
        <w:jc w:val="both"/>
        <w:rPr>
          <w:rFonts w:ascii="Times New Roman" w:eastAsia="Times New Roman" w:hAnsi="Times New Roman" w:cs="Times New Roman"/>
          <w:sz w:val="24"/>
          <w:szCs w:val="24"/>
        </w:rPr>
      </w:pPr>
    </w:p>
    <w:tbl>
      <w:tblPr>
        <w:tblStyle w:val="Tabela-Siatka"/>
        <w:tblW w:w="5000" w:type="pct"/>
        <w:tblLook w:val="04A0" w:firstRow="1" w:lastRow="0" w:firstColumn="1" w:lastColumn="0" w:noHBand="0" w:noVBand="1"/>
      </w:tblPr>
      <w:tblGrid>
        <w:gridCol w:w="542"/>
        <w:gridCol w:w="5211"/>
        <w:gridCol w:w="2227"/>
        <w:gridCol w:w="1082"/>
      </w:tblGrid>
      <w:tr w:rsidR="00B02FE8" w:rsidRPr="00BE6FA1" w:rsidTr="00295BED">
        <w:tc>
          <w:tcPr>
            <w:tcW w:w="299"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2875"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Długośc linii 15 </w:t>
            </w:r>
            <w:r w:rsidR="008A241B" w:rsidRPr="00BE6FA1">
              <w:rPr>
                <w:rFonts w:ascii="Times New Roman" w:eastAsia="Times New Roman" w:hAnsi="Times New Roman" w:cs="Times New Roman"/>
                <w:sz w:val="24"/>
                <w:szCs w:val="24"/>
              </w:rPr>
              <w:t>Kv</w:t>
            </w:r>
          </w:p>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2,629</w:t>
            </w:r>
          </w:p>
        </w:tc>
      </w:tr>
      <w:tr w:rsidR="00F6725C" w:rsidRPr="00BE6FA1" w:rsidTr="00295BED">
        <w:tc>
          <w:tcPr>
            <w:tcW w:w="299"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2875"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1,198</w:t>
            </w:r>
          </w:p>
        </w:tc>
      </w:tr>
      <w:tr w:rsidR="00B02FE8" w:rsidRPr="00BE6FA1" w:rsidTr="00295BED">
        <w:tc>
          <w:tcPr>
            <w:tcW w:w="299"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w:t>
            </w:r>
          </w:p>
        </w:tc>
        <w:tc>
          <w:tcPr>
            <w:tcW w:w="2875"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Długość linii 30 </w:t>
            </w:r>
            <w:r w:rsidR="008A241B" w:rsidRPr="00BE6FA1">
              <w:rPr>
                <w:rFonts w:ascii="Times New Roman" w:eastAsia="Times New Roman" w:hAnsi="Times New Roman" w:cs="Times New Roman"/>
                <w:sz w:val="24"/>
                <w:szCs w:val="24"/>
              </w:rPr>
              <w:t>Kv</w:t>
            </w:r>
          </w:p>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[km]</w:t>
            </w: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napowietrzne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w:t>
            </w:r>
          </w:p>
        </w:tc>
      </w:tr>
      <w:tr w:rsidR="00F6725C" w:rsidRPr="00BE6FA1" w:rsidTr="00295BED">
        <w:tc>
          <w:tcPr>
            <w:tcW w:w="299"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2875"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kablowe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w:t>
            </w:r>
          </w:p>
        </w:tc>
      </w:tr>
      <w:tr w:rsidR="00B02FE8" w:rsidRPr="00BE6FA1" w:rsidTr="00295BED">
        <w:tc>
          <w:tcPr>
            <w:tcW w:w="299"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c>
          <w:tcPr>
            <w:tcW w:w="2875" w:type="pct"/>
            <w:vMerge w:val="restar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Stacje transformatorowe 15/0,4 </w:t>
            </w:r>
            <w:r w:rsidR="008A241B" w:rsidRPr="00BE6FA1">
              <w:rPr>
                <w:rFonts w:ascii="Times New Roman" w:eastAsia="Times New Roman" w:hAnsi="Times New Roman" w:cs="Times New Roman"/>
                <w:sz w:val="24"/>
                <w:szCs w:val="24"/>
              </w:rPr>
              <w:t>Kv</w:t>
            </w:r>
          </w:p>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słupowe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r>
      <w:tr w:rsidR="00F6725C" w:rsidRPr="00BE6FA1" w:rsidTr="00295BED">
        <w:tc>
          <w:tcPr>
            <w:tcW w:w="299"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2875" w:type="pct"/>
            <w:vMerge/>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p>
        </w:tc>
        <w:tc>
          <w:tcPr>
            <w:tcW w:w="1228"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wnętrzowe</w:t>
            </w:r>
          </w:p>
        </w:tc>
        <w:tc>
          <w:tcPr>
            <w:tcW w:w="597" w:type="pct"/>
            <w:vAlign w:val="center"/>
          </w:tcPr>
          <w:p w:rsidR="00B02FE8"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r>
      <w:tr w:rsidR="00B02FE8" w:rsidRPr="00BE6FA1" w:rsidTr="00295BED">
        <w:tc>
          <w:tcPr>
            <w:tcW w:w="299" w:type="pct"/>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4104" w:type="pct"/>
            <w:gridSpan w:val="2"/>
            <w:vAlign w:val="center"/>
          </w:tcPr>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Moc zainstalowanych transf. 15/0,4 </w:t>
            </w:r>
            <w:r w:rsidR="008A241B" w:rsidRPr="00BE6FA1">
              <w:rPr>
                <w:rFonts w:ascii="Times New Roman" w:eastAsia="Times New Roman" w:hAnsi="Times New Roman" w:cs="Times New Roman"/>
                <w:sz w:val="24"/>
                <w:szCs w:val="24"/>
              </w:rPr>
              <w:t>Kv</w:t>
            </w:r>
          </w:p>
          <w:p w:rsidR="00B02FE8" w:rsidRPr="00BE6FA1" w:rsidRDefault="00B02FE8"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r w:rsidR="008A241B" w:rsidRPr="00BE6FA1">
              <w:rPr>
                <w:rFonts w:ascii="Times New Roman" w:eastAsia="Times New Roman" w:hAnsi="Times New Roman" w:cs="Times New Roman"/>
                <w:sz w:val="24"/>
                <w:szCs w:val="24"/>
              </w:rPr>
              <w:t>Kva</w:t>
            </w:r>
            <w:r w:rsidRPr="00BE6FA1">
              <w:rPr>
                <w:rFonts w:ascii="Times New Roman" w:eastAsia="Times New Roman" w:hAnsi="Times New Roman" w:cs="Times New Roman"/>
                <w:sz w:val="24"/>
                <w:szCs w:val="24"/>
              </w:rPr>
              <w:t>]</w:t>
            </w:r>
          </w:p>
        </w:tc>
        <w:tc>
          <w:tcPr>
            <w:tcW w:w="597" w:type="pct"/>
            <w:vAlign w:val="center"/>
          </w:tcPr>
          <w:p w:rsidR="00B02FE8" w:rsidRPr="00BE6FA1" w:rsidRDefault="00B02FE8" w:rsidP="003A27DA">
            <w:pPr>
              <w:keepNext/>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5793</w:t>
            </w:r>
          </w:p>
        </w:tc>
      </w:tr>
    </w:tbl>
    <w:p w:rsidR="00B02FE8" w:rsidRPr="00BE6FA1" w:rsidRDefault="00295BED" w:rsidP="003A27DA">
      <w:pPr>
        <w:pStyle w:val="Legenda"/>
        <w:spacing w:line="360" w:lineRule="auto"/>
        <w:rPr>
          <w:rFonts w:ascii="Times New Roman" w:hAnsi="Times New Roman" w:cs="Times New Roman"/>
          <w:bCs w:val="0"/>
          <w:color w:val="auto"/>
        </w:rPr>
      </w:pPr>
      <w:bookmarkStart w:id="33" w:name="_Toc445289854"/>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7</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Urządzenia obce (dane z:</w:t>
      </w:r>
      <w:r w:rsidRPr="00BE6FA1">
        <w:rPr>
          <w:rFonts w:ascii="Times New Roman" w:hAnsi="Times New Roman" w:cs="Times New Roman"/>
          <w:bCs w:val="0"/>
          <w:color w:val="auto"/>
        </w:rPr>
        <w:t xml:space="preserve"> PGE Dystrybucja S.A. Oddział Zamość)</w:t>
      </w:r>
      <w:bookmarkEnd w:id="33"/>
    </w:p>
    <w:p w:rsidR="00295BED" w:rsidRPr="00BE6FA1" w:rsidRDefault="00295BED" w:rsidP="003A27DA">
      <w:pPr>
        <w:spacing w:line="360" w:lineRule="auto"/>
        <w:rPr>
          <w:rFonts w:ascii="Times New Roman" w:hAnsi="Times New Roman" w:cs="Times New Roman"/>
        </w:rPr>
      </w:pPr>
    </w:p>
    <w:p w:rsidR="00295BED" w:rsidRPr="00BE6FA1" w:rsidRDefault="00295BED" w:rsidP="003A27DA">
      <w:pPr>
        <w:spacing w:line="360" w:lineRule="auto"/>
        <w:rPr>
          <w:rFonts w:ascii="Times New Roman" w:hAnsi="Times New Roman" w:cs="Times New Roman"/>
        </w:rPr>
        <w:sectPr w:rsidR="00295BED" w:rsidRPr="00BE6FA1" w:rsidSect="00530C87">
          <w:type w:val="continuous"/>
          <w:pgSz w:w="11906" w:h="16838"/>
          <w:pgMar w:top="1417" w:right="1417" w:bottom="1417" w:left="1417" w:header="708" w:footer="708" w:gutter="0"/>
          <w:cols w:space="708"/>
          <w:docGrid w:linePitch="360"/>
        </w:sectPr>
      </w:pPr>
    </w:p>
    <w:p w:rsidR="00295BED" w:rsidRPr="00BE6FA1" w:rsidRDefault="00295BED" w:rsidP="003A27DA">
      <w:pPr>
        <w:spacing w:line="360" w:lineRule="auto"/>
        <w:rPr>
          <w:rFonts w:ascii="Times New Roman" w:hAnsi="Times New Roman" w:cs="Times New Roman"/>
          <w:sz w:val="24"/>
        </w:rPr>
      </w:pPr>
      <w:r w:rsidRPr="00BE6FA1">
        <w:rPr>
          <w:rFonts w:ascii="Times New Roman" w:hAnsi="Times New Roman" w:cs="Times New Roman"/>
          <w:sz w:val="24"/>
        </w:rPr>
        <w:lastRenderedPageBreak/>
        <w:t>Charakterystyka odbiorców energii elektrycznej na terenie Miasta i Gminy Kańczuga</w:t>
      </w:r>
    </w:p>
    <w:tbl>
      <w:tblPr>
        <w:tblStyle w:val="Tabela-Siatka"/>
        <w:tblW w:w="5000" w:type="pct"/>
        <w:tblLook w:val="04A0" w:firstRow="1" w:lastRow="0" w:firstColumn="1" w:lastColumn="0" w:noHBand="0" w:noVBand="1"/>
      </w:tblPr>
      <w:tblGrid>
        <w:gridCol w:w="696"/>
        <w:gridCol w:w="1486"/>
        <w:gridCol w:w="1176"/>
        <w:gridCol w:w="1243"/>
        <w:gridCol w:w="1416"/>
        <w:gridCol w:w="1243"/>
        <w:gridCol w:w="1416"/>
        <w:gridCol w:w="1243"/>
        <w:gridCol w:w="1416"/>
        <w:gridCol w:w="1243"/>
        <w:gridCol w:w="1416"/>
      </w:tblGrid>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Lp.</w:t>
            </w:r>
          </w:p>
        </w:tc>
        <w:tc>
          <w:tcPr>
            <w:tcW w:w="785"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Rodzaj</w:t>
            </w:r>
          </w:p>
        </w:tc>
        <w:tc>
          <w:tcPr>
            <w:tcW w:w="544"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Nazwa</w:t>
            </w:r>
          </w:p>
        </w:tc>
        <w:tc>
          <w:tcPr>
            <w:tcW w:w="991" w:type="pct"/>
            <w:gridSpan w:val="2"/>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Grupa taryfowa B</w:t>
            </w:r>
          </w:p>
        </w:tc>
        <w:tc>
          <w:tcPr>
            <w:tcW w:w="991" w:type="pct"/>
            <w:gridSpan w:val="2"/>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Grupa taryfowa C</w:t>
            </w:r>
          </w:p>
        </w:tc>
        <w:tc>
          <w:tcPr>
            <w:tcW w:w="991" w:type="pct"/>
            <w:gridSpan w:val="2"/>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Grupa taryfowa G</w:t>
            </w:r>
          </w:p>
        </w:tc>
        <w:tc>
          <w:tcPr>
            <w:tcW w:w="368" w:type="pct"/>
            <w:gridSpan w:val="2"/>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Razem</w:t>
            </w:r>
          </w:p>
        </w:tc>
      </w:tr>
      <w:tr w:rsidR="00F6725C" w:rsidRPr="00BE6FA1" w:rsidTr="005A0AE5">
        <w:tc>
          <w:tcPr>
            <w:tcW w:w="330"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785"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544"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Ilość odbiorców</w:t>
            </w:r>
          </w:p>
        </w:tc>
        <w:tc>
          <w:tcPr>
            <w:tcW w:w="526"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Dostarczona energia</w:t>
            </w: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Ilość odbiorców</w:t>
            </w:r>
          </w:p>
        </w:tc>
        <w:tc>
          <w:tcPr>
            <w:tcW w:w="526"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Dostarczona energia</w:t>
            </w: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Ilość odbiorców</w:t>
            </w:r>
          </w:p>
        </w:tc>
        <w:tc>
          <w:tcPr>
            <w:tcW w:w="526"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Dostarczona energia</w:t>
            </w:r>
          </w:p>
        </w:tc>
        <w:tc>
          <w:tcPr>
            <w:tcW w:w="175"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Ilość odbiorców</w:t>
            </w:r>
          </w:p>
        </w:tc>
        <w:tc>
          <w:tcPr>
            <w:tcW w:w="192"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Dostarczona energia</w:t>
            </w:r>
          </w:p>
        </w:tc>
      </w:tr>
      <w:tr w:rsidR="00F6725C" w:rsidRPr="00BE6FA1" w:rsidTr="005A0AE5">
        <w:tc>
          <w:tcPr>
            <w:tcW w:w="330"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785"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544" w:type="pct"/>
            <w:vMerge/>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526" w:type="pct"/>
            <w:vAlign w:val="center"/>
          </w:tcPr>
          <w:p w:rsidR="005A0AE5" w:rsidRPr="00BE6FA1" w:rsidRDefault="008A241B"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w:t>
            </w:r>
            <w:r w:rsidR="005A0AE5" w:rsidRPr="00BE6FA1">
              <w:rPr>
                <w:rFonts w:ascii="Times New Roman" w:eastAsia="Times New Roman" w:hAnsi="Times New Roman" w:cs="Times New Roman"/>
                <w:sz w:val="24"/>
                <w:szCs w:val="24"/>
              </w:rPr>
              <w:t>Wh</w:t>
            </w: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526" w:type="pct"/>
            <w:vAlign w:val="center"/>
          </w:tcPr>
          <w:p w:rsidR="005A0AE5" w:rsidRPr="00BE6FA1" w:rsidRDefault="008A241B"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w:t>
            </w:r>
            <w:r w:rsidR="005A0AE5" w:rsidRPr="00BE6FA1">
              <w:rPr>
                <w:rFonts w:ascii="Times New Roman" w:eastAsia="Times New Roman" w:hAnsi="Times New Roman" w:cs="Times New Roman"/>
                <w:sz w:val="24"/>
                <w:szCs w:val="24"/>
              </w:rPr>
              <w:t>Wh</w:t>
            </w:r>
          </w:p>
        </w:tc>
        <w:tc>
          <w:tcPr>
            <w:tcW w:w="464"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526" w:type="pct"/>
            <w:vAlign w:val="center"/>
          </w:tcPr>
          <w:p w:rsidR="005A0AE5" w:rsidRPr="00BE6FA1" w:rsidRDefault="008A241B"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w:t>
            </w:r>
            <w:r w:rsidR="005A0AE5" w:rsidRPr="00BE6FA1">
              <w:rPr>
                <w:rFonts w:ascii="Times New Roman" w:eastAsia="Times New Roman" w:hAnsi="Times New Roman" w:cs="Times New Roman"/>
                <w:sz w:val="24"/>
                <w:szCs w:val="24"/>
              </w:rPr>
              <w:t>Wh</w:t>
            </w:r>
          </w:p>
        </w:tc>
        <w:tc>
          <w:tcPr>
            <w:tcW w:w="175" w:type="pct"/>
            <w:vAlign w:val="center"/>
          </w:tcPr>
          <w:p w:rsidR="005A0AE5"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Szt.</w:t>
            </w:r>
          </w:p>
        </w:tc>
        <w:tc>
          <w:tcPr>
            <w:tcW w:w="192" w:type="pct"/>
            <w:vAlign w:val="center"/>
          </w:tcPr>
          <w:p w:rsidR="005A0AE5" w:rsidRPr="00BE6FA1" w:rsidRDefault="008A241B"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w:t>
            </w:r>
            <w:r w:rsidR="005A0AE5" w:rsidRPr="00BE6FA1">
              <w:rPr>
                <w:rFonts w:ascii="Times New Roman" w:eastAsia="Times New Roman" w:hAnsi="Times New Roman" w:cs="Times New Roman"/>
                <w:sz w:val="24"/>
                <w:szCs w:val="24"/>
              </w:rPr>
              <w:t>Wh</w:t>
            </w:r>
          </w:p>
        </w:tc>
      </w:tr>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2010</w:t>
            </w: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Miasto</w:t>
            </w:r>
          </w:p>
        </w:tc>
        <w:tc>
          <w:tcPr>
            <w:tcW w:w="544"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Kańczuga</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16 976 788</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130</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2 159 204</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1 034</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1 908 811</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1 696</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21 046 555</w:t>
            </w:r>
          </w:p>
        </w:tc>
      </w:tr>
      <w:tr w:rsidR="00F6725C" w:rsidRPr="00BE6FA1" w:rsidTr="005A0AE5">
        <w:tc>
          <w:tcPr>
            <w:tcW w:w="330"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Obszar wiejski</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49 209</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253</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1 606 620</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3 058</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5 332 613</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3 312</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6 988 442</w:t>
            </w:r>
          </w:p>
        </w:tc>
      </w:tr>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2011</w:t>
            </w: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Miasto</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526" w:type="pct"/>
            <w:vAlign w:val="center"/>
          </w:tcPr>
          <w:p w:rsidR="00295BED" w:rsidRPr="00BE6FA1" w:rsidRDefault="005A0AE5" w:rsidP="003A27DA">
            <w:pPr>
              <w:pStyle w:val="Default0"/>
              <w:spacing w:line="360" w:lineRule="auto"/>
              <w:jc w:val="center"/>
              <w:rPr>
                <w:color w:val="auto"/>
                <w:sz w:val="22"/>
                <w:szCs w:val="22"/>
              </w:rPr>
            </w:pPr>
            <w:r w:rsidRPr="00BE6FA1">
              <w:rPr>
                <w:color w:val="auto"/>
                <w:sz w:val="22"/>
                <w:szCs w:val="22"/>
              </w:rPr>
              <w:t xml:space="preserve">18 908 395 </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128</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2 070 083</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1 037</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2 055 812</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1 171</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23 035 975</w:t>
            </w:r>
          </w:p>
        </w:tc>
      </w:tr>
      <w:tr w:rsidR="00F6725C" w:rsidRPr="00BE6FA1" w:rsidTr="005A0AE5">
        <w:tc>
          <w:tcPr>
            <w:tcW w:w="330"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Obszar wiejski</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339 367</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259</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59*7 982</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3 065</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5 300 608</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3 326</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7 237 957</w:t>
            </w:r>
          </w:p>
        </w:tc>
      </w:tr>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2012</w:t>
            </w: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Miasto</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18 973 940</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126</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2 026 434</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1 019</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1 815 667</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1 151</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22 816 886</w:t>
            </w:r>
          </w:p>
        </w:tc>
      </w:tr>
      <w:tr w:rsidR="00F6725C" w:rsidRPr="00BE6FA1" w:rsidTr="005A0AE5">
        <w:tc>
          <w:tcPr>
            <w:tcW w:w="330"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Obszar wiejski</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214 981</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246</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1 571 980</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3 044</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5 194 008</w:t>
            </w:r>
          </w:p>
        </w:tc>
        <w:tc>
          <w:tcPr>
            <w:tcW w:w="175"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3 292</w:t>
            </w:r>
          </w:p>
        </w:tc>
        <w:tc>
          <w:tcPr>
            <w:tcW w:w="192"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6 980 969</w:t>
            </w:r>
          </w:p>
        </w:tc>
      </w:tr>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2013</w:t>
            </w: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Miasto</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19 263 509</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125</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2 088 376</w:t>
            </w:r>
          </w:p>
        </w:tc>
        <w:tc>
          <w:tcPr>
            <w:tcW w:w="464"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1 023</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1 864 820</w:t>
            </w:r>
          </w:p>
        </w:tc>
        <w:tc>
          <w:tcPr>
            <w:tcW w:w="175"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1 154</w:t>
            </w:r>
          </w:p>
        </w:tc>
        <w:tc>
          <w:tcPr>
            <w:tcW w:w="192"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23 216 703</w:t>
            </w:r>
          </w:p>
        </w:tc>
      </w:tr>
      <w:tr w:rsidR="00F6725C" w:rsidRPr="00BE6FA1" w:rsidTr="005A0AE5">
        <w:tc>
          <w:tcPr>
            <w:tcW w:w="330"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Obszar wiejski</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71 821</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237</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1 537 915</w:t>
            </w:r>
          </w:p>
        </w:tc>
        <w:tc>
          <w:tcPr>
            <w:tcW w:w="464"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3 025</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5 167 350</w:t>
            </w:r>
          </w:p>
        </w:tc>
        <w:tc>
          <w:tcPr>
            <w:tcW w:w="175"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3 263</w:t>
            </w:r>
          </w:p>
        </w:tc>
        <w:tc>
          <w:tcPr>
            <w:tcW w:w="192"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6 777 086</w:t>
            </w:r>
          </w:p>
        </w:tc>
      </w:tr>
      <w:tr w:rsidR="00F6725C" w:rsidRPr="00BE6FA1" w:rsidTr="005A0AE5">
        <w:tc>
          <w:tcPr>
            <w:tcW w:w="330" w:type="pct"/>
            <w:vMerge w:val="restar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2014</w:t>
            </w: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Miasto</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18 615 648</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121</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2 046 740</w:t>
            </w:r>
          </w:p>
        </w:tc>
        <w:tc>
          <w:tcPr>
            <w:tcW w:w="464"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1 027</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1 832 599</w:t>
            </w:r>
          </w:p>
        </w:tc>
        <w:tc>
          <w:tcPr>
            <w:tcW w:w="175"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1 513</w:t>
            </w:r>
          </w:p>
        </w:tc>
        <w:tc>
          <w:tcPr>
            <w:tcW w:w="192"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22 494 987</w:t>
            </w:r>
          </w:p>
        </w:tc>
      </w:tr>
      <w:tr w:rsidR="00F6725C" w:rsidRPr="00BE6FA1" w:rsidTr="005A0AE5">
        <w:tc>
          <w:tcPr>
            <w:tcW w:w="330"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785" w:type="pct"/>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Obszar wiejski</w:t>
            </w:r>
          </w:p>
        </w:tc>
        <w:tc>
          <w:tcPr>
            <w:tcW w:w="544" w:type="pct"/>
            <w:vMerge/>
            <w:vAlign w:val="center"/>
          </w:tcPr>
          <w:p w:rsidR="00295BED" w:rsidRPr="00BE6FA1" w:rsidRDefault="00295BED" w:rsidP="003A27DA">
            <w:pPr>
              <w:spacing w:line="360" w:lineRule="auto"/>
              <w:jc w:val="center"/>
              <w:rPr>
                <w:rFonts w:ascii="Times New Roman" w:eastAsia="Times New Roman" w:hAnsi="Times New Roman" w:cs="Times New Roman"/>
                <w:sz w:val="24"/>
                <w:szCs w:val="24"/>
              </w:rPr>
            </w:pP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526"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57 226</w:t>
            </w:r>
          </w:p>
        </w:tc>
        <w:tc>
          <w:tcPr>
            <w:tcW w:w="464" w:type="pct"/>
            <w:vAlign w:val="center"/>
          </w:tcPr>
          <w:p w:rsidR="00295BED" w:rsidRPr="00BE6FA1" w:rsidRDefault="005A0AE5"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221</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1 394 342</w:t>
            </w:r>
          </w:p>
        </w:tc>
        <w:tc>
          <w:tcPr>
            <w:tcW w:w="464"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2 999</w:t>
            </w:r>
          </w:p>
        </w:tc>
        <w:tc>
          <w:tcPr>
            <w:tcW w:w="526"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5 086 862</w:t>
            </w:r>
          </w:p>
        </w:tc>
        <w:tc>
          <w:tcPr>
            <w:tcW w:w="175" w:type="pct"/>
            <w:vAlign w:val="center"/>
          </w:tcPr>
          <w:p w:rsidR="00295BED" w:rsidRPr="00BE6FA1" w:rsidRDefault="0077631E" w:rsidP="003A27DA">
            <w:pPr>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3 221</w:t>
            </w:r>
          </w:p>
        </w:tc>
        <w:tc>
          <w:tcPr>
            <w:tcW w:w="192" w:type="pct"/>
            <w:vAlign w:val="center"/>
          </w:tcPr>
          <w:p w:rsidR="00295BED" w:rsidRPr="00BE6FA1" w:rsidRDefault="0077631E" w:rsidP="003A27DA">
            <w:pPr>
              <w:keepNext/>
              <w:spacing w:line="36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6 538 430</w:t>
            </w:r>
          </w:p>
        </w:tc>
      </w:tr>
    </w:tbl>
    <w:p w:rsidR="00295BED" w:rsidRPr="00BE6FA1" w:rsidRDefault="0077631E" w:rsidP="003A27DA">
      <w:pPr>
        <w:pStyle w:val="Legenda"/>
        <w:spacing w:line="360" w:lineRule="auto"/>
        <w:rPr>
          <w:rFonts w:ascii="Times New Roman" w:eastAsia="Times New Roman" w:hAnsi="Times New Roman" w:cs="Times New Roman"/>
          <w:color w:val="auto"/>
          <w:sz w:val="24"/>
          <w:szCs w:val="24"/>
        </w:rPr>
        <w:sectPr w:rsidR="00295BED" w:rsidRPr="00BE6FA1" w:rsidSect="00295BED">
          <w:pgSz w:w="16838" w:h="11906" w:orient="landscape"/>
          <w:pgMar w:top="1417" w:right="1417" w:bottom="1417" w:left="1417" w:header="708" w:footer="708" w:gutter="0"/>
          <w:cols w:space="708"/>
          <w:docGrid w:linePitch="360"/>
        </w:sectPr>
      </w:pPr>
      <w:bookmarkStart w:id="34" w:name="_Toc445289855"/>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8</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Struktura odbiorców w Gminie Kańczuga w latach 2010-2014 (dane z:</w:t>
      </w:r>
      <w:r w:rsidRPr="00BE6FA1">
        <w:rPr>
          <w:rFonts w:ascii="Times New Roman" w:hAnsi="Times New Roman" w:cs="Times New Roman"/>
          <w:bCs w:val="0"/>
          <w:color w:val="auto"/>
        </w:rPr>
        <w:t xml:space="preserve">  PGE Dystrybucja S.A. Oddział Zamość)</w:t>
      </w:r>
      <w:bookmarkEnd w:id="34"/>
    </w:p>
    <w:p w:rsidR="002F454C" w:rsidRPr="00BE6FA1" w:rsidRDefault="002F454C"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Plan Rozwoju przedsiębiorstwa PGE Dystrybucja S.A. Oddział Zamość uzgodniony przez Prezesa URE przewiduje środki inwestycyjne pozwalające rozbudować sieć w celu przyłączenia nowych odbiorców oraz środki na modernizację i odtworzenie majątku. Poniższa tabela przedstawia listę projektów inwestycyjn</w:t>
      </w:r>
      <w:r w:rsidR="009E7269" w:rsidRPr="00BE6FA1">
        <w:rPr>
          <w:rFonts w:ascii="Times New Roman" w:eastAsia="Times New Roman" w:hAnsi="Times New Roman" w:cs="Times New Roman"/>
          <w:sz w:val="24"/>
          <w:szCs w:val="24"/>
        </w:rPr>
        <w:t xml:space="preserve">ych związanych z modernizacją </w:t>
      </w:r>
      <w:r w:rsidR="009E7269" w:rsidRPr="00BE6FA1">
        <w:rPr>
          <w:rFonts w:ascii="Times New Roman" w:eastAsia="Times New Roman" w:hAnsi="Times New Roman" w:cs="Times New Roman"/>
          <w:sz w:val="24"/>
          <w:szCs w:val="24"/>
        </w:rPr>
        <w:br/>
        <w:t xml:space="preserve">i </w:t>
      </w:r>
      <w:r w:rsidRPr="00BE6FA1">
        <w:rPr>
          <w:rFonts w:ascii="Times New Roman" w:eastAsia="Times New Roman" w:hAnsi="Times New Roman" w:cs="Times New Roman"/>
          <w:sz w:val="24"/>
          <w:szCs w:val="24"/>
        </w:rPr>
        <w:t>odtworzeniem majątku dotyczących obszaru miasta i gminy Kańczuga.</w:t>
      </w:r>
    </w:p>
    <w:p w:rsidR="008262D3" w:rsidRPr="00BE6FA1" w:rsidRDefault="008262D3" w:rsidP="005A5481">
      <w:pPr>
        <w:shd w:val="clear" w:color="auto" w:fill="FFFFFF"/>
        <w:spacing w:after="0" w:line="360" w:lineRule="auto"/>
        <w:jc w:val="both"/>
        <w:rPr>
          <w:rFonts w:ascii="Times New Roman" w:eastAsia="Times New Roman" w:hAnsi="Times New Roman" w:cs="Times New Roman"/>
          <w:sz w:val="24"/>
          <w:szCs w:val="24"/>
        </w:rPr>
      </w:pPr>
    </w:p>
    <w:tbl>
      <w:tblPr>
        <w:tblStyle w:val="Tabela-Siatka"/>
        <w:tblW w:w="5000" w:type="pct"/>
        <w:tblLayout w:type="fixed"/>
        <w:tblLook w:val="04A0" w:firstRow="1" w:lastRow="0" w:firstColumn="1" w:lastColumn="0" w:noHBand="0" w:noVBand="1"/>
      </w:tblPr>
      <w:tblGrid>
        <w:gridCol w:w="521"/>
        <w:gridCol w:w="1244"/>
        <w:gridCol w:w="3319"/>
        <w:gridCol w:w="3978"/>
      </w:tblGrid>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Lp.</w:t>
            </w:r>
          </w:p>
        </w:tc>
        <w:tc>
          <w:tcPr>
            <w:tcW w:w="686"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Gmina</w:t>
            </w: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Nazwa/rodzaj projektu inwestycyjnego</w:t>
            </w:r>
          </w:p>
        </w:tc>
        <w:tc>
          <w:tcPr>
            <w:tcW w:w="2195"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Zakres rzeczowy</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w:t>
            </w:r>
          </w:p>
        </w:tc>
        <w:tc>
          <w:tcPr>
            <w:tcW w:w="686" w:type="pct"/>
            <w:vMerge w:val="restar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Kańczuga</w:t>
            </w: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sieci SN i nn na terenie miasta Kańczuga</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kablowe SN – 0,29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Linie napowietrzne SN – 1,11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3. Stacje transf. </w:t>
            </w:r>
            <w:r w:rsidR="008A241B" w:rsidRPr="00BE6FA1">
              <w:rPr>
                <w:rFonts w:ascii="Times New Roman" w:eastAsia="Times New Roman" w:hAnsi="Times New Roman" w:cs="Times New Roman"/>
                <w:sz w:val="24"/>
                <w:szCs w:val="24"/>
              </w:rPr>
              <w:t>W</w:t>
            </w:r>
            <w:r w:rsidRPr="00BE6FA1">
              <w:rPr>
                <w:rFonts w:ascii="Times New Roman" w:eastAsia="Times New Roman" w:hAnsi="Times New Roman" w:cs="Times New Roman"/>
                <w:sz w:val="24"/>
                <w:szCs w:val="24"/>
              </w:rPr>
              <w:t>nętrzowe – 1 szt;</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 Linie kablowe nn – 2,2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 Przyłącza kablowe nn – 55 szt.</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w:t>
            </w:r>
          </w:p>
        </w:tc>
        <w:tc>
          <w:tcPr>
            <w:tcW w:w="686" w:type="pct"/>
            <w:vMerge/>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sieci SN i nn na terenie miejscowości Krzeczowice</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kablowe SN – 0,3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2.Stacje transf. </w:t>
            </w:r>
            <w:r w:rsidR="008A241B" w:rsidRPr="00BE6FA1">
              <w:rPr>
                <w:rFonts w:ascii="Times New Roman" w:eastAsia="Times New Roman" w:hAnsi="Times New Roman" w:cs="Times New Roman"/>
                <w:sz w:val="24"/>
                <w:szCs w:val="24"/>
              </w:rPr>
              <w:t>N</w:t>
            </w:r>
            <w:r w:rsidRPr="00BE6FA1">
              <w:rPr>
                <w:rFonts w:ascii="Times New Roman" w:eastAsia="Times New Roman" w:hAnsi="Times New Roman" w:cs="Times New Roman"/>
                <w:sz w:val="24"/>
                <w:szCs w:val="24"/>
              </w:rPr>
              <w:t>apowietrzne–2 szt;</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Linie napowietrzne nn – 6,27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 Linie kablowe nn – 0,25 km;</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5.Przyłącza napowietrzne nn–96 szt.;</w:t>
            </w:r>
          </w:p>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 Przyłącza kablowe nn – 6 szt.</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w:t>
            </w:r>
          </w:p>
        </w:tc>
        <w:tc>
          <w:tcPr>
            <w:tcW w:w="686" w:type="pct"/>
            <w:vMerge/>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Modernizacja (przebudowa na PAS) LSN 15 </w:t>
            </w:r>
            <w:r w:rsidR="008A241B" w:rsidRPr="00BE6FA1">
              <w:rPr>
                <w:rFonts w:ascii="Times New Roman" w:eastAsia="Times New Roman" w:hAnsi="Times New Roman" w:cs="Times New Roman"/>
                <w:sz w:val="24"/>
                <w:szCs w:val="24"/>
              </w:rPr>
              <w:t>Kv</w:t>
            </w:r>
            <w:r w:rsidRPr="00BE6FA1">
              <w:rPr>
                <w:rFonts w:ascii="Times New Roman" w:eastAsia="Times New Roman" w:hAnsi="Times New Roman" w:cs="Times New Roman"/>
                <w:sz w:val="24"/>
                <w:szCs w:val="24"/>
              </w:rPr>
              <w:t xml:space="preserve"> GPZ Przeworsk-Kańczuga, odgałęzienia</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napowietrzne SN – 2,38 km</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w:t>
            </w:r>
          </w:p>
        </w:tc>
        <w:tc>
          <w:tcPr>
            <w:tcW w:w="686" w:type="pct"/>
            <w:vMerge/>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magistrali GPZ Przeworsk-Kańczuga (przebudowa na napowietrzną PAS), trzon linii</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napowietrzne SN – 10,2 km</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w:t>
            </w:r>
          </w:p>
        </w:tc>
        <w:tc>
          <w:tcPr>
            <w:tcW w:w="686"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Jawornik Polski, Kańczuga</w:t>
            </w: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magistrali GPZ Dynów-Jawornik Polski (przebudowa na napowietrzną PAS), trzon linii</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napowietrzne SN – 1,6 km</w:t>
            </w:r>
          </w:p>
        </w:tc>
      </w:tr>
      <w:tr w:rsidR="00F6725C" w:rsidRPr="00BE6FA1" w:rsidTr="00936A46">
        <w:tc>
          <w:tcPr>
            <w:tcW w:w="287"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w:t>
            </w:r>
          </w:p>
        </w:tc>
        <w:tc>
          <w:tcPr>
            <w:tcW w:w="686"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Jawornik Polski, Kańczuga</w:t>
            </w:r>
          </w:p>
        </w:tc>
        <w:tc>
          <w:tcPr>
            <w:tcW w:w="1831" w:type="pct"/>
            <w:vAlign w:val="center"/>
          </w:tcPr>
          <w:p w:rsidR="00936A46" w:rsidRPr="00BE6FA1" w:rsidRDefault="00936A46" w:rsidP="005A5481">
            <w:pPr>
              <w:spacing w:line="276"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magistrali GPZ Dynów-Dubiecko: budowa powiązania pomiędzy linią GPZ Przeworsk – Maćkówka (RS Pruchnik-Węgierka), trzon linii</w:t>
            </w:r>
          </w:p>
        </w:tc>
        <w:tc>
          <w:tcPr>
            <w:tcW w:w="2195" w:type="pct"/>
            <w:vAlign w:val="center"/>
          </w:tcPr>
          <w:p w:rsidR="00936A46" w:rsidRPr="00BE6FA1" w:rsidRDefault="00936A46" w:rsidP="005A5481">
            <w:pPr>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Linie kablowe SN – 2,9 km;</w:t>
            </w:r>
          </w:p>
          <w:p w:rsidR="00936A46" w:rsidRPr="00BE6FA1" w:rsidRDefault="00936A46" w:rsidP="005A5481">
            <w:pPr>
              <w:keepNext/>
              <w:spacing w:line="276"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 Linie napowietrzne SN – 6,1 km</w:t>
            </w:r>
          </w:p>
        </w:tc>
      </w:tr>
    </w:tbl>
    <w:p w:rsidR="00936A46" w:rsidRPr="00BE6FA1" w:rsidRDefault="005A6438" w:rsidP="003A27DA">
      <w:pPr>
        <w:pStyle w:val="Legenda"/>
        <w:spacing w:line="360" w:lineRule="auto"/>
        <w:rPr>
          <w:rFonts w:ascii="Times New Roman" w:eastAsia="Times New Roman" w:hAnsi="Times New Roman" w:cs="Times New Roman"/>
          <w:color w:val="auto"/>
          <w:sz w:val="24"/>
          <w:szCs w:val="24"/>
        </w:rPr>
      </w:pPr>
      <w:bookmarkStart w:id="35" w:name="_Toc445289856"/>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9</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Zadania związane z modernizacją i odtworzeniem majątku (dane z:</w:t>
      </w:r>
      <w:r w:rsidRPr="00BE6FA1">
        <w:rPr>
          <w:rFonts w:ascii="Times New Roman" w:hAnsi="Times New Roman" w:cs="Times New Roman"/>
          <w:bCs w:val="0"/>
          <w:color w:val="auto"/>
        </w:rPr>
        <w:t xml:space="preserve"> PGE Dystrybucja S.A. Oddział Zamość)</w:t>
      </w:r>
      <w:bookmarkEnd w:id="35"/>
    </w:p>
    <w:p w:rsidR="00F3759F" w:rsidRPr="00BE6FA1" w:rsidRDefault="00F3759F" w:rsidP="003A27DA">
      <w:pPr>
        <w:spacing w:line="360" w:lineRule="auto"/>
        <w:rPr>
          <w:rFonts w:ascii="Times New Roman" w:hAnsi="Times New Roman" w:cs="Times New Roman"/>
        </w:rPr>
      </w:pPr>
    </w:p>
    <w:p w:rsidR="00F3759F" w:rsidRPr="00BE6FA1" w:rsidRDefault="00F3759F" w:rsidP="003A27DA">
      <w:pPr>
        <w:pStyle w:val="Nagwek2"/>
        <w:spacing w:line="360" w:lineRule="auto"/>
        <w:rPr>
          <w:rFonts w:ascii="Times New Roman" w:hAnsi="Times New Roman" w:cs="Times New Roman"/>
          <w:color w:val="auto"/>
        </w:rPr>
      </w:pPr>
      <w:bookmarkStart w:id="36" w:name="_Toc449097727"/>
      <w:r w:rsidRPr="00BE6FA1">
        <w:rPr>
          <w:rFonts w:ascii="Times New Roman" w:hAnsi="Times New Roman" w:cs="Times New Roman"/>
          <w:color w:val="auto"/>
        </w:rPr>
        <w:lastRenderedPageBreak/>
        <w:t>Oświetlenie uliczne</w:t>
      </w:r>
      <w:bookmarkEnd w:id="36"/>
    </w:p>
    <w:p w:rsidR="005C4765" w:rsidRPr="00BE6FA1" w:rsidRDefault="0024537B"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hAnsi="Times New Roman" w:cs="Times New Roman"/>
          <w:sz w:val="24"/>
          <w:szCs w:val="24"/>
        </w:rPr>
        <w:t xml:space="preserve">Roczne zużycie energii elektrycznej na oświetlenie uliczne i drogowe w Gminie Kańczuga w 2015r. wyniosło </w:t>
      </w:r>
      <w:r w:rsidRPr="00BE6FA1">
        <w:rPr>
          <w:rFonts w:ascii="Times New Roman" w:eastAsia="Times New Roman" w:hAnsi="Times New Roman" w:cs="Times New Roman"/>
          <w:sz w:val="24"/>
          <w:szCs w:val="24"/>
        </w:rPr>
        <w:t xml:space="preserve">411,562 MWh. System oświetlenia ulic składa się łącznie </w:t>
      </w:r>
      <w:r w:rsidRPr="00BE6FA1">
        <w:rPr>
          <w:rFonts w:ascii="Times New Roman" w:eastAsia="Times New Roman" w:hAnsi="Times New Roman" w:cs="Times New Roman"/>
          <w:sz w:val="24"/>
          <w:szCs w:val="24"/>
        </w:rPr>
        <w:br/>
        <w:t>z 1 202 opraw oświetleniowych.</w:t>
      </w:r>
    </w:p>
    <w:p w:rsidR="00F3759F" w:rsidRPr="00BE6FA1" w:rsidRDefault="00F3759F" w:rsidP="003A27DA">
      <w:pPr>
        <w:spacing w:line="360" w:lineRule="auto"/>
        <w:rPr>
          <w:rFonts w:ascii="Times New Roman" w:hAnsi="Times New Roman" w:cs="Times New Roman"/>
        </w:rPr>
      </w:pPr>
    </w:p>
    <w:p w:rsidR="00F3759F" w:rsidRPr="00BE6FA1" w:rsidRDefault="00F3759F" w:rsidP="003A27DA">
      <w:pPr>
        <w:pStyle w:val="Nagwek2"/>
        <w:spacing w:after="120" w:line="360" w:lineRule="auto"/>
        <w:rPr>
          <w:rFonts w:ascii="Times New Roman" w:hAnsi="Times New Roman" w:cs="Times New Roman"/>
          <w:color w:val="auto"/>
        </w:rPr>
      </w:pPr>
      <w:bookmarkStart w:id="37" w:name="_Toc449097728"/>
      <w:r w:rsidRPr="00BE6FA1">
        <w:rPr>
          <w:rFonts w:ascii="Times New Roman" w:hAnsi="Times New Roman" w:cs="Times New Roman"/>
          <w:color w:val="auto"/>
        </w:rPr>
        <w:t>Odnawialne źródła energii</w:t>
      </w:r>
      <w:bookmarkEnd w:id="37"/>
    </w:p>
    <w:p w:rsidR="00B17599" w:rsidRPr="00BE6FA1" w:rsidRDefault="00122FD2" w:rsidP="00B17599">
      <w:pPr>
        <w:keepNext/>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0577B9C9" wp14:editId="5D1EF763">
            <wp:extent cx="5709684" cy="3979763"/>
            <wp:effectExtent l="0" t="0" r="571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389" cy="3983739"/>
                    </a:xfrm>
                    <a:prstGeom prst="rect">
                      <a:avLst/>
                    </a:prstGeom>
                    <a:noFill/>
                    <a:ln>
                      <a:noFill/>
                    </a:ln>
                  </pic:spPr>
                </pic:pic>
              </a:graphicData>
            </a:graphic>
          </wp:inline>
        </w:drawing>
      </w:r>
    </w:p>
    <w:p w:rsidR="005512F8" w:rsidRPr="00BE6FA1" w:rsidRDefault="00B17599" w:rsidP="00B17599">
      <w:pPr>
        <w:pStyle w:val="Legenda"/>
        <w:rPr>
          <w:rFonts w:ascii="Times New Roman" w:hAnsi="Times New Roman" w:cs="Times New Roman"/>
          <w:color w:val="auto"/>
        </w:rPr>
      </w:pPr>
      <w:bookmarkStart w:id="38" w:name="_Toc448844734"/>
      <w:r w:rsidRPr="00BE6FA1">
        <w:rPr>
          <w:rFonts w:ascii="Times New Roman" w:hAnsi="Times New Roman" w:cs="Times New Roman"/>
          <w:color w:val="auto"/>
        </w:rPr>
        <w:t xml:space="preserve">Wykres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5</w:t>
      </w:r>
      <w:r w:rsidRPr="00BE6FA1">
        <w:rPr>
          <w:rFonts w:ascii="Times New Roman" w:hAnsi="Times New Roman" w:cs="Times New Roman"/>
          <w:color w:val="auto"/>
        </w:rPr>
        <w:fldChar w:fldCharType="end"/>
      </w:r>
      <w:r w:rsidRPr="00BE6FA1">
        <w:rPr>
          <w:rFonts w:ascii="Times New Roman" w:hAnsi="Times New Roman" w:cs="Times New Roman"/>
          <w:color w:val="auto"/>
        </w:rPr>
        <w:t>. Całkowity potencjał techniczny OZE dla sektora energetycznego w powiatach województwa podkarpackiego (źródło:</w:t>
      </w:r>
      <w:r w:rsidR="00BD0F22" w:rsidRPr="00BE6FA1">
        <w:rPr>
          <w:rFonts w:ascii="Times New Roman" w:hAnsi="Times New Roman" w:cs="Times New Roman"/>
          <w:color w:val="auto"/>
        </w:rPr>
        <w:t xml:space="preserve"> </w:t>
      </w:r>
      <w:r w:rsidRPr="00BE6FA1">
        <w:rPr>
          <w:rFonts w:ascii="Times New Roman" w:hAnsi="Times New Roman" w:cs="Times New Roman"/>
          <w:color w:val="auto"/>
        </w:rPr>
        <w:t>Wojewódzki Program Rozwoju Odnawialnych Źródeł Energii dla Województwa Podkarpackiego)</w:t>
      </w:r>
      <w:bookmarkEnd w:id="38"/>
    </w:p>
    <w:p w:rsidR="009E7269" w:rsidRPr="00BE6FA1" w:rsidRDefault="009E7269" w:rsidP="003A27DA">
      <w:pPr>
        <w:pStyle w:val="Nagwek3"/>
        <w:spacing w:after="120" w:line="360" w:lineRule="auto"/>
        <w:rPr>
          <w:rFonts w:ascii="Times New Roman" w:hAnsi="Times New Roman" w:cs="Times New Roman"/>
          <w:color w:val="auto"/>
          <w:sz w:val="24"/>
          <w:szCs w:val="24"/>
        </w:rPr>
      </w:pPr>
    </w:p>
    <w:p w:rsidR="009E7269" w:rsidRPr="00BE6FA1" w:rsidRDefault="009E7269" w:rsidP="009E7269">
      <w:pPr>
        <w:rPr>
          <w:rFonts w:ascii="Times New Roman" w:hAnsi="Times New Roman" w:cs="Times New Roman"/>
        </w:rPr>
      </w:pPr>
    </w:p>
    <w:p w:rsidR="009E7269" w:rsidRPr="00BE6FA1" w:rsidRDefault="009E7269" w:rsidP="009E7269">
      <w:pPr>
        <w:rPr>
          <w:rFonts w:ascii="Times New Roman" w:hAnsi="Times New Roman" w:cs="Times New Roman"/>
        </w:rPr>
      </w:pPr>
    </w:p>
    <w:p w:rsidR="00BD0F22" w:rsidRPr="00BE6FA1" w:rsidRDefault="00BD0F22" w:rsidP="009E7269">
      <w:pPr>
        <w:rPr>
          <w:rFonts w:ascii="Times New Roman" w:hAnsi="Times New Roman" w:cs="Times New Roman"/>
        </w:rPr>
      </w:pPr>
    </w:p>
    <w:p w:rsidR="009E7269" w:rsidRPr="00BE6FA1" w:rsidRDefault="009E7269" w:rsidP="009E7269">
      <w:pPr>
        <w:rPr>
          <w:rFonts w:ascii="Times New Roman" w:hAnsi="Times New Roman" w:cs="Times New Roman"/>
        </w:rPr>
      </w:pPr>
    </w:p>
    <w:p w:rsidR="009E7269" w:rsidRPr="00BE6FA1" w:rsidRDefault="009E7269" w:rsidP="009E7269">
      <w:pPr>
        <w:rPr>
          <w:rFonts w:ascii="Times New Roman" w:hAnsi="Times New Roman" w:cs="Times New Roman"/>
        </w:rPr>
      </w:pPr>
    </w:p>
    <w:p w:rsidR="00DD4157" w:rsidRPr="00BE6FA1" w:rsidRDefault="007F7398" w:rsidP="003A27DA">
      <w:pPr>
        <w:pStyle w:val="Nagwek3"/>
        <w:spacing w:after="120" w:line="360" w:lineRule="auto"/>
        <w:rPr>
          <w:rFonts w:ascii="Times New Roman" w:hAnsi="Times New Roman" w:cs="Times New Roman"/>
          <w:color w:val="auto"/>
          <w:sz w:val="24"/>
          <w:szCs w:val="24"/>
        </w:rPr>
      </w:pPr>
      <w:bookmarkStart w:id="39" w:name="_Toc449097729"/>
      <w:r w:rsidRPr="00BE6FA1">
        <w:rPr>
          <w:rFonts w:ascii="Times New Roman" w:hAnsi="Times New Roman" w:cs="Times New Roman"/>
          <w:color w:val="auto"/>
          <w:sz w:val="24"/>
          <w:szCs w:val="24"/>
        </w:rPr>
        <w:lastRenderedPageBreak/>
        <w:t>Energetyka wodna</w:t>
      </w:r>
      <w:bookmarkEnd w:id="39"/>
    </w:p>
    <w:p w:rsidR="007F7398" w:rsidRPr="00BE6FA1" w:rsidRDefault="00DD4157"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 powiecie przeworskim potencjał energetyki wodnej występuje na poziomie poniżej 1GWh. Odnosi się on do potencjału wód płynących bez znaczących piętrzeń.</w:t>
      </w:r>
    </w:p>
    <w:p w:rsidR="00DD3718" w:rsidRPr="00BE6FA1" w:rsidRDefault="00DD3718" w:rsidP="003A27DA">
      <w:pPr>
        <w:keepNext/>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0805779E" wp14:editId="54CA8E63">
            <wp:extent cx="4796399" cy="5954233"/>
            <wp:effectExtent l="0" t="0" r="4445"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60" cy="5959523"/>
                    </a:xfrm>
                    <a:prstGeom prst="rect">
                      <a:avLst/>
                    </a:prstGeom>
                    <a:noFill/>
                    <a:ln>
                      <a:noFill/>
                    </a:ln>
                  </pic:spPr>
                </pic:pic>
              </a:graphicData>
            </a:graphic>
          </wp:inline>
        </w:drawing>
      </w:r>
    </w:p>
    <w:p w:rsidR="00DD3718" w:rsidRPr="00BE6FA1" w:rsidRDefault="00DD3718" w:rsidP="003A27DA">
      <w:pPr>
        <w:pStyle w:val="Legenda"/>
        <w:spacing w:line="360" w:lineRule="auto"/>
        <w:jc w:val="center"/>
        <w:rPr>
          <w:rFonts w:ascii="Times New Roman" w:hAnsi="Times New Roman" w:cs="Times New Roman"/>
          <w:color w:val="auto"/>
        </w:rPr>
      </w:pPr>
      <w:bookmarkStart w:id="40" w:name="_Toc445289816"/>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energetyki wodnej w województwie podkarpackim</w:t>
      </w:r>
      <w:bookmarkEnd w:id="40"/>
    </w:p>
    <w:p w:rsidR="005512F8" w:rsidRPr="00BE6FA1" w:rsidRDefault="005512F8" w:rsidP="003A27DA">
      <w:pPr>
        <w:pStyle w:val="Nagwek3"/>
        <w:spacing w:after="120" w:line="360" w:lineRule="auto"/>
        <w:rPr>
          <w:rFonts w:ascii="Times New Roman" w:eastAsia="Times New Roman" w:hAnsi="Times New Roman" w:cs="Times New Roman"/>
          <w:b w:val="0"/>
          <w:bCs w:val="0"/>
          <w:color w:val="auto"/>
          <w:sz w:val="24"/>
          <w:szCs w:val="24"/>
        </w:rPr>
      </w:pPr>
    </w:p>
    <w:p w:rsidR="00D842E3" w:rsidRPr="00BE6FA1" w:rsidRDefault="00D842E3" w:rsidP="00D842E3">
      <w:pPr>
        <w:rPr>
          <w:rFonts w:ascii="Times New Roman" w:hAnsi="Times New Roman" w:cs="Times New Roman"/>
        </w:rPr>
      </w:pPr>
    </w:p>
    <w:p w:rsidR="00DD4157" w:rsidRPr="00BE6FA1" w:rsidRDefault="00DD4157" w:rsidP="003A27DA">
      <w:pPr>
        <w:pStyle w:val="Nagwek3"/>
        <w:spacing w:after="120" w:line="360" w:lineRule="auto"/>
        <w:rPr>
          <w:rFonts w:ascii="Times New Roman" w:eastAsia="Times New Roman" w:hAnsi="Times New Roman" w:cs="Times New Roman"/>
          <w:color w:val="auto"/>
          <w:sz w:val="24"/>
          <w:szCs w:val="24"/>
        </w:rPr>
      </w:pPr>
      <w:bookmarkStart w:id="41" w:name="_Toc449097730"/>
      <w:r w:rsidRPr="00BE6FA1">
        <w:rPr>
          <w:rFonts w:ascii="Times New Roman" w:eastAsia="Times New Roman" w:hAnsi="Times New Roman" w:cs="Times New Roman"/>
          <w:color w:val="auto"/>
          <w:sz w:val="24"/>
          <w:szCs w:val="24"/>
        </w:rPr>
        <w:lastRenderedPageBreak/>
        <w:t>Energetyka wiatrowa</w:t>
      </w:r>
      <w:bookmarkEnd w:id="41"/>
    </w:p>
    <w:p w:rsidR="00DD4157" w:rsidRPr="00BE6FA1" w:rsidRDefault="00DD4157"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Potencjał techniczny energetyki wiatrowej dla powiatu przeworskiego wynosi </w:t>
      </w:r>
      <w:r w:rsidRPr="00BE6FA1">
        <w:rPr>
          <w:rFonts w:ascii="Times New Roman" w:hAnsi="Times New Roman" w:cs="Times New Roman"/>
          <w:sz w:val="24"/>
          <w:szCs w:val="24"/>
        </w:rPr>
        <w:br/>
      </w:r>
      <w:r w:rsidR="00C03A0C" w:rsidRPr="00BE6FA1">
        <w:rPr>
          <w:rFonts w:ascii="Times New Roman" w:hAnsi="Times New Roman" w:cs="Times New Roman"/>
          <w:sz w:val="24"/>
          <w:szCs w:val="24"/>
        </w:rPr>
        <w:t xml:space="preserve">w granicach 400 – 800 </w:t>
      </w:r>
      <w:r w:rsidRPr="00BE6FA1">
        <w:rPr>
          <w:rFonts w:ascii="Times New Roman" w:hAnsi="Times New Roman" w:cs="Times New Roman"/>
          <w:sz w:val="24"/>
          <w:szCs w:val="24"/>
        </w:rPr>
        <w:t>GWh.</w:t>
      </w:r>
    </w:p>
    <w:p w:rsidR="00C03A0C" w:rsidRPr="00BE6FA1" w:rsidRDefault="00C03A0C" w:rsidP="003A27DA">
      <w:pPr>
        <w:keepNext/>
        <w:shd w:val="clear" w:color="auto" w:fill="FFFFFF"/>
        <w:spacing w:after="0" w:line="360" w:lineRule="auto"/>
        <w:jc w:val="center"/>
        <w:rPr>
          <w:rFonts w:ascii="Times New Roman" w:hAnsi="Times New Roman" w:cs="Times New Roman"/>
        </w:rPr>
      </w:pPr>
      <w:r w:rsidRPr="00BE6FA1">
        <w:rPr>
          <w:rFonts w:ascii="Times New Roman" w:eastAsia="Times New Roman" w:hAnsi="Times New Roman" w:cs="Times New Roman"/>
          <w:noProof/>
          <w:sz w:val="24"/>
          <w:szCs w:val="24"/>
        </w:rPr>
        <w:drawing>
          <wp:inline distT="0" distB="0" distL="0" distR="0" wp14:anchorId="79C54953" wp14:editId="209ADB6F">
            <wp:extent cx="4599357" cy="589043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954" cy="5892483"/>
                    </a:xfrm>
                    <a:prstGeom prst="rect">
                      <a:avLst/>
                    </a:prstGeom>
                    <a:noFill/>
                    <a:ln>
                      <a:noFill/>
                    </a:ln>
                  </pic:spPr>
                </pic:pic>
              </a:graphicData>
            </a:graphic>
          </wp:inline>
        </w:drawing>
      </w:r>
    </w:p>
    <w:p w:rsidR="00DD4157" w:rsidRPr="00BE6FA1" w:rsidRDefault="00C03A0C" w:rsidP="003A27DA">
      <w:pPr>
        <w:pStyle w:val="Legenda"/>
        <w:spacing w:line="360" w:lineRule="auto"/>
        <w:jc w:val="center"/>
        <w:rPr>
          <w:rFonts w:ascii="Times New Roman" w:eastAsia="Times New Roman" w:hAnsi="Times New Roman" w:cs="Times New Roman"/>
          <w:color w:val="auto"/>
          <w:sz w:val="24"/>
          <w:szCs w:val="24"/>
        </w:rPr>
      </w:pPr>
      <w:bookmarkStart w:id="42" w:name="_Toc445289817"/>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energetyki wiatrowej w województwie podkarpackim</w:t>
      </w:r>
      <w:bookmarkEnd w:id="42"/>
    </w:p>
    <w:p w:rsidR="00C03A0C" w:rsidRPr="00BE6FA1" w:rsidRDefault="00C03A0C" w:rsidP="003A27DA">
      <w:pPr>
        <w:shd w:val="clear" w:color="auto" w:fill="FFFFFF"/>
        <w:spacing w:after="0" w:line="360" w:lineRule="auto"/>
        <w:jc w:val="center"/>
        <w:rPr>
          <w:rFonts w:ascii="Times New Roman" w:eastAsia="Times New Roman" w:hAnsi="Times New Roman" w:cs="Times New Roman"/>
          <w:sz w:val="24"/>
          <w:szCs w:val="24"/>
        </w:rPr>
      </w:pPr>
    </w:p>
    <w:p w:rsidR="005512F8" w:rsidRPr="00BE6FA1" w:rsidRDefault="005512F8" w:rsidP="003A27DA">
      <w:pPr>
        <w:shd w:val="clear" w:color="auto" w:fill="FFFFFF"/>
        <w:spacing w:after="0" w:line="360" w:lineRule="auto"/>
        <w:jc w:val="center"/>
        <w:rPr>
          <w:rFonts w:ascii="Times New Roman" w:eastAsia="Times New Roman" w:hAnsi="Times New Roman" w:cs="Times New Roman"/>
          <w:sz w:val="24"/>
          <w:szCs w:val="24"/>
        </w:rPr>
      </w:pPr>
    </w:p>
    <w:p w:rsidR="00CE0F19" w:rsidRPr="00BE6FA1" w:rsidRDefault="00CE0F19" w:rsidP="003A27DA">
      <w:pPr>
        <w:shd w:val="clear" w:color="auto" w:fill="FFFFFF"/>
        <w:spacing w:after="0" w:line="360" w:lineRule="auto"/>
        <w:jc w:val="center"/>
        <w:rPr>
          <w:rFonts w:ascii="Times New Roman" w:eastAsia="Times New Roman" w:hAnsi="Times New Roman" w:cs="Times New Roman"/>
          <w:sz w:val="24"/>
          <w:szCs w:val="24"/>
        </w:rPr>
      </w:pPr>
    </w:p>
    <w:p w:rsidR="00C03A0C" w:rsidRPr="00BE6FA1" w:rsidRDefault="00C03A0C" w:rsidP="003A27DA">
      <w:pPr>
        <w:pStyle w:val="Nagwek3"/>
        <w:spacing w:after="120" w:line="360" w:lineRule="auto"/>
        <w:rPr>
          <w:rFonts w:ascii="Times New Roman" w:eastAsia="Times New Roman" w:hAnsi="Times New Roman" w:cs="Times New Roman"/>
          <w:color w:val="auto"/>
          <w:sz w:val="24"/>
          <w:szCs w:val="24"/>
        </w:rPr>
      </w:pPr>
      <w:bookmarkStart w:id="43" w:name="_Toc449097731"/>
      <w:r w:rsidRPr="00BE6FA1">
        <w:rPr>
          <w:rFonts w:ascii="Times New Roman" w:eastAsia="Times New Roman" w:hAnsi="Times New Roman" w:cs="Times New Roman"/>
          <w:color w:val="auto"/>
          <w:sz w:val="24"/>
          <w:szCs w:val="24"/>
        </w:rPr>
        <w:lastRenderedPageBreak/>
        <w:t>Energetyka słoneczna</w:t>
      </w:r>
      <w:bookmarkEnd w:id="43"/>
    </w:p>
    <w:p w:rsidR="00C03A0C" w:rsidRPr="00BE6FA1" w:rsidRDefault="00C03A0C"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W powiecie przeworskim potencjał techniczny energetyki słonecznej występuje </w:t>
      </w:r>
      <w:r w:rsidR="00CE0F19"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w zakresie 35 – 26 GWh.</w:t>
      </w:r>
    </w:p>
    <w:p w:rsidR="00C03A0C" w:rsidRPr="00BE6FA1" w:rsidRDefault="00C03A0C"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C03A0C" w:rsidRPr="00BE6FA1" w:rsidRDefault="00C03A0C" w:rsidP="003A27DA">
      <w:pPr>
        <w:keepNext/>
        <w:shd w:val="clear" w:color="auto" w:fill="FFFFFF"/>
        <w:spacing w:after="0" w:line="360" w:lineRule="auto"/>
        <w:jc w:val="center"/>
        <w:rPr>
          <w:rFonts w:ascii="Times New Roman" w:hAnsi="Times New Roman" w:cs="Times New Roman"/>
        </w:rPr>
      </w:pPr>
      <w:r w:rsidRPr="00BE6FA1">
        <w:rPr>
          <w:rFonts w:ascii="Times New Roman" w:eastAsia="Times New Roman" w:hAnsi="Times New Roman" w:cs="Times New Roman"/>
          <w:noProof/>
          <w:sz w:val="24"/>
          <w:szCs w:val="24"/>
        </w:rPr>
        <w:drawing>
          <wp:inline distT="0" distB="0" distL="0" distR="0" wp14:anchorId="6FE0E28D" wp14:editId="21602207">
            <wp:extent cx="4752975" cy="619850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6198508"/>
                    </a:xfrm>
                    <a:prstGeom prst="rect">
                      <a:avLst/>
                    </a:prstGeom>
                    <a:noFill/>
                    <a:ln>
                      <a:noFill/>
                    </a:ln>
                  </pic:spPr>
                </pic:pic>
              </a:graphicData>
            </a:graphic>
          </wp:inline>
        </w:drawing>
      </w:r>
    </w:p>
    <w:p w:rsidR="00C03A0C" w:rsidRPr="00BE6FA1" w:rsidRDefault="00C03A0C" w:rsidP="003A27DA">
      <w:pPr>
        <w:pStyle w:val="Legenda"/>
        <w:spacing w:line="360" w:lineRule="auto"/>
        <w:jc w:val="center"/>
        <w:rPr>
          <w:rFonts w:ascii="Times New Roman" w:eastAsia="Times New Roman" w:hAnsi="Times New Roman" w:cs="Times New Roman"/>
          <w:color w:val="auto"/>
          <w:sz w:val="24"/>
          <w:szCs w:val="24"/>
        </w:rPr>
      </w:pPr>
      <w:bookmarkStart w:id="44" w:name="_Toc445289818"/>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5</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energetyki słonecznej w województwie podkarpackim</w:t>
      </w:r>
      <w:bookmarkEnd w:id="44"/>
    </w:p>
    <w:p w:rsidR="00C03A0C" w:rsidRPr="00BE6FA1" w:rsidRDefault="00C03A0C"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5512F8" w:rsidRPr="00BE6FA1" w:rsidRDefault="005512F8"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C03A0C" w:rsidRPr="00BE6FA1" w:rsidRDefault="00C03A0C" w:rsidP="003A27DA">
      <w:pPr>
        <w:pStyle w:val="Nagwek3"/>
        <w:spacing w:line="360" w:lineRule="auto"/>
        <w:rPr>
          <w:rFonts w:ascii="Times New Roman" w:hAnsi="Times New Roman" w:cs="Times New Roman"/>
          <w:color w:val="auto"/>
          <w:sz w:val="24"/>
          <w:szCs w:val="24"/>
        </w:rPr>
      </w:pPr>
      <w:bookmarkStart w:id="45" w:name="_Toc449097732"/>
      <w:r w:rsidRPr="00BE6FA1">
        <w:rPr>
          <w:rFonts w:ascii="Times New Roman" w:hAnsi="Times New Roman" w:cs="Times New Roman"/>
          <w:color w:val="auto"/>
          <w:sz w:val="24"/>
          <w:szCs w:val="24"/>
        </w:rPr>
        <w:lastRenderedPageBreak/>
        <w:t>Biomasa</w:t>
      </w:r>
      <w:bookmarkEnd w:id="45"/>
    </w:p>
    <w:p w:rsidR="00C03A0C" w:rsidRPr="00BE6FA1" w:rsidRDefault="00C03A0C" w:rsidP="003A27DA">
      <w:pPr>
        <w:autoSpaceDE w:val="0"/>
        <w:autoSpaceDN w:val="0"/>
        <w:adjustRightInd w:val="0"/>
        <w:spacing w:before="240" w:after="120" w:line="360" w:lineRule="auto"/>
        <w:jc w:val="both"/>
        <w:rPr>
          <w:rFonts w:ascii="Times New Roman" w:hAnsi="Times New Roman" w:cs="Times New Roman"/>
          <w:b/>
          <w:i/>
          <w:sz w:val="24"/>
          <w:szCs w:val="24"/>
        </w:rPr>
      </w:pPr>
      <w:r w:rsidRPr="00BE6FA1">
        <w:rPr>
          <w:rFonts w:ascii="Times New Roman" w:hAnsi="Times New Roman" w:cs="Times New Roman"/>
          <w:b/>
          <w:i/>
          <w:sz w:val="24"/>
          <w:szCs w:val="24"/>
        </w:rPr>
        <w:t xml:space="preserve">Biomasa leśna </w:t>
      </w:r>
    </w:p>
    <w:p w:rsidR="00C03A0C" w:rsidRPr="00BE6FA1" w:rsidRDefault="00C03A0C" w:rsidP="003A27DA">
      <w:pPr>
        <w:pStyle w:val="Tretekstu"/>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W powiecie przeworskim kształtuje się dosyć niski potencjał techniczny biomasy leśnej, na poziomie 20 – 11 GWh .</w:t>
      </w:r>
    </w:p>
    <w:p w:rsidR="00B76471" w:rsidRPr="00BE6FA1" w:rsidRDefault="00D754B8" w:rsidP="003A27DA">
      <w:pPr>
        <w:pStyle w:val="Tretekstu"/>
        <w:keepNext/>
        <w:spacing w:line="360" w:lineRule="auto"/>
        <w:jc w:val="center"/>
        <w:rPr>
          <w:rFonts w:ascii="Times New Roman" w:hAnsi="Times New Roman" w:cs="Times New Roman"/>
        </w:rPr>
      </w:pPr>
      <w:r w:rsidRPr="00BE6FA1">
        <w:rPr>
          <w:rFonts w:ascii="Times New Roman" w:hAnsi="Times New Roman" w:cs="Times New Roman"/>
          <w:noProof/>
          <w:sz w:val="23"/>
          <w:szCs w:val="23"/>
        </w:rPr>
        <w:drawing>
          <wp:inline distT="0" distB="0" distL="0" distR="0" wp14:anchorId="0006221D" wp14:editId="06577586">
            <wp:extent cx="5038395" cy="5901070"/>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2347" cy="5905699"/>
                    </a:xfrm>
                    <a:prstGeom prst="rect">
                      <a:avLst/>
                    </a:prstGeom>
                    <a:noFill/>
                    <a:ln>
                      <a:noFill/>
                    </a:ln>
                  </pic:spPr>
                </pic:pic>
              </a:graphicData>
            </a:graphic>
          </wp:inline>
        </w:drawing>
      </w:r>
    </w:p>
    <w:p w:rsidR="00D754B8" w:rsidRPr="00BE6FA1" w:rsidRDefault="00B76471" w:rsidP="003A27DA">
      <w:pPr>
        <w:pStyle w:val="Legenda"/>
        <w:spacing w:line="360" w:lineRule="auto"/>
        <w:jc w:val="center"/>
        <w:rPr>
          <w:rFonts w:ascii="Times New Roman" w:hAnsi="Times New Roman" w:cs="Times New Roman"/>
          <w:color w:val="auto"/>
          <w:sz w:val="23"/>
          <w:szCs w:val="23"/>
        </w:rPr>
      </w:pPr>
      <w:bookmarkStart w:id="46" w:name="_Toc445289819"/>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6</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pozyskania biomasy leśnej w województwie podkarpackim</w:t>
      </w:r>
      <w:bookmarkEnd w:id="46"/>
    </w:p>
    <w:p w:rsidR="007946D6" w:rsidRPr="00BE6FA1" w:rsidRDefault="007946D6" w:rsidP="003A27DA">
      <w:pPr>
        <w:autoSpaceDE w:val="0"/>
        <w:autoSpaceDN w:val="0"/>
        <w:adjustRightInd w:val="0"/>
        <w:spacing w:before="240" w:after="120" w:line="360" w:lineRule="auto"/>
        <w:jc w:val="both"/>
        <w:rPr>
          <w:rFonts w:ascii="Times New Roman" w:hAnsi="Times New Roman" w:cs="Times New Roman"/>
          <w:b/>
          <w:i/>
          <w:sz w:val="24"/>
          <w:szCs w:val="24"/>
        </w:rPr>
      </w:pPr>
    </w:p>
    <w:p w:rsidR="005512F8" w:rsidRPr="00BE6FA1" w:rsidRDefault="005512F8" w:rsidP="003A27DA">
      <w:pPr>
        <w:autoSpaceDE w:val="0"/>
        <w:autoSpaceDN w:val="0"/>
        <w:adjustRightInd w:val="0"/>
        <w:spacing w:before="240" w:after="120" w:line="360" w:lineRule="auto"/>
        <w:jc w:val="both"/>
        <w:rPr>
          <w:rFonts w:ascii="Times New Roman" w:hAnsi="Times New Roman" w:cs="Times New Roman"/>
          <w:b/>
          <w:i/>
          <w:sz w:val="24"/>
          <w:szCs w:val="24"/>
        </w:rPr>
      </w:pPr>
    </w:p>
    <w:p w:rsidR="005512F8" w:rsidRPr="00BE6FA1" w:rsidRDefault="005512F8" w:rsidP="003A27DA">
      <w:pPr>
        <w:autoSpaceDE w:val="0"/>
        <w:autoSpaceDN w:val="0"/>
        <w:adjustRightInd w:val="0"/>
        <w:spacing w:before="240" w:after="120" w:line="360" w:lineRule="auto"/>
        <w:jc w:val="both"/>
        <w:rPr>
          <w:rFonts w:ascii="Times New Roman" w:hAnsi="Times New Roman" w:cs="Times New Roman"/>
          <w:b/>
          <w:i/>
          <w:sz w:val="24"/>
          <w:szCs w:val="24"/>
        </w:rPr>
      </w:pPr>
    </w:p>
    <w:p w:rsidR="00C03A0C" w:rsidRPr="00BE6FA1" w:rsidRDefault="00C03A0C" w:rsidP="003A27DA">
      <w:pPr>
        <w:autoSpaceDE w:val="0"/>
        <w:autoSpaceDN w:val="0"/>
        <w:adjustRightInd w:val="0"/>
        <w:spacing w:before="240" w:after="120" w:line="360" w:lineRule="auto"/>
        <w:jc w:val="both"/>
        <w:rPr>
          <w:rFonts w:ascii="Times New Roman" w:hAnsi="Times New Roman" w:cs="Times New Roman"/>
          <w:b/>
          <w:i/>
          <w:sz w:val="24"/>
          <w:szCs w:val="24"/>
        </w:rPr>
      </w:pPr>
      <w:r w:rsidRPr="00BE6FA1">
        <w:rPr>
          <w:rFonts w:ascii="Times New Roman" w:hAnsi="Times New Roman" w:cs="Times New Roman"/>
          <w:b/>
          <w:i/>
          <w:sz w:val="24"/>
          <w:szCs w:val="24"/>
        </w:rPr>
        <w:lastRenderedPageBreak/>
        <w:t xml:space="preserve">Biomasa ze słomy i siana </w:t>
      </w:r>
    </w:p>
    <w:p w:rsidR="00C03A0C" w:rsidRPr="00BE6FA1" w:rsidRDefault="00C03A0C" w:rsidP="003A27DA">
      <w:pPr>
        <w:pStyle w:val="Tretekstu"/>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W powiecie </w:t>
      </w:r>
      <w:r w:rsidR="00D15B6F" w:rsidRPr="00BE6FA1">
        <w:rPr>
          <w:rFonts w:ascii="Times New Roman" w:hAnsi="Times New Roman" w:cs="Times New Roman"/>
          <w:sz w:val="24"/>
          <w:szCs w:val="24"/>
        </w:rPr>
        <w:t>przeworskim</w:t>
      </w:r>
      <w:r w:rsidRPr="00BE6FA1">
        <w:rPr>
          <w:rFonts w:ascii="Times New Roman" w:hAnsi="Times New Roman" w:cs="Times New Roman"/>
          <w:sz w:val="24"/>
          <w:szCs w:val="24"/>
        </w:rPr>
        <w:t xml:space="preserve"> występuje niski potencjał produkcji biomasy ze słomy </w:t>
      </w:r>
      <w:r w:rsidRPr="00BE6FA1">
        <w:rPr>
          <w:rFonts w:ascii="Times New Roman" w:hAnsi="Times New Roman" w:cs="Times New Roman"/>
          <w:sz w:val="24"/>
          <w:szCs w:val="24"/>
        </w:rPr>
        <w:br/>
        <w:t>i siana, na poziomie 30</w:t>
      </w:r>
      <w:r w:rsidR="00B76471" w:rsidRPr="00BE6FA1">
        <w:rPr>
          <w:rFonts w:ascii="Times New Roman" w:hAnsi="Times New Roman" w:cs="Times New Roman"/>
          <w:sz w:val="24"/>
          <w:szCs w:val="24"/>
        </w:rPr>
        <w:t xml:space="preserve"> – 50 </w:t>
      </w:r>
      <w:r w:rsidRPr="00BE6FA1">
        <w:rPr>
          <w:rFonts w:ascii="Times New Roman" w:hAnsi="Times New Roman" w:cs="Times New Roman"/>
          <w:sz w:val="24"/>
          <w:szCs w:val="24"/>
        </w:rPr>
        <w:t>GWh.</w:t>
      </w:r>
    </w:p>
    <w:p w:rsidR="00B76471" w:rsidRPr="00BE6FA1" w:rsidRDefault="00B76471" w:rsidP="003A27DA">
      <w:pPr>
        <w:pStyle w:val="Tretekstu"/>
        <w:keepNext/>
        <w:spacing w:line="360" w:lineRule="auto"/>
        <w:jc w:val="center"/>
        <w:rPr>
          <w:rFonts w:ascii="Times New Roman" w:hAnsi="Times New Roman" w:cs="Times New Roman"/>
        </w:rPr>
      </w:pPr>
      <w:r w:rsidRPr="00BE6FA1">
        <w:rPr>
          <w:rFonts w:ascii="Times New Roman" w:hAnsi="Times New Roman" w:cs="Times New Roman"/>
          <w:noProof/>
          <w:sz w:val="23"/>
          <w:szCs w:val="23"/>
        </w:rPr>
        <w:drawing>
          <wp:inline distT="0" distB="0" distL="0" distR="0" wp14:anchorId="644457FE" wp14:editId="2CF08941">
            <wp:extent cx="4680515" cy="5911703"/>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9288" cy="5922784"/>
                    </a:xfrm>
                    <a:prstGeom prst="rect">
                      <a:avLst/>
                    </a:prstGeom>
                    <a:noFill/>
                    <a:ln>
                      <a:noFill/>
                    </a:ln>
                  </pic:spPr>
                </pic:pic>
              </a:graphicData>
            </a:graphic>
          </wp:inline>
        </w:drawing>
      </w:r>
    </w:p>
    <w:p w:rsidR="00B76471" w:rsidRPr="00BE6FA1" w:rsidRDefault="00B76471" w:rsidP="003A27DA">
      <w:pPr>
        <w:pStyle w:val="Legenda"/>
        <w:spacing w:line="360" w:lineRule="auto"/>
        <w:jc w:val="center"/>
        <w:rPr>
          <w:rFonts w:ascii="Times New Roman" w:hAnsi="Times New Roman" w:cs="Times New Roman"/>
          <w:color w:val="auto"/>
          <w:sz w:val="23"/>
          <w:szCs w:val="23"/>
        </w:rPr>
      </w:pPr>
      <w:bookmarkStart w:id="47" w:name="_Toc445289820"/>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7</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produkcji biomasy ze słomy i siana w województwie podkarpackim</w:t>
      </w:r>
      <w:bookmarkEnd w:id="47"/>
    </w:p>
    <w:p w:rsidR="007946D6" w:rsidRPr="00BE6FA1" w:rsidRDefault="007946D6" w:rsidP="003A27DA">
      <w:pPr>
        <w:autoSpaceDE w:val="0"/>
        <w:autoSpaceDN w:val="0"/>
        <w:adjustRightInd w:val="0"/>
        <w:spacing w:before="240" w:after="120" w:line="360" w:lineRule="auto"/>
        <w:jc w:val="both"/>
        <w:rPr>
          <w:rFonts w:ascii="Times New Roman" w:hAnsi="Times New Roman" w:cs="Times New Roman"/>
          <w:b/>
          <w:i/>
          <w:sz w:val="24"/>
          <w:szCs w:val="24"/>
        </w:rPr>
      </w:pPr>
    </w:p>
    <w:p w:rsidR="00B509D4" w:rsidRPr="00BE6FA1" w:rsidRDefault="00B509D4" w:rsidP="003A27DA">
      <w:pPr>
        <w:autoSpaceDE w:val="0"/>
        <w:autoSpaceDN w:val="0"/>
        <w:adjustRightInd w:val="0"/>
        <w:spacing w:before="240" w:after="120" w:line="360" w:lineRule="auto"/>
        <w:jc w:val="both"/>
        <w:rPr>
          <w:rFonts w:ascii="Times New Roman" w:hAnsi="Times New Roman" w:cs="Times New Roman"/>
          <w:b/>
          <w:i/>
          <w:sz w:val="24"/>
          <w:szCs w:val="24"/>
        </w:rPr>
      </w:pPr>
    </w:p>
    <w:p w:rsidR="00B509D4" w:rsidRPr="00BE6FA1" w:rsidRDefault="00B509D4" w:rsidP="003A27DA">
      <w:pPr>
        <w:autoSpaceDE w:val="0"/>
        <w:autoSpaceDN w:val="0"/>
        <w:adjustRightInd w:val="0"/>
        <w:spacing w:before="240" w:after="120" w:line="360" w:lineRule="auto"/>
        <w:jc w:val="both"/>
        <w:rPr>
          <w:rFonts w:ascii="Times New Roman" w:hAnsi="Times New Roman" w:cs="Times New Roman"/>
          <w:b/>
          <w:i/>
          <w:sz w:val="24"/>
          <w:szCs w:val="24"/>
        </w:rPr>
      </w:pPr>
    </w:p>
    <w:p w:rsidR="00B509D4" w:rsidRPr="00BE6FA1" w:rsidRDefault="00B509D4" w:rsidP="003A27DA">
      <w:pPr>
        <w:autoSpaceDE w:val="0"/>
        <w:autoSpaceDN w:val="0"/>
        <w:adjustRightInd w:val="0"/>
        <w:spacing w:before="240" w:after="120" w:line="360" w:lineRule="auto"/>
        <w:jc w:val="both"/>
        <w:rPr>
          <w:rFonts w:ascii="Times New Roman" w:hAnsi="Times New Roman" w:cs="Times New Roman"/>
          <w:b/>
          <w:i/>
          <w:sz w:val="24"/>
          <w:szCs w:val="24"/>
        </w:rPr>
      </w:pPr>
    </w:p>
    <w:p w:rsidR="00C03A0C" w:rsidRPr="00BE6FA1" w:rsidRDefault="00C03A0C" w:rsidP="003A27DA">
      <w:pPr>
        <w:autoSpaceDE w:val="0"/>
        <w:autoSpaceDN w:val="0"/>
        <w:adjustRightInd w:val="0"/>
        <w:spacing w:before="240" w:after="120" w:line="360" w:lineRule="auto"/>
        <w:jc w:val="both"/>
        <w:rPr>
          <w:rFonts w:ascii="Times New Roman" w:hAnsi="Times New Roman" w:cs="Times New Roman"/>
          <w:b/>
          <w:i/>
          <w:sz w:val="24"/>
          <w:szCs w:val="24"/>
        </w:rPr>
      </w:pPr>
      <w:r w:rsidRPr="00BE6FA1">
        <w:rPr>
          <w:rFonts w:ascii="Times New Roman" w:hAnsi="Times New Roman" w:cs="Times New Roman"/>
          <w:b/>
          <w:i/>
          <w:sz w:val="24"/>
          <w:szCs w:val="24"/>
        </w:rPr>
        <w:lastRenderedPageBreak/>
        <w:t xml:space="preserve">Uprawa roślin wieloletnich </w:t>
      </w:r>
    </w:p>
    <w:p w:rsidR="00C03A0C" w:rsidRPr="00BE6FA1" w:rsidRDefault="00C03A0C" w:rsidP="003A27DA">
      <w:pPr>
        <w:pStyle w:val="Tretekstu"/>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Potencjał techniczny biomasy z plantacji roślin wieloletnich energetycznych </w:t>
      </w:r>
      <w:r w:rsidRPr="00BE6FA1">
        <w:rPr>
          <w:rFonts w:ascii="Times New Roman" w:hAnsi="Times New Roman" w:cs="Times New Roman"/>
          <w:sz w:val="24"/>
          <w:szCs w:val="24"/>
        </w:rPr>
        <w:br/>
        <w:t xml:space="preserve">w powiecie </w:t>
      </w:r>
      <w:r w:rsidR="00D15B6F" w:rsidRPr="00BE6FA1">
        <w:rPr>
          <w:rFonts w:ascii="Times New Roman" w:hAnsi="Times New Roman" w:cs="Times New Roman"/>
          <w:sz w:val="24"/>
          <w:szCs w:val="24"/>
        </w:rPr>
        <w:t>przeworskim</w:t>
      </w:r>
      <w:r w:rsidRPr="00BE6FA1">
        <w:rPr>
          <w:rFonts w:ascii="Times New Roman" w:hAnsi="Times New Roman" w:cs="Times New Roman"/>
          <w:sz w:val="24"/>
          <w:szCs w:val="24"/>
        </w:rPr>
        <w:t xml:space="preserve"> kształtuje się w przedziale </w:t>
      </w:r>
      <w:r w:rsidR="007946D6" w:rsidRPr="00BE6FA1">
        <w:rPr>
          <w:rFonts w:ascii="Times New Roman" w:hAnsi="Times New Roman" w:cs="Times New Roman"/>
          <w:sz w:val="24"/>
          <w:szCs w:val="24"/>
        </w:rPr>
        <w:t>100</w:t>
      </w:r>
      <w:r w:rsidRPr="00BE6FA1">
        <w:rPr>
          <w:rFonts w:ascii="Times New Roman" w:hAnsi="Times New Roman" w:cs="Times New Roman"/>
          <w:sz w:val="24"/>
          <w:szCs w:val="24"/>
        </w:rPr>
        <w:t xml:space="preserve"> – 200 GWh.</w:t>
      </w:r>
    </w:p>
    <w:p w:rsidR="007946D6" w:rsidRPr="00BE6FA1" w:rsidRDefault="007946D6" w:rsidP="003A27DA">
      <w:pPr>
        <w:pStyle w:val="Tretekstu"/>
        <w:keepNext/>
        <w:spacing w:line="360" w:lineRule="auto"/>
        <w:jc w:val="center"/>
        <w:rPr>
          <w:rFonts w:ascii="Times New Roman" w:hAnsi="Times New Roman" w:cs="Times New Roman"/>
        </w:rPr>
      </w:pPr>
      <w:r w:rsidRPr="00BE6FA1">
        <w:rPr>
          <w:rFonts w:ascii="Times New Roman" w:hAnsi="Times New Roman" w:cs="Times New Roman"/>
          <w:noProof/>
          <w:sz w:val="23"/>
          <w:szCs w:val="23"/>
        </w:rPr>
        <w:drawing>
          <wp:inline distT="0" distB="0" distL="0" distR="0" wp14:anchorId="22CE4C0C" wp14:editId="5F481C22">
            <wp:extent cx="4684275" cy="6274136"/>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4275" cy="6274136"/>
                    </a:xfrm>
                    <a:prstGeom prst="rect">
                      <a:avLst/>
                    </a:prstGeom>
                    <a:noFill/>
                    <a:ln>
                      <a:noFill/>
                    </a:ln>
                  </pic:spPr>
                </pic:pic>
              </a:graphicData>
            </a:graphic>
          </wp:inline>
        </w:drawing>
      </w:r>
    </w:p>
    <w:p w:rsidR="007946D6" w:rsidRPr="00BE6FA1" w:rsidRDefault="007946D6" w:rsidP="003A27DA">
      <w:pPr>
        <w:pStyle w:val="Legenda"/>
        <w:spacing w:line="360" w:lineRule="auto"/>
        <w:jc w:val="center"/>
        <w:rPr>
          <w:rFonts w:ascii="Times New Roman" w:hAnsi="Times New Roman" w:cs="Times New Roman"/>
          <w:color w:val="auto"/>
          <w:sz w:val="23"/>
          <w:szCs w:val="23"/>
        </w:rPr>
      </w:pPr>
      <w:bookmarkStart w:id="48" w:name="_Toc445289821"/>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8</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upraw z roślin energetycznych w województwie podkarpackim</w:t>
      </w:r>
      <w:bookmarkEnd w:id="48"/>
    </w:p>
    <w:p w:rsidR="00877D12" w:rsidRPr="00BE6FA1" w:rsidRDefault="00877D12" w:rsidP="003A27DA">
      <w:pPr>
        <w:autoSpaceDE w:val="0"/>
        <w:autoSpaceDN w:val="0"/>
        <w:adjustRightInd w:val="0"/>
        <w:spacing w:before="240" w:after="120" w:line="360" w:lineRule="auto"/>
        <w:jc w:val="both"/>
        <w:rPr>
          <w:rFonts w:ascii="Times New Roman" w:hAnsi="Times New Roman" w:cs="Times New Roman"/>
          <w:b/>
          <w:i/>
          <w:sz w:val="24"/>
          <w:szCs w:val="24"/>
        </w:rPr>
      </w:pPr>
    </w:p>
    <w:p w:rsidR="00B509D4" w:rsidRPr="00BE6FA1" w:rsidRDefault="00B509D4" w:rsidP="003A27DA">
      <w:pPr>
        <w:autoSpaceDE w:val="0"/>
        <w:autoSpaceDN w:val="0"/>
        <w:adjustRightInd w:val="0"/>
        <w:spacing w:before="240" w:after="120" w:line="360" w:lineRule="auto"/>
        <w:jc w:val="both"/>
        <w:rPr>
          <w:rFonts w:ascii="Times New Roman" w:hAnsi="Times New Roman" w:cs="Times New Roman"/>
          <w:b/>
          <w:i/>
          <w:sz w:val="24"/>
          <w:szCs w:val="24"/>
        </w:rPr>
      </w:pPr>
    </w:p>
    <w:p w:rsidR="00B509D4" w:rsidRPr="00BE6FA1" w:rsidRDefault="00B509D4" w:rsidP="003A27DA">
      <w:pPr>
        <w:autoSpaceDE w:val="0"/>
        <w:autoSpaceDN w:val="0"/>
        <w:adjustRightInd w:val="0"/>
        <w:spacing w:before="240" w:after="120" w:line="360" w:lineRule="auto"/>
        <w:jc w:val="both"/>
        <w:rPr>
          <w:rFonts w:ascii="Times New Roman" w:hAnsi="Times New Roman" w:cs="Times New Roman"/>
          <w:b/>
          <w:i/>
          <w:sz w:val="24"/>
          <w:szCs w:val="24"/>
        </w:rPr>
      </w:pPr>
    </w:p>
    <w:p w:rsidR="00C03A0C" w:rsidRPr="00BE6FA1" w:rsidRDefault="00C03A0C" w:rsidP="003A27DA">
      <w:pPr>
        <w:autoSpaceDE w:val="0"/>
        <w:autoSpaceDN w:val="0"/>
        <w:adjustRightInd w:val="0"/>
        <w:spacing w:before="240" w:after="120" w:line="360" w:lineRule="auto"/>
        <w:jc w:val="both"/>
        <w:rPr>
          <w:rFonts w:ascii="Times New Roman" w:hAnsi="Times New Roman" w:cs="Times New Roman"/>
          <w:b/>
          <w:i/>
          <w:sz w:val="24"/>
          <w:szCs w:val="24"/>
        </w:rPr>
      </w:pPr>
      <w:r w:rsidRPr="00BE6FA1">
        <w:rPr>
          <w:rFonts w:ascii="Times New Roman" w:hAnsi="Times New Roman" w:cs="Times New Roman"/>
          <w:b/>
          <w:i/>
          <w:sz w:val="24"/>
          <w:szCs w:val="24"/>
        </w:rPr>
        <w:lastRenderedPageBreak/>
        <w:t xml:space="preserve">Biogaz rolniczy </w:t>
      </w:r>
    </w:p>
    <w:p w:rsidR="00C03A0C" w:rsidRPr="00BE6FA1" w:rsidRDefault="00C03A0C" w:rsidP="003A27DA">
      <w:pPr>
        <w:pStyle w:val="Tretekstu"/>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W powiecie </w:t>
      </w:r>
      <w:r w:rsidR="00D15B6F" w:rsidRPr="00BE6FA1">
        <w:rPr>
          <w:rFonts w:ascii="Times New Roman" w:hAnsi="Times New Roman" w:cs="Times New Roman"/>
          <w:sz w:val="24"/>
          <w:szCs w:val="24"/>
        </w:rPr>
        <w:t>przeworskim</w:t>
      </w:r>
      <w:r w:rsidRPr="00BE6FA1">
        <w:rPr>
          <w:rFonts w:ascii="Times New Roman" w:hAnsi="Times New Roman" w:cs="Times New Roman"/>
          <w:sz w:val="24"/>
          <w:szCs w:val="24"/>
        </w:rPr>
        <w:t xml:space="preserve"> występuje niewielki potencjał techniczny produkcji biogazu rolniczego, kształtujący się w przedziale 5–1 GWh.</w:t>
      </w:r>
    </w:p>
    <w:p w:rsidR="007946D6" w:rsidRPr="00BE6FA1" w:rsidRDefault="007946D6" w:rsidP="003A27DA">
      <w:pPr>
        <w:pStyle w:val="Tretekstu"/>
        <w:keepNext/>
        <w:spacing w:line="360" w:lineRule="auto"/>
        <w:jc w:val="center"/>
        <w:rPr>
          <w:rFonts w:ascii="Times New Roman" w:hAnsi="Times New Roman" w:cs="Times New Roman"/>
        </w:rPr>
      </w:pPr>
      <w:r w:rsidRPr="00BE6FA1">
        <w:rPr>
          <w:rFonts w:ascii="Times New Roman" w:hAnsi="Times New Roman" w:cs="Times New Roman"/>
          <w:noProof/>
          <w:sz w:val="23"/>
          <w:szCs w:val="23"/>
        </w:rPr>
        <w:drawing>
          <wp:inline distT="0" distB="0" distL="0" distR="0" wp14:anchorId="6C6C31E5" wp14:editId="0DC30D77">
            <wp:extent cx="5018053" cy="6613371"/>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8053" cy="6613371"/>
                    </a:xfrm>
                    <a:prstGeom prst="rect">
                      <a:avLst/>
                    </a:prstGeom>
                    <a:noFill/>
                    <a:ln>
                      <a:noFill/>
                    </a:ln>
                  </pic:spPr>
                </pic:pic>
              </a:graphicData>
            </a:graphic>
          </wp:inline>
        </w:drawing>
      </w:r>
    </w:p>
    <w:p w:rsidR="00D15B6F" w:rsidRPr="00BE6FA1" w:rsidRDefault="007946D6" w:rsidP="003A27DA">
      <w:pPr>
        <w:pStyle w:val="Legenda"/>
        <w:spacing w:line="360" w:lineRule="auto"/>
        <w:jc w:val="center"/>
        <w:rPr>
          <w:rFonts w:ascii="Times New Roman" w:hAnsi="Times New Roman" w:cs="Times New Roman"/>
          <w:color w:val="auto"/>
          <w:sz w:val="23"/>
          <w:szCs w:val="23"/>
        </w:rPr>
      </w:pPr>
      <w:bookmarkStart w:id="49" w:name="_Toc445289822"/>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9</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Potencjał techniczny produkcji biogazu rolniczego w województwie podkarpackim</w:t>
      </w:r>
      <w:bookmarkEnd w:id="49"/>
    </w:p>
    <w:p w:rsidR="00877D12" w:rsidRPr="00BE6FA1" w:rsidRDefault="00877D12"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CE0F19" w:rsidRPr="00BE6FA1" w:rsidRDefault="00CE0F19" w:rsidP="003A27DA">
      <w:pPr>
        <w:shd w:val="clear" w:color="auto" w:fill="FFFFFF"/>
        <w:spacing w:after="0" w:line="360" w:lineRule="auto"/>
        <w:ind w:firstLine="708"/>
        <w:jc w:val="both"/>
        <w:rPr>
          <w:rFonts w:ascii="Times New Roman" w:eastAsia="Times New Roman" w:hAnsi="Times New Roman" w:cs="Times New Roman"/>
          <w:sz w:val="24"/>
          <w:szCs w:val="24"/>
        </w:rPr>
      </w:pPr>
    </w:p>
    <w:p w:rsidR="005C4765" w:rsidRPr="00BE6FA1" w:rsidRDefault="00E33264"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D</w:t>
      </w:r>
      <w:r w:rsidR="005C4765" w:rsidRPr="00BE6FA1">
        <w:rPr>
          <w:rFonts w:ascii="Times New Roman" w:eastAsia="Times New Roman" w:hAnsi="Times New Roman" w:cs="Times New Roman"/>
          <w:sz w:val="24"/>
          <w:szCs w:val="24"/>
        </w:rPr>
        <w:t>ziałki objęte planem zagospodarowania przestrzennego</w:t>
      </w:r>
      <w:r w:rsidR="007F7398" w:rsidRPr="00BE6FA1">
        <w:rPr>
          <w:rFonts w:ascii="Times New Roman" w:eastAsia="Times New Roman" w:hAnsi="Times New Roman" w:cs="Times New Roman"/>
          <w:sz w:val="24"/>
          <w:szCs w:val="24"/>
        </w:rPr>
        <w:t xml:space="preserve">, na terenie Gminy Kańczuga, </w:t>
      </w:r>
      <w:r w:rsidR="005C4765" w:rsidRPr="00BE6FA1">
        <w:rPr>
          <w:rFonts w:ascii="Times New Roman" w:eastAsia="Times New Roman" w:hAnsi="Times New Roman" w:cs="Times New Roman"/>
          <w:sz w:val="24"/>
          <w:szCs w:val="24"/>
        </w:rPr>
        <w:t>na których mogą być zlokalizowane inwestycje wykorzystujące odnawialne źródła energii</w:t>
      </w:r>
      <w:r w:rsidRPr="00BE6FA1">
        <w:rPr>
          <w:rFonts w:ascii="Times New Roman" w:eastAsia="Times New Roman" w:hAnsi="Times New Roman" w:cs="Times New Roman"/>
          <w:sz w:val="24"/>
          <w:szCs w:val="24"/>
        </w:rPr>
        <w:t>:</w:t>
      </w:r>
    </w:p>
    <w:p w:rsidR="005C4765" w:rsidRPr="00BE6FA1" w:rsidRDefault="005C4765" w:rsidP="003A27DA">
      <w:pPr>
        <w:shd w:val="clear" w:color="auto" w:fill="FFFFFF"/>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w:t>
      </w:r>
    </w:p>
    <w:p w:rsidR="005C4765" w:rsidRPr="00BE6FA1" w:rsidRDefault="005C4765" w:rsidP="003A27DA">
      <w:pPr>
        <w:shd w:val="clear" w:color="auto" w:fill="FFFFFF"/>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Pantalowice: 2184, 2171</w:t>
      </w:r>
    </w:p>
    <w:p w:rsidR="005C4765" w:rsidRPr="00BE6FA1" w:rsidRDefault="00E33264" w:rsidP="003A27DA">
      <w:pPr>
        <w:shd w:val="clear" w:color="auto" w:fill="FFFFFF"/>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Sietesz:</w:t>
      </w:r>
      <w:r w:rsidR="005C4765" w:rsidRPr="00BE6FA1">
        <w:rPr>
          <w:rFonts w:ascii="Times New Roman" w:eastAsia="Times New Roman" w:hAnsi="Times New Roman" w:cs="Times New Roman"/>
          <w:sz w:val="24"/>
          <w:szCs w:val="24"/>
        </w:rPr>
        <w:t xml:space="preserve"> 639, 2022, 2021, 457, 643</w:t>
      </w:r>
    </w:p>
    <w:p w:rsidR="005C4765" w:rsidRPr="00BE6FA1" w:rsidRDefault="005C4765" w:rsidP="003A27DA">
      <w:pPr>
        <w:shd w:val="clear" w:color="auto" w:fill="FFFFFF"/>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Niżatyce: 251, 250, 221</w:t>
      </w:r>
    </w:p>
    <w:p w:rsidR="006B691A" w:rsidRPr="00BE6FA1" w:rsidRDefault="006B691A" w:rsidP="003A27DA">
      <w:pPr>
        <w:shd w:val="clear" w:color="auto" w:fill="FFFFFF"/>
        <w:spacing w:after="0" w:line="360" w:lineRule="auto"/>
        <w:rPr>
          <w:rFonts w:ascii="Times New Roman" w:eastAsia="Times New Roman" w:hAnsi="Times New Roman" w:cs="Times New Roman"/>
          <w:sz w:val="24"/>
          <w:szCs w:val="24"/>
        </w:rPr>
      </w:pPr>
    </w:p>
    <w:p w:rsidR="005C4765" w:rsidRPr="00BE6FA1" w:rsidRDefault="005C4765" w:rsidP="00A2587B">
      <w:pPr>
        <w:pStyle w:val="Nagwek1"/>
        <w:spacing w:after="120" w:line="360" w:lineRule="auto"/>
        <w:rPr>
          <w:rFonts w:ascii="Times New Roman" w:hAnsi="Times New Roman" w:cs="Times New Roman"/>
          <w:color w:val="auto"/>
        </w:rPr>
      </w:pPr>
      <w:bookmarkStart w:id="50" w:name="_Toc449097733"/>
      <w:r w:rsidRPr="00BE6FA1">
        <w:rPr>
          <w:rFonts w:ascii="Times New Roman" w:hAnsi="Times New Roman" w:cs="Times New Roman"/>
          <w:color w:val="auto"/>
        </w:rPr>
        <w:t>Identyfikacja obszarów problemowych</w:t>
      </w:r>
      <w:bookmarkEnd w:id="50"/>
    </w:p>
    <w:p w:rsidR="00F6725C" w:rsidRPr="00BE6FA1" w:rsidRDefault="00F6725C" w:rsidP="00F6725C">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Na podstawie analizy stanu obecnego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 xml:space="preserve">Gminy oraz przeprowadzonej inwentaryzacji źródeł emisji zidentyfikowano aspekty i obszary problemowe, występujące 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p>
    <w:p w:rsidR="00F6725C" w:rsidRPr="00BE6FA1" w:rsidRDefault="00F6725C" w:rsidP="009A7AFF">
      <w:pPr>
        <w:pStyle w:val="Default0"/>
        <w:widowControl w:val="0"/>
        <w:numPr>
          <w:ilvl w:val="0"/>
          <w:numId w:val="64"/>
        </w:numPr>
        <w:autoSpaceDE/>
        <w:autoSpaceDN/>
        <w:adjustRightInd/>
        <w:spacing w:after="200" w:line="360" w:lineRule="auto"/>
        <w:jc w:val="both"/>
        <w:rPr>
          <w:rStyle w:val="Teksttreci2Exact"/>
          <w:rFonts w:eastAsiaTheme="minorHAnsi"/>
          <w:color w:val="auto"/>
          <w:sz w:val="24"/>
          <w:szCs w:val="24"/>
        </w:rPr>
      </w:pPr>
      <w:r w:rsidRPr="00BE6FA1">
        <w:rPr>
          <w:rStyle w:val="Teksttreci2Exact"/>
          <w:rFonts w:eastAsia="Calibri"/>
          <w:color w:val="auto"/>
          <w:sz w:val="24"/>
          <w:szCs w:val="24"/>
        </w:rPr>
        <w:t xml:space="preserve">Brak centralnego systemu ogrzewania (na terenie gminy znajdują się lokalne kotłownie gazowe). </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Głównym nośnikiem energii w budownictwie mieszkalnym jednorodzinnym są kotły na paliwa stałe (węgiel, drewno, koks), które powodują dużą emisję zanieczyszczeń do powietrza;</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Duża ilość nieocieplonych budynków mieszkalnych;</w:t>
      </w:r>
    </w:p>
    <w:p w:rsidR="00F6725C" w:rsidRPr="00BE6FA1" w:rsidRDefault="00563D06" w:rsidP="009A7AFF">
      <w:pPr>
        <w:pStyle w:val="Default0"/>
        <w:widowControl w:val="0"/>
        <w:numPr>
          <w:ilvl w:val="0"/>
          <w:numId w:val="64"/>
        </w:numPr>
        <w:autoSpaceDE/>
        <w:autoSpaceDN/>
        <w:adjustRightInd/>
        <w:spacing w:after="200" w:line="360" w:lineRule="auto"/>
        <w:jc w:val="both"/>
        <w:rPr>
          <w:color w:val="auto"/>
        </w:rPr>
      </w:pPr>
      <w:r w:rsidRPr="00BE6FA1">
        <w:rPr>
          <w:color w:val="auto"/>
        </w:rPr>
        <w:t>Niska efektywność energetyczna</w:t>
      </w:r>
      <w:r w:rsidR="00F6725C" w:rsidRPr="00BE6FA1">
        <w:rPr>
          <w:color w:val="auto"/>
        </w:rPr>
        <w:t xml:space="preserve"> budynków mieszkalnych;</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Niewielki odsetek ludności korzystającej z komunikacji publicznej;</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Niedostateczny standard dróg. Poprawa ich jakości wpłynęłaby na zmniejszenie zużycia paliw, a tym samym na zmniejszenie zanieczyszczenia atmosfery;</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Wysoki stopień wyeksploatowania oświetlenia ulicznego;</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Niska świadomość ekologiczna mieszkańców;</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Spalanie odpadów komunalnych;</w:t>
      </w:r>
    </w:p>
    <w:p w:rsidR="00F6725C" w:rsidRPr="00BE6FA1" w:rsidRDefault="00F6725C" w:rsidP="009A7AFF">
      <w:pPr>
        <w:pStyle w:val="Default0"/>
        <w:widowControl w:val="0"/>
        <w:numPr>
          <w:ilvl w:val="0"/>
          <w:numId w:val="64"/>
        </w:numPr>
        <w:autoSpaceDE/>
        <w:autoSpaceDN/>
        <w:adjustRightInd/>
        <w:spacing w:after="200" w:line="360" w:lineRule="auto"/>
        <w:jc w:val="both"/>
        <w:rPr>
          <w:color w:val="auto"/>
        </w:rPr>
      </w:pPr>
      <w:r w:rsidRPr="00BE6FA1">
        <w:rPr>
          <w:color w:val="auto"/>
        </w:rPr>
        <w:t>Niski stopień wykorzystania odnawialnych źródeł energii;</w:t>
      </w:r>
    </w:p>
    <w:p w:rsidR="00F6725C" w:rsidRPr="00BE6FA1" w:rsidRDefault="00F6725C" w:rsidP="009A7AFF">
      <w:pPr>
        <w:pStyle w:val="Default0"/>
        <w:widowControl w:val="0"/>
        <w:numPr>
          <w:ilvl w:val="0"/>
          <w:numId w:val="64"/>
        </w:numPr>
        <w:autoSpaceDE/>
        <w:autoSpaceDN/>
        <w:adjustRightInd/>
        <w:spacing w:after="200" w:line="360" w:lineRule="auto"/>
        <w:jc w:val="both"/>
        <w:rPr>
          <w:rStyle w:val="Teksttreci2Exact"/>
          <w:rFonts w:eastAsia="Calibri"/>
          <w:color w:val="auto"/>
          <w:sz w:val="24"/>
          <w:szCs w:val="24"/>
        </w:rPr>
      </w:pPr>
      <w:r w:rsidRPr="00BE6FA1">
        <w:rPr>
          <w:color w:val="auto"/>
        </w:rPr>
        <w:t>Wyeksploatowane instalacje elektryczne, gazowe, grzewcze.</w:t>
      </w:r>
    </w:p>
    <w:p w:rsidR="005C4765" w:rsidRPr="00BE6FA1" w:rsidRDefault="005C4765" w:rsidP="003A27DA">
      <w:pPr>
        <w:pStyle w:val="Nagwek1"/>
        <w:spacing w:line="360" w:lineRule="auto"/>
        <w:jc w:val="both"/>
        <w:rPr>
          <w:rFonts w:ascii="Times New Roman" w:hAnsi="Times New Roman" w:cs="Times New Roman"/>
          <w:color w:val="auto"/>
        </w:rPr>
      </w:pPr>
      <w:bookmarkStart w:id="51" w:name="_Toc449097734"/>
      <w:r w:rsidRPr="00BE6FA1">
        <w:rPr>
          <w:rFonts w:ascii="Times New Roman" w:hAnsi="Times New Roman" w:cs="Times New Roman"/>
          <w:color w:val="auto"/>
        </w:rPr>
        <w:lastRenderedPageBreak/>
        <w:t xml:space="preserve">Dotychczasowe działania </w:t>
      </w:r>
      <w:r w:rsidR="001F0217" w:rsidRPr="00BE6FA1">
        <w:rPr>
          <w:rFonts w:ascii="Times New Roman" w:hAnsi="Times New Roman" w:cs="Times New Roman"/>
          <w:color w:val="auto"/>
        </w:rPr>
        <w:t xml:space="preserve">Miasta i </w:t>
      </w:r>
      <w:r w:rsidRPr="00BE6FA1">
        <w:rPr>
          <w:rFonts w:ascii="Times New Roman" w:hAnsi="Times New Roman" w:cs="Times New Roman"/>
          <w:color w:val="auto"/>
        </w:rPr>
        <w:t xml:space="preserve">Gminy </w:t>
      </w:r>
      <w:r w:rsidR="00590781" w:rsidRPr="00BE6FA1">
        <w:rPr>
          <w:rFonts w:ascii="Times New Roman" w:hAnsi="Times New Roman" w:cs="Times New Roman"/>
          <w:color w:val="auto"/>
        </w:rPr>
        <w:t>Kańczuga</w:t>
      </w:r>
      <w:r w:rsidRPr="00BE6FA1">
        <w:rPr>
          <w:rFonts w:ascii="Times New Roman" w:hAnsi="Times New Roman" w:cs="Times New Roman"/>
          <w:color w:val="auto"/>
        </w:rPr>
        <w:t xml:space="preserve"> w zakresie efektywności energetycznej, gospodarki niskoemisyjnej oraz wykorzystania odnawialnych źródeł energii</w:t>
      </w:r>
      <w:bookmarkEnd w:id="51"/>
    </w:p>
    <w:p w:rsidR="005C4765" w:rsidRPr="00BE6FA1" w:rsidRDefault="005C4765" w:rsidP="003A27DA">
      <w:pPr>
        <w:spacing w:line="360" w:lineRule="auto"/>
        <w:rPr>
          <w:rFonts w:ascii="Times New Roman" w:hAnsi="Times New Roman" w:cs="Times New Roman"/>
          <w:sz w:val="24"/>
          <w:szCs w:val="24"/>
        </w:rPr>
      </w:pPr>
    </w:p>
    <w:p w:rsidR="00A2587B" w:rsidRPr="00BE6FA1" w:rsidRDefault="00A2587B" w:rsidP="009A7AFF">
      <w:pPr>
        <w:pStyle w:val="Akapitzlist"/>
        <w:numPr>
          <w:ilvl w:val="0"/>
          <w:numId w:val="65"/>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Termomodernizacja budynków komunalnych użyteczności publicznej na terenie Miasta i Gminy Kańczuga</w:t>
      </w:r>
    </w:p>
    <w:p w:rsidR="00A2587B" w:rsidRPr="00BE6FA1" w:rsidRDefault="00A2587B" w:rsidP="00A2587B">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 ramach termomodernizacji budynków komunalnych użyteczności publicznej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na terenie Miasta i Gm</w:t>
      </w:r>
      <w:r w:rsidR="008F12B5" w:rsidRPr="00BE6FA1">
        <w:rPr>
          <w:rFonts w:ascii="Times New Roman" w:hAnsi="Times New Roman" w:cs="Times New Roman"/>
          <w:sz w:val="24"/>
          <w:szCs w:val="24"/>
        </w:rPr>
        <w:t>iny Kańczuga zrealizowano prace</w:t>
      </w:r>
      <w:r w:rsidRPr="00BE6FA1">
        <w:rPr>
          <w:rFonts w:ascii="Times New Roman" w:hAnsi="Times New Roman" w:cs="Times New Roman"/>
          <w:sz w:val="24"/>
          <w:szCs w:val="24"/>
        </w:rPr>
        <w:t xml:space="preserve"> budynków: Dom Kultury </w:t>
      </w:r>
      <w:r w:rsidR="006B691A" w:rsidRPr="00BE6FA1">
        <w:rPr>
          <w:rFonts w:ascii="Times New Roman" w:hAnsi="Times New Roman" w:cs="Times New Roman"/>
          <w:sz w:val="24"/>
          <w:szCs w:val="24"/>
        </w:rPr>
        <w:br/>
      </w:r>
      <w:r w:rsidRPr="00BE6FA1">
        <w:rPr>
          <w:rFonts w:ascii="Times New Roman" w:hAnsi="Times New Roman" w:cs="Times New Roman"/>
          <w:sz w:val="24"/>
          <w:szCs w:val="24"/>
        </w:rPr>
        <w:t xml:space="preserve">w Rączynie, Zespół Szkolno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Gimnazjalny w Siedleczce, Budynek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biuro Sołtysa </w:t>
      </w:r>
      <w:r w:rsidR="00DC28E6" w:rsidRPr="00BE6FA1">
        <w:rPr>
          <w:rFonts w:ascii="Times New Roman" w:hAnsi="Times New Roman" w:cs="Times New Roman"/>
          <w:sz w:val="24"/>
          <w:szCs w:val="24"/>
        </w:rPr>
        <w:br/>
      </w:r>
      <w:r w:rsidRPr="00BE6FA1">
        <w:rPr>
          <w:rFonts w:ascii="Times New Roman" w:hAnsi="Times New Roman" w:cs="Times New Roman"/>
          <w:sz w:val="24"/>
          <w:szCs w:val="24"/>
        </w:rPr>
        <w:t xml:space="preserve">w Sieteszy, sala gimnastyczna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Szkoła Podstawowa w Kańczudze, Urząd Miasta i Gminy </w:t>
      </w:r>
      <w:r w:rsidR="00DC28E6" w:rsidRPr="00BE6FA1">
        <w:rPr>
          <w:rFonts w:ascii="Times New Roman" w:hAnsi="Times New Roman" w:cs="Times New Roman"/>
          <w:sz w:val="24"/>
          <w:szCs w:val="24"/>
        </w:rPr>
        <w:br/>
      </w:r>
      <w:r w:rsidRPr="00BE6FA1">
        <w:rPr>
          <w:rFonts w:ascii="Times New Roman" w:hAnsi="Times New Roman" w:cs="Times New Roman"/>
          <w:sz w:val="24"/>
          <w:szCs w:val="24"/>
        </w:rPr>
        <w:t xml:space="preserve">w Kańczudze, Dom Strażaka w Żuklinie, Dom Ludowy w Łopuszce Małej, Dom Strażaka </w:t>
      </w:r>
      <w:r w:rsidR="00DC28E6" w:rsidRPr="00BE6FA1">
        <w:rPr>
          <w:rFonts w:ascii="Times New Roman" w:hAnsi="Times New Roman" w:cs="Times New Roman"/>
          <w:sz w:val="24"/>
          <w:szCs w:val="24"/>
        </w:rPr>
        <w:br/>
      </w:r>
      <w:r w:rsidRPr="00BE6FA1">
        <w:rPr>
          <w:rFonts w:ascii="Times New Roman" w:hAnsi="Times New Roman" w:cs="Times New Roman"/>
          <w:sz w:val="24"/>
          <w:szCs w:val="24"/>
        </w:rPr>
        <w:t>w Krzeczowicach, Dom Ludowy w Chodakówce, Dom Ludowy w Medyni Kańczuckiej, Dom Ludowy w Siedleczce.</w:t>
      </w:r>
    </w:p>
    <w:p w:rsidR="00A2587B" w:rsidRPr="00BE6FA1" w:rsidRDefault="00A2587B" w:rsidP="00A2587B">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Dzięki przeprowadzonym pracom osiągnięt</w:t>
      </w:r>
      <w:r w:rsidR="00563D06" w:rsidRPr="00BE6FA1">
        <w:rPr>
          <w:rFonts w:ascii="Times New Roman" w:hAnsi="Times New Roman" w:cs="Times New Roman"/>
          <w:sz w:val="24"/>
          <w:szCs w:val="24"/>
        </w:rPr>
        <w:t xml:space="preserve">o </w:t>
      </w:r>
      <w:r w:rsidRPr="00BE6FA1">
        <w:rPr>
          <w:rFonts w:ascii="Times New Roman" w:hAnsi="Times New Roman" w:cs="Times New Roman"/>
          <w:sz w:val="24"/>
          <w:szCs w:val="24"/>
        </w:rPr>
        <w:t xml:space="preserve">następujące efekty: </w:t>
      </w:r>
    </w:p>
    <w:p w:rsidR="00A2587B" w:rsidRPr="00BE6FA1" w:rsidRDefault="00A2587B" w:rsidP="009A7AFF">
      <w:pPr>
        <w:pStyle w:val="Akapitzlist"/>
        <w:numPr>
          <w:ilvl w:val="0"/>
          <w:numId w:val="18"/>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ilość zaoszczędzonej energii w wyniku realizacji projektów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MWh/rok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556,38;</w:t>
      </w:r>
    </w:p>
    <w:p w:rsidR="00A2587B" w:rsidRPr="00BE6FA1" w:rsidRDefault="00A2587B" w:rsidP="009A7AFF">
      <w:pPr>
        <w:pStyle w:val="Akapitzlist"/>
        <w:numPr>
          <w:ilvl w:val="0"/>
          <w:numId w:val="18"/>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zmiana emisji głównych zanieczyszczeń powietrza: dwutlenek siarki, tlen</w:t>
      </w:r>
      <w:r w:rsidR="008F12B5" w:rsidRPr="00BE6FA1">
        <w:rPr>
          <w:rFonts w:ascii="Times New Roman" w:hAnsi="Times New Roman" w:cs="Times New Roman"/>
          <w:sz w:val="24"/>
          <w:szCs w:val="24"/>
        </w:rPr>
        <w:t>ki azotu, pył dwutlenek węgla (t</w:t>
      </w:r>
      <w:r w:rsidRPr="00BE6FA1">
        <w:rPr>
          <w:rFonts w:ascii="Times New Roman" w:hAnsi="Times New Roman" w:cs="Times New Roman"/>
          <w:sz w:val="24"/>
          <w:szCs w:val="24"/>
        </w:rPr>
        <w:t>ony/rok -126,33);</w:t>
      </w:r>
    </w:p>
    <w:p w:rsidR="00A2587B" w:rsidRPr="00BE6FA1" w:rsidRDefault="00A2587B" w:rsidP="009A7AFF">
      <w:pPr>
        <w:pStyle w:val="Akapitzlist"/>
        <w:numPr>
          <w:ilvl w:val="0"/>
          <w:numId w:val="18"/>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ilość zaoszczędzonej energii pierwotnej w wyniku realizacji projektów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GJ/rok</w:t>
      </w:r>
      <w:r w:rsidR="008F12B5" w:rsidRPr="00BE6FA1">
        <w:rPr>
          <w:rFonts w:ascii="Times New Roman" w:hAnsi="Times New Roman" w:cs="Times New Roman"/>
          <w:sz w:val="24"/>
          <w:szCs w:val="24"/>
        </w:rPr>
        <w:t xml:space="preserve"> </w:t>
      </w:r>
      <w:r w:rsidRPr="00BE6FA1">
        <w:rPr>
          <w:rFonts w:ascii="Times New Roman" w:hAnsi="Times New Roman" w:cs="Times New Roman"/>
          <w:sz w:val="24"/>
          <w:szCs w:val="24"/>
        </w:rPr>
        <w:t xml:space="preserve">- 198,27; </w:t>
      </w:r>
    </w:p>
    <w:p w:rsidR="00A2587B" w:rsidRPr="00BE6FA1" w:rsidRDefault="00A2587B" w:rsidP="009A7AFF">
      <w:pPr>
        <w:pStyle w:val="Akapitzlist"/>
        <w:numPr>
          <w:ilvl w:val="0"/>
          <w:numId w:val="18"/>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kubatura obiektów podlegających termomodernizacji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34254,06 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w:t>
      </w:r>
    </w:p>
    <w:p w:rsidR="00A2587B" w:rsidRPr="00BE6FA1" w:rsidRDefault="00A2587B" w:rsidP="00DC28E6">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Koszt inwestycji – 1 158 060,68 zł, kwota dofinansowania ze środków UE – Region Program Operacyjny –  797 073,06 zł, wkład własny – 360 987,62 zł.</w:t>
      </w:r>
    </w:p>
    <w:p w:rsidR="00A2587B" w:rsidRPr="00BE6FA1" w:rsidRDefault="00A2587B" w:rsidP="009A7AFF">
      <w:pPr>
        <w:pStyle w:val="Akapitzlist"/>
        <w:numPr>
          <w:ilvl w:val="0"/>
          <w:numId w:val="65"/>
        </w:numPr>
        <w:spacing w:before="240" w:line="360" w:lineRule="auto"/>
        <w:ind w:left="714" w:hanging="357"/>
        <w:jc w:val="both"/>
        <w:rPr>
          <w:rFonts w:ascii="Times New Roman" w:hAnsi="Times New Roman" w:cs="Times New Roman"/>
          <w:sz w:val="24"/>
          <w:szCs w:val="24"/>
        </w:rPr>
      </w:pPr>
      <w:r w:rsidRPr="00BE6FA1">
        <w:rPr>
          <w:rFonts w:ascii="Times New Roman" w:hAnsi="Times New Roman" w:cs="Times New Roman"/>
          <w:sz w:val="24"/>
          <w:szCs w:val="24"/>
        </w:rPr>
        <w:t xml:space="preserve">Remont budynku Biblioteki Publicznej Miasta i Gminy Kańczuga </w:t>
      </w:r>
    </w:p>
    <w:p w:rsidR="00A2587B" w:rsidRPr="00BE6FA1" w:rsidRDefault="008F12B5" w:rsidP="00A2587B">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 ramach prac remontowych i</w:t>
      </w:r>
      <w:r w:rsidR="00A2587B" w:rsidRPr="00BE6FA1">
        <w:rPr>
          <w:rFonts w:ascii="Times New Roman" w:hAnsi="Times New Roman" w:cs="Times New Roman"/>
          <w:sz w:val="24"/>
          <w:szCs w:val="24"/>
        </w:rPr>
        <w:t xml:space="preserve"> budynku Biblioteki Publicznej w Kańczudze wykonano: wymianę stolarki okiennej i drzwiowej, malowanie tynków zewnętrznych, malowanie dachu, przyłącz gazowy, instalację centralnego ogrzewania wraz </w:t>
      </w:r>
      <w:r w:rsidR="00940426" w:rsidRPr="00BE6FA1">
        <w:rPr>
          <w:rFonts w:ascii="Times New Roman" w:hAnsi="Times New Roman" w:cs="Times New Roman"/>
          <w:sz w:val="24"/>
          <w:szCs w:val="24"/>
        </w:rPr>
        <w:br/>
      </w:r>
      <w:r w:rsidR="00A2587B" w:rsidRPr="00BE6FA1">
        <w:rPr>
          <w:rFonts w:ascii="Times New Roman" w:hAnsi="Times New Roman" w:cs="Times New Roman"/>
          <w:sz w:val="24"/>
          <w:szCs w:val="24"/>
        </w:rPr>
        <w:t>z kotłownią gazową.</w:t>
      </w:r>
    </w:p>
    <w:p w:rsidR="00BD0F22" w:rsidRPr="00BE6FA1" w:rsidRDefault="00BD0F22" w:rsidP="00A2587B">
      <w:pPr>
        <w:spacing w:line="360" w:lineRule="auto"/>
        <w:ind w:firstLine="708"/>
        <w:jc w:val="both"/>
        <w:rPr>
          <w:rFonts w:ascii="Times New Roman" w:hAnsi="Times New Roman" w:cs="Times New Roman"/>
          <w:sz w:val="24"/>
          <w:szCs w:val="24"/>
        </w:rPr>
      </w:pPr>
    </w:p>
    <w:p w:rsidR="00BD0F22" w:rsidRPr="00BE6FA1" w:rsidRDefault="00BD0F22" w:rsidP="00A2587B">
      <w:pPr>
        <w:spacing w:line="360" w:lineRule="auto"/>
        <w:ind w:firstLine="708"/>
        <w:jc w:val="both"/>
        <w:rPr>
          <w:rFonts w:ascii="Times New Roman" w:hAnsi="Times New Roman" w:cs="Times New Roman"/>
          <w:sz w:val="24"/>
          <w:szCs w:val="24"/>
        </w:rPr>
      </w:pPr>
    </w:p>
    <w:p w:rsidR="00A2587B" w:rsidRPr="00BE6FA1" w:rsidRDefault="00A2587B" w:rsidP="00940426">
      <w:pPr>
        <w:pStyle w:val="Akapitzlist"/>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Koszt inwestycji 87 083,00 zł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środki własne. </w:t>
      </w:r>
    </w:p>
    <w:p w:rsidR="00A2587B" w:rsidRPr="00BE6FA1" w:rsidRDefault="00A2587B" w:rsidP="009A7AFF">
      <w:pPr>
        <w:pStyle w:val="Akapitzlist"/>
        <w:numPr>
          <w:ilvl w:val="0"/>
          <w:numId w:val="65"/>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Termomodernizacja Ośrodka Zdrowia w Sieteszy</w:t>
      </w:r>
    </w:p>
    <w:p w:rsidR="00A2587B" w:rsidRPr="00BE6FA1" w:rsidRDefault="00A2587B" w:rsidP="00A2587B">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 ramach termomodernizacji Ośrodka Zdrowia w Sieteszy wykonano: wymianę stolarki okiennej i drzwiowej, elewację budynku, remont witryny szklanej budynku, utwardzenie terenu wokół budynku.</w:t>
      </w:r>
    </w:p>
    <w:p w:rsidR="00563D06" w:rsidRPr="00BE6FA1" w:rsidRDefault="00A2587B" w:rsidP="00BD0F22">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Koszt inwestycji 60 525,63 zł – środki własne.</w:t>
      </w:r>
    </w:p>
    <w:p w:rsidR="00482A70" w:rsidRPr="00BE6FA1" w:rsidRDefault="00482A70" w:rsidP="003A27DA">
      <w:pPr>
        <w:pStyle w:val="Nagwek1"/>
        <w:spacing w:line="360" w:lineRule="auto"/>
        <w:rPr>
          <w:rFonts w:ascii="Times New Roman" w:hAnsi="Times New Roman" w:cs="Times New Roman"/>
          <w:color w:val="auto"/>
        </w:rPr>
      </w:pPr>
      <w:bookmarkStart w:id="52" w:name="_Toc449097735"/>
      <w:r w:rsidRPr="00BE6FA1">
        <w:rPr>
          <w:rFonts w:ascii="Times New Roman" w:hAnsi="Times New Roman" w:cs="Times New Roman"/>
          <w:color w:val="auto"/>
        </w:rPr>
        <w:t xml:space="preserve">Stan środowiska na terenie </w:t>
      </w:r>
      <w:r w:rsidR="001F0217" w:rsidRPr="00BE6FA1">
        <w:rPr>
          <w:rFonts w:ascii="Times New Roman" w:hAnsi="Times New Roman" w:cs="Times New Roman"/>
          <w:color w:val="auto"/>
        </w:rPr>
        <w:t xml:space="preserve">Miasta i </w:t>
      </w:r>
      <w:r w:rsidRPr="00BE6FA1">
        <w:rPr>
          <w:rFonts w:ascii="Times New Roman" w:hAnsi="Times New Roman" w:cs="Times New Roman"/>
          <w:color w:val="auto"/>
        </w:rPr>
        <w:t>Gminy Kańczuga</w:t>
      </w:r>
      <w:bookmarkEnd w:id="52"/>
    </w:p>
    <w:p w:rsidR="00482A70" w:rsidRPr="00BE6FA1" w:rsidRDefault="00482A70" w:rsidP="003A27DA">
      <w:pPr>
        <w:spacing w:line="360" w:lineRule="auto"/>
        <w:rPr>
          <w:rFonts w:ascii="Times New Roman" w:hAnsi="Times New Roman" w:cs="Times New Roman"/>
        </w:rPr>
      </w:pPr>
    </w:p>
    <w:p w:rsidR="00482A70" w:rsidRPr="00BE6FA1" w:rsidRDefault="00482A70" w:rsidP="003A27DA">
      <w:pPr>
        <w:pStyle w:val="Nagwek2"/>
        <w:spacing w:line="360" w:lineRule="auto"/>
        <w:rPr>
          <w:rFonts w:ascii="Times New Roman" w:hAnsi="Times New Roman" w:cs="Times New Roman"/>
          <w:color w:val="auto"/>
        </w:rPr>
      </w:pPr>
      <w:bookmarkStart w:id="53" w:name="_Toc449097736"/>
      <w:r w:rsidRPr="00BE6FA1">
        <w:rPr>
          <w:rFonts w:ascii="Times New Roman" w:hAnsi="Times New Roman" w:cs="Times New Roman"/>
          <w:color w:val="auto"/>
        </w:rPr>
        <w:t>Główne zanieczyszczenia atmosferyczne</w:t>
      </w:r>
      <w:bookmarkEnd w:id="53"/>
    </w:p>
    <w:p w:rsidR="00626E1F" w:rsidRPr="00BE6FA1" w:rsidRDefault="00626E1F" w:rsidP="003A27DA">
      <w:pPr>
        <w:spacing w:after="0" w:line="360" w:lineRule="auto"/>
        <w:ind w:firstLine="708"/>
        <w:jc w:val="both"/>
        <w:rPr>
          <w:rFonts w:ascii="Times New Roman" w:hAnsi="Times New Roman" w:cs="Times New Roman"/>
        </w:rPr>
      </w:pPr>
    </w:p>
    <w:p w:rsidR="00482A70" w:rsidRPr="00BE6FA1" w:rsidRDefault="00482A70"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Poddawane ocenie dotrzymania w danym roku poziomy kryterialne zostały zdefiniowane w Dyrektywie 2008/50/WE: </w:t>
      </w:r>
    </w:p>
    <w:p w:rsidR="00482A70" w:rsidRPr="00BE6FA1" w:rsidRDefault="00482A70" w:rsidP="003A27DA">
      <w:pPr>
        <w:spacing w:after="0" w:line="360" w:lineRule="auto"/>
        <w:ind w:firstLine="708"/>
        <w:jc w:val="both"/>
        <w:rPr>
          <w:rFonts w:ascii="Times New Roman" w:hAnsi="Times New Roman" w:cs="Times New Roman"/>
          <w:sz w:val="24"/>
          <w:szCs w:val="24"/>
        </w:rPr>
      </w:pPr>
    </w:p>
    <w:p w:rsidR="00482A70" w:rsidRPr="00BE6FA1" w:rsidRDefault="008F12B5"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b/>
          <w:sz w:val="24"/>
          <w:szCs w:val="24"/>
        </w:rPr>
        <w:t>P</w:t>
      </w:r>
      <w:r w:rsidR="00482A70" w:rsidRPr="00BE6FA1">
        <w:rPr>
          <w:rFonts w:ascii="Times New Roman" w:hAnsi="Times New Roman" w:cs="Times New Roman"/>
          <w:b/>
          <w:sz w:val="24"/>
          <w:szCs w:val="24"/>
        </w:rPr>
        <w:t>oziom dopuszczalny</w:t>
      </w:r>
      <w:r w:rsidR="00482A70" w:rsidRPr="00BE6FA1">
        <w:rPr>
          <w:rFonts w:ascii="Times New Roman" w:hAnsi="Times New Roman" w:cs="Times New Roman"/>
          <w:sz w:val="24"/>
          <w:szCs w:val="24"/>
        </w:rPr>
        <w:t xml:space="preserve"> </w:t>
      </w:r>
      <w:r w:rsidR="008A241B" w:rsidRPr="00BE6FA1">
        <w:rPr>
          <w:rFonts w:ascii="Times New Roman" w:hAnsi="Times New Roman" w:cs="Times New Roman"/>
          <w:sz w:val="24"/>
          <w:szCs w:val="24"/>
        </w:rPr>
        <w:t>–</w:t>
      </w:r>
      <w:r w:rsidR="00482A70" w:rsidRPr="00BE6FA1">
        <w:rPr>
          <w:rFonts w:ascii="Times New Roman" w:hAnsi="Times New Roman" w:cs="Times New Roman"/>
          <w:sz w:val="24"/>
          <w:szCs w:val="24"/>
        </w:rPr>
        <w:t xml:space="preserve">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rsidR="00482A70" w:rsidRPr="00BE6FA1" w:rsidRDefault="00482A70" w:rsidP="003A27DA">
      <w:pPr>
        <w:spacing w:after="0" w:line="360" w:lineRule="auto"/>
        <w:jc w:val="both"/>
        <w:rPr>
          <w:rFonts w:ascii="Times New Roman" w:hAnsi="Times New Roman" w:cs="Times New Roman"/>
        </w:rPr>
      </w:pPr>
    </w:p>
    <w:p w:rsidR="00482A70" w:rsidRPr="00BE6FA1" w:rsidRDefault="008A241B" w:rsidP="003A27DA">
      <w:pPr>
        <w:spacing w:after="0" w:line="360" w:lineRule="auto"/>
        <w:jc w:val="both"/>
        <w:rPr>
          <w:rFonts w:ascii="Times New Roman" w:hAnsi="Times New Roman" w:cs="Times New Roman"/>
        </w:rPr>
      </w:pPr>
      <w:r w:rsidRPr="00BE6FA1">
        <w:rPr>
          <w:rFonts w:ascii="Times New Roman" w:hAnsi="Times New Roman" w:cs="Times New Roman"/>
          <w:b/>
          <w:sz w:val="24"/>
          <w:szCs w:val="24"/>
        </w:rPr>
        <w:t>M</w:t>
      </w:r>
      <w:r w:rsidR="00482A70" w:rsidRPr="00BE6FA1">
        <w:rPr>
          <w:rFonts w:ascii="Times New Roman" w:hAnsi="Times New Roman" w:cs="Times New Roman"/>
          <w:b/>
          <w:sz w:val="24"/>
          <w:szCs w:val="24"/>
        </w:rPr>
        <w:t>argines tolerancji</w:t>
      </w:r>
      <w:r w:rsidR="00482A70" w:rsidRPr="00BE6FA1">
        <w:rPr>
          <w:rFonts w:ascii="Times New Roman" w:hAnsi="Times New Roman" w:cs="Times New Roman"/>
          <w:sz w:val="24"/>
          <w:szCs w:val="24"/>
        </w:rPr>
        <w:t xml:space="preserve"> </w:t>
      </w:r>
      <w:r w:rsidRPr="00BE6FA1">
        <w:rPr>
          <w:rFonts w:ascii="Times New Roman" w:hAnsi="Times New Roman" w:cs="Times New Roman"/>
          <w:sz w:val="24"/>
          <w:szCs w:val="24"/>
        </w:rPr>
        <w:t>–</w:t>
      </w:r>
      <w:r w:rsidR="00482A70" w:rsidRPr="00BE6FA1">
        <w:rPr>
          <w:rFonts w:ascii="Times New Roman" w:hAnsi="Times New Roman" w:cs="Times New Roman"/>
          <w:sz w:val="24"/>
          <w:szCs w:val="24"/>
        </w:rPr>
        <w:t xml:space="preserve"> oznacza procentowo określoną część poziomu dopuszczalnego, </w:t>
      </w:r>
      <w:r w:rsidR="00482A70" w:rsidRPr="00BE6FA1">
        <w:rPr>
          <w:rFonts w:ascii="Times New Roman" w:hAnsi="Times New Roman" w:cs="Times New Roman"/>
          <w:sz w:val="24"/>
          <w:szCs w:val="24"/>
        </w:rPr>
        <w:br/>
        <w:t xml:space="preserve">o którą poziom ten może zostać przekroczony, zgodnie z warunkami ustanowionymi </w:t>
      </w:r>
      <w:r w:rsidR="00482A70" w:rsidRPr="00BE6FA1">
        <w:rPr>
          <w:rFonts w:ascii="Times New Roman" w:hAnsi="Times New Roman" w:cs="Times New Roman"/>
          <w:sz w:val="24"/>
          <w:szCs w:val="24"/>
        </w:rPr>
        <w:br/>
        <w:t xml:space="preserve">w Dyrektywie 2008/50/WE. Wartość marginesu tolerancji jest (lub była) stopniowo (corocznie) redukowana, aż do czasu przyjętego jako data wymaganego osiągnięcia stężeń nie wyższych od poziomu dopuszczalnego. Wprowadzenie marginesu tolerancji miało na celu okresowe podniesienie poziomu stężeń, powyżej którego kraje mają obowiązek przygotowywania programów ochrony powietrza. Stworzyło także możliwość uniknięcia kosztownego i czasochłonnego opracowywania POP dla obszarów gdzie, w wyniku działań podjętych wcześniej lub aktualnie prowadzonych, możliwe jest obniżenie stężeń </w:t>
      </w:r>
      <w:r w:rsidR="008F12B5" w:rsidRPr="00BE6FA1">
        <w:rPr>
          <w:rFonts w:ascii="Times New Roman" w:hAnsi="Times New Roman" w:cs="Times New Roman"/>
          <w:sz w:val="24"/>
          <w:szCs w:val="24"/>
        </w:rPr>
        <w:br/>
      </w:r>
      <w:r w:rsidR="00482A70" w:rsidRPr="00BE6FA1">
        <w:rPr>
          <w:rFonts w:ascii="Times New Roman" w:hAnsi="Times New Roman" w:cs="Times New Roman"/>
          <w:sz w:val="24"/>
          <w:szCs w:val="24"/>
        </w:rPr>
        <w:t xml:space="preserve">do wymaganego poziomu w przyjętym terminie. Poziom dopuszczalny powiększony </w:t>
      </w:r>
      <w:r w:rsidR="008F12B5" w:rsidRPr="00BE6FA1">
        <w:rPr>
          <w:rFonts w:ascii="Times New Roman" w:hAnsi="Times New Roman" w:cs="Times New Roman"/>
          <w:sz w:val="24"/>
          <w:szCs w:val="24"/>
        </w:rPr>
        <w:br/>
      </w:r>
      <w:r w:rsidR="00482A70" w:rsidRPr="00BE6FA1">
        <w:rPr>
          <w:rFonts w:ascii="Times New Roman" w:hAnsi="Times New Roman" w:cs="Times New Roman"/>
          <w:sz w:val="24"/>
          <w:szCs w:val="24"/>
        </w:rPr>
        <w:t xml:space="preserve">o margines tolerancji nie może być interpretowany jako poziom dopuszczalny obowiązujący w okresie przejściowym (zanim margines tolerancji osiągnie wartość zero). Jest to jedynie kryterium dla podejmowania niektórych działań w okresie przejściowym, przed wyznaczonym </w:t>
      </w:r>
      <w:r w:rsidR="00482A70" w:rsidRPr="00BE6FA1">
        <w:rPr>
          <w:rFonts w:ascii="Times New Roman" w:hAnsi="Times New Roman" w:cs="Times New Roman"/>
          <w:sz w:val="24"/>
          <w:szCs w:val="24"/>
        </w:rPr>
        <w:lastRenderedPageBreak/>
        <w:t xml:space="preserve">terminem osiągnięcia stężeń nie wyższych od poziomu dopuszczalnego. Obecnie jedynym zanieczyszczeniem, dla którego w rocznej ocenie jakości powietrza uwzględnia się wartość marginesu tolerancji jest pył PM2,5. Dla pozostałych zanieczyszczeń wartość marginesu tolerancji osiągnęła już poziom zerowy i podstawowym kryterium </w:t>
      </w:r>
      <w:r w:rsidR="008F12B5" w:rsidRPr="00BE6FA1">
        <w:rPr>
          <w:rFonts w:ascii="Times New Roman" w:hAnsi="Times New Roman" w:cs="Times New Roman"/>
          <w:sz w:val="24"/>
          <w:szCs w:val="24"/>
        </w:rPr>
        <w:br/>
      </w:r>
      <w:r w:rsidR="00482A70" w:rsidRPr="00BE6FA1">
        <w:rPr>
          <w:rFonts w:ascii="Times New Roman" w:hAnsi="Times New Roman" w:cs="Times New Roman"/>
          <w:sz w:val="24"/>
          <w:szCs w:val="24"/>
        </w:rPr>
        <w:t>do oceny i klasyfikacji stref jest dla nich jedynie poziom dopuszczalny.</w:t>
      </w:r>
    </w:p>
    <w:p w:rsidR="00482A70" w:rsidRPr="00BE6FA1" w:rsidRDefault="00482A70" w:rsidP="003A27DA">
      <w:pPr>
        <w:spacing w:after="0" w:line="360" w:lineRule="auto"/>
        <w:jc w:val="center"/>
        <w:rPr>
          <w:rFonts w:ascii="Times New Roman" w:hAnsi="Times New Roman" w:cs="Times New Roman"/>
          <w:b/>
          <w:sz w:val="24"/>
          <w:szCs w:val="24"/>
        </w:rPr>
      </w:pPr>
    </w:p>
    <w:p w:rsidR="00482A70" w:rsidRPr="00BE6FA1" w:rsidRDefault="00482A70" w:rsidP="003A27DA">
      <w:pPr>
        <w:spacing w:after="0" w:line="360" w:lineRule="auto"/>
        <w:rPr>
          <w:rFonts w:ascii="Times New Roman" w:hAnsi="Times New Roman" w:cs="Times New Roman"/>
          <w:b/>
          <w:sz w:val="24"/>
          <w:szCs w:val="24"/>
        </w:rPr>
      </w:pP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 xml:space="preserve">ROZPORZĄDZENIE MINISTRA ŚRODOWISKA z dnia 24 sierpnia 2012 r. </w:t>
      </w:r>
      <w:r w:rsidRPr="00BE6FA1">
        <w:rPr>
          <w:rFonts w:ascii="Times New Roman" w:hAnsi="Times New Roman" w:cs="Times New Roman"/>
          <w:b/>
          <w:sz w:val="24"/>
          <w:szCs w:val="24"/>
        </w:rPr>
        <w:br/>
        <w:t>w sprawie poziomów niektórych substancji w powietrzu</w:t>
      </w:r>
    </w:p>
    <w:p w:rsidR="00482A70" w:rsidRPr="00BE6FA1" w:rsidRDefault="00482A70" w:rsidP="003A27DA">
      <w:pPr>
        <w:spacing w:after="0" w:line="360" w:lineRule="auto"/>
        <w:ind w:firstLine="708"/>
        <w:jc w:val="both"/>
        <w:rPr>
          <w:rFonts w:ascii="Times New Roman" w:hAnsi="Times New Roman" w:cs="Times New Roman"/>
          <w:sz w:val="28"/>
          <w:szCs w:val="24"/>
        </w:rPr>
      </w:pP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Rozporządzenie określa między innymi:</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1) poziomy dopuszczalne dla niektórych substancji w powietrzu, zróżnicowane ze względu na ochronę zdrowia ludzi oraz ochronę roślin; </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2) poziomy docelowe dla niektórych substancji w powietrzu, zróżnicowane ze względu na ochronę zdrowia ludzi oraz ochronę roślin; </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3) poziomy celów długoterminowych dla niektórych substancji w powietrzu, zróżnicowane ze względu na ochronę zdrowia ludzi oraz ochronę roślin; </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4) okresy, dla których uśrednia się wyniki pomiarów; </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5) dopuszczalną częstość przekraczania poziomów, o których mowa w pkt 1 i 2; </w:t>
      </w:r>
    </w:p>
    <w:p w:rsidR="00482A70" w:rsidRPr="00BE6FA1" w:rsidRDefault="00482A7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6) marginesy tolerancji dla niektórych poziomów dopuszczalnych, wyrażone jako malejąca wartość procentowa w stosunku do dopuszczalnego poziomu substancji </w:t>
      </w:r>
      <w:r w:rsidRPr="00BE6FA1">
        <w:rPr>
          <w:rFonts w:ascii="Times New Roman" w:hAnsi="Times New Roman" w:cs="Times New Roman"/>
          <w:sz w:val="24"/>
        </w:rPr>
        <w:br/>
        <w:t xml:space="preserve">w powietrzu w kolejnych latach. </w:t>
      </w: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F6725C" w:rsidRPr="00BE6FA1" w:rsidTr="009107A4">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SO</w:t>
            </w:r>
            <w:r w:rsidRPr="00BE6FA1">
              <w:rPr>
                <w:rFonts w:ascii="Times New Roman" w:hAnsi="Times New Roman" w:cs="Times New Roman"/>
                <w:b/>
                <w:sz w:val="24"/>
                <w:szCs w:val="24"/>
                <w:vertAlign w:val="subscript"/>
              </w:rPr>
              <w:t>2</w:t>
            </w:r>
            <w:r w:rsidRPr="00BE6FA1">
              <w:rPr>
                <w:rFonts w:ascii="Times New Roman" w:hAnsi="Times New Roman" w:cs="Times New Roman"/>
                <w:b/>
                <w:sz w:val="24"/>
                <w:szCs w:val="24"/>
              </w:rPr>
              <w:t xml:space="preserve">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F6725C"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jedna godzina</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350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24 razy</w:t>
            </w:r>
          </w:p>
        </w:tc>
      </w:tr>
      <w:tr w:rsidR="00482A70"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24 godziny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125</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3 razy</w:t>
            </w:r>
          </w:p>
        </w:tc>
      </w:tr>
    </w:tbl>
    <w:p w:rsidR="00626E1F" w:rsidRPr="00BE6FA1" w:rsidRDefault="00626E1F" w:rsidP="003A27DA">
      <w:pPr>
        <w:spacing w:after="0" w:line="360" w:lineRule="auto"/>
        <w:rPr>
          <w:rFonts w:ascii="Times New Roman"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2B314D" w:rsidRPr="00BE6FA1" w:rsidTr="009107A4">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NO</w:t>
            </w:r>
            <w:r w:rsidRPr="00BE6FA1">
              <w:rPr>
                <w:rFonts w:ascii="Times New Roman" w:hAnsi="Times New Roman" w:cs="Times New Roman"/>
                <w:b/>
                <w:sz w:val="24"/>
                <w:szCs w:val="24"/>
                <w:vertAlign w:val="subscript"/>
              </w:rPr>
              <w:t>2</w:t>
            </w:r>
            <w:r w:rsidRPr="00BE6FA1">
              <w:rPr>
                <w:rFonts w:ascii="Times New Roman" w:hAnsi="Times New Roman" w:cs="Times New Roman"/>
                <w:b/>
                <w:sz w:val="24"/>
                <w:szCs w:val="24"/>
              </w:rPr>
              <w:t xml:space="preserve">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2B314D"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jedna godzina</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200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18 razy</w:t>
            </w:r>
          </w:p>
        </w:tc>
      </w:tr>
      <w:tr w:rsidR="002B314D"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40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w:t>
            </w:r>
          </w:p>
        </w:tc>
      </w:tr>
      <w:tr w:rsidR="002B314D" w:rsidRPr="00BE6FA1" w:rsidTr="009107A4">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lastRenderedPageBreak/>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CO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2B314D"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osiem godzin</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10 000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w:t>
            </w:r>
          </w:p>
        </w:tc>
      </w:tr>
    </w:tbl>
    <w:p w:rsidR="00482A70" w:rsidRPr="00BE6FA1" w:rsidRDefault="00482A70" w:rsidP="003A27DA">
      <w:pPr>
        <w:spacing w:after="0" w:line="360" w:lineRule="auto"/>
        <w:rPr>
          <w:rFonts w:ascii="Times New Roman" w:hAnsi="Times New Roman" w:cs="Times New Roman"/>
          <w:sz w:val="24"/>
          <w:szCs w:val="24"/>
        </w:rPr>
      </w:pPr>
    </w:p>
    <w:p w:rsidR="00626E1F" w:rsidRPr="00BE6FA1" w:rsidRDefault="00626E1F" w:rsidP="003A27DA">
      <w:pPr>
        <w:spacing w:after="0" w:line="360" w:lineRule="auto"/>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3016"/>
        <w:gridCol w:w="3019"/>
        <w:gridCol w:w="3027"/>
      </w:tblGrid>
      <w:tr w:rsidR="00626E1F" w:rsidRPr="00BE6FA1" w:rsidTr="009107A4">
        <w:tc>
          <w:tcPr>
            <w:tcW w:w="3070" w:type="dxa"/>
            <w:vAlign w:val="center"/>
          </w:tcPr>
          <w:p w:rsidR="00626E1F" w:rsidRPr="00BE6FA1" w:rsidRDefault="00626E1F"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3071" w:type="dxa"/>
            <w:vAlign w:val="center"/>
          </w:tcPr>
          <w:p w:rsidR="00626E1F" w:rsidRPr="00BE6FA1" w:rsidRDefault="00626E1F"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626E1F" w:rsidRPr="00BE6FA1" w:rsidRDefault="00626E1F"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benzenu w powietrzu</w:t>
            </w:r>
          </w:p>
          <w:p w:rsidR="00626E1F" w:rsidRPr="00BE6FA1" w:rsidRDefault="00626E1F" w:rsidP="003A27DA">
            <w:pPr>
              <w:spacing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071" w:type="dxa"/>
            <w:vAlign w:val="center"/>
          </w:tcPr>
          <w:p w:rsidR="00626E1F" w:rsidRPr="00BE6FA1" w:rsidRDefault="00626E1F"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626E1F" w:rsidRPr="00BE6FA1" w:rsidTr="009107A4">
        <w:tc>
          <w:tcPr>
            <w:tcW w:w="3070" w:type="dxa"/>
            <w:vAlign w:val="center"/>
          </w:tcPr>
          <w:p w:rsidR="00626E1F" w:rsidRPr="00BE6FA1" w:rsidRDefault="00626E1F"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3071" w:type="dxa"/>
            <w:vAlign w:val="center"/>
          </w:tcPr>
          <w:p w:rsidR="00626E1F" w:rsidRPr="00BE6FA1" w:rsidRDefault="00626E1F"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w:t>
            </w:r>
          </w:p>
        </w:tc>
        <w:tc>
          <w:tcPr>
            <w:tcW w:w="3071" w:type="dxa"/>
            <w:vAlign w:val="center"/>
          </w:tcPr>
          <w:p w:rsidR="00626E1F" w:rsidRPr="00BE6FA1" w:rsidRDefault="00626E1F"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w:t>
            </w:r>
          </w:p>
        </w:tc>
      </w:tr>
    </w:tbl>
    <w:p w:rsidR="00626E1F" w:rsidRPr="00BE6FA1" w:rsidRDefault="00626E1F" w:rsidP="003A27DA">
      <w:pPr>
        <w:spacing w:after="0" w:line="360" w:lineRule="auto"/>
        <w:rPr>
          <w:rFonts w:ascii="Times New Roman" w:hAnsi="Times New Roman" w:cs="Times New Roman"/>
          <w:sz w:val="24"/>
          <w:szCs w:val="24"/>
        </w:rPr>
      </w:pPr>
    </w:p>
    <w:p w:rsidR="00626E1F" w:rsidRPr="00BE6FA1" w:rsidRDefault="00626E1F" w:rsidP="003A27DA">
      <w:pPr>
        <w:spacing w:after="0" w:line="360" w:lineRule="auto"/>
        <w:rPr>
          <w:rFonts w:ascii="Times New Roman"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482A70" w:rsidRPr="00BE6FA1" w:rsidTr="009107A4">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PM 10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482A70"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40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w:t>
            </w:r>
          </w:p>
        </w:tc>
      </w:tr>
      <w:tr w:rsidR="00482A70"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24 godziny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50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35 razy</w:t>
            </w:r>
          </w:p>
        </w:tc>
      </w:tr>
    </w:tbl>
    <w:p w:rsidR="00482A70" w:rsidRPr="00BE6FA1" w:rsidRDefault="00482A70" w:rsidP="003A27DA">
      <w:pPr>
        <w:spacing w:after="0" w:line="360" w:lineRule="auto"/>
        <w:rPr>
          <w:rFonts w:ascii="Times New Roman" w:hAnsi="Times New Roman" w:cs="Times New Roman"/>
          <w:sz w:val="24"/>
          <w:szCs w:val="24"/>
        </w:rPr>
      </w:pPr>
    </w:p>
    <w:p w:rsidR="00DA35BD" w:rsidRPr="00BE6FA1" w:rsidRDefault="00DA35BD" w:rsidP="003A27DA">
      <w:pPr>
        <w:spacing w:after="0" w:line="360" w:lineRule="auto"/>
        <w:rPr>
          <w:rFonts w:ascii="Times New Roman" w:hAnsi="Times New Roman" w:cs="Times New Roman"/>
          <w:sz w:val="24"/>
          <w:szCs w:val="24"/>
        </w:rPr>
      </w:pPr>
    </w:p>
    <w:tbl>
      <w:tblPr>
        <w:tblW w:w="5000" w:type="pct"/>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4291"/>
        <w:gridCol w:w="793"/>
        <w:gridCol w:w="799"/>
        <w:gridCol w:w="794"/>
        <w:gridCol w:w="799"/>
        <w:gridCol w:w="794"/>
        <w:gridCol w:w="792"/>
      </w:tblGrid>
      <w:tr w:rsidR="00482A70" w:rsidRPr="00BE6FA1" w:rsidTr="009107A4">
        <w:tc>
          <w:tcPr>
            <w:tcW w:w="4299" w:type="dxa"/>
            <w:vMerge w:val="restart"/>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 xml:space="preserve">Poziom </w:t>
            </w:r>
            <w:r w:rsidR="00626E1F" w:rsidRPr="00BE6FA1">
              <w:rPr>
                <w:rFonts w:ascii="Times New Roman" w:hAnsi="Times New Roman" w:cs="Times New Roman"/>
                <w:b/>
                <w:sz w:val="24"/>
                <w:szCs w:val="24"/>
              </w:rPr>
              <w:t xml:space="preserve">dopuszczalny PM2.5 </w:t>
            </w:r>
            <w:r w:rsidR="00626E1F" w:rsidRPr="00BE6FA1">
              <w:rPr>
                <w:rFonts w:ascii="Times New Roman" w:hAnsi="Times New Roman" w:cs="Times New Roman"/>
                <w:b/>
                <w:sz w:val="24"/>
                <w:szCs w:val="24"/>
              </w:rPr>
              <w:br/>
              <w:t xml:space="preserve">w </w:t>
            </w:r>
            <w:r w:rsidRPr="00BE6FA1">
              <w:rPr>
                <w:rFonts w:ascii="Times New Roman" w:hAnsi="Times New Roman" w:cs="Times New Roman"/>
                <w:b/>
                <w:sz w:val="24"/>
                <w:szCs w:val="24"/>
              </w:rPr>
              <w:t>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4772"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Poziom dopusz</w:t>
            </w:r>
            <w:r w:rsidR="00626E1F" w:rsidRPr="00BE6FA1">
              <w:rPr>
                <w:rFonts w:ascii="Times New Roman" w:hAnsi="Times New Roman" w:cs="Times New Roman"/>
                <w:b/>
                <w:sz w:val="24"/>
                <w:szCs w:val="24"/>
              </w:rPr>
              <w:t xml:space="preserve">czalny PM 2,5 w powietrzu wraz </w:t>
            </w:r>
            <w:r w:rsidRPr="00BE6FA1">
              <w:rPr>
                <w:rFonts w:ascii="Times New Roman" w:hAnsi="Times New Roman" w:cs="Times New Roman"/>
                <w:b/>
                <w:sz w:val="24"/>
                <w:szCs w:val="24"/>
              </w:rPr>
              <w:t>z marginesem tolerancji [µg/m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r>
      <w:tr w:rsidR="00482A70" w:rsidRPr="00BE6FA1" w:rsidTr="009107A4">
        <w:tc>
          <w:tcPr>
            <w:tcW w:w="4299" w:type="dxa"/>
            <w:vMerge/>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line="360" w:lineRule="auto"/>
              <w:rPr>
                <w:rFonts w:ascii="Times New Roman" w:hAnsi="Times New Roman" w:cs="Times New Roman"/>
                <w:sz w:val="24"/>
                <w:szCs w:val="24"/>
              </w:rPr>
            </w:pPr>
          </w:p>
        </w:tc>
        <w:tc>
          <w:tcPr>
            <w:tcW w:w="794" w:type="dxa"/>
            <w:tcBorders>
              <w:top w:val="single" w:sz="12"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2010</w:t>
            </w:r>
          </w:p>
        </w:tc>
        <w:tc>
          <w:tcPr>
            <w:tcW w:w="799" w:type="dxa"/>
            <w:tcBorders>
              <w:top w:val="single" w:sz="12"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2011</w:t>
            </w:r>
          </w:p>
        </w:tc>
        <w:tc>
          <w:tcPr>
            <w:tcW w:w="794" w:type="dxa"/>
            <w:tcBorders>
              <w:top w:val="single" w:sz="12"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2012</w:t>
            </w:r>
          </w:p>
        </w:tc>
        <w:tc>
          <w:tcPr>
            <w:tcW w:w="799" w:type="dxa"/>
            <w:tcBorders>
              <w:top w:val="single" w:sz="12"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2013</w:t>
            </w:r>
          </w:p>
        </w:tc>
        <w:tc>
          <w:tcPr>
            <w:tcW w:w="794" w:type="dxa"/>
            <w:tcBorders>
              <w:top w:val="single" w:sz="12"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2014</w:t>
            </w:r>
          </w:p>
        </w:tc>
        <w:tc>
          <w:tcPr>
            <w:tcW w:w="792" w:type="dxa"/>
            <w:tcBorders>
              <w:top w:val="single" w:sz="12"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2015</w:t>
            </w:r>
          </w:p>
        </w:tc>
      </w:tr>
      <w:tr w:rsidR="00482A70" w:rsidRPr="00BE6FA1" w:rsidTr="009107A4">
        <w:tc>
          <w:tcPr>
            <w:tcW w:w="42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25</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29</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28</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27</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26</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26</w:t>
            </w:r>
          </w:p>
        </w:tc>
        <w:tc>
          <w:tcPr>
            <w:tcW w:w="7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25</w:t>
            </w:r>
          </w:p>
        </w:tc>
      </w:tr>
    </w:tbl>
    <w:p w:rsidR="00482A70" w:rsidRPr="00BE6FA1" w:rsidRDefault="00482A70" w:rsidP="003A27DA">
      <w:pPr>
        <w:spacing w:after="0" w:line="360" w:lineRule="auto"/>
        <w:rPr>
          <w:rFonts w:ascii="Times New Roman" w:hAnsi="Times New Roman" w:cs="Times New Roman"/>
          <w:sz w:val="24"/>
          <w:szCs w:val="24"/>
        </w:rPr>
      </w:pPr>
    </w:p>
    <w:p w:rsidR="00482A70" w:rsidRPr="00BE6FA1" w:rsidRDefault="00482A70" w:rsidP="003A27DA">
      <w:pPr>
        <w:spacing w:after="0" w:line="360" w:lineRule="auto"/>
        <w:rPr>
          <w:rFonts w:ascii="Times New Roman"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482A70" w:rsidRPr="00BE6FA1" w:rsidTr="009107A4">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Dopuszczalny poziom</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Pb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Dopuszczana częstość przekroczenia dopuszczalnego poziomu w roku kalendarzowym</w:t>
            </w:r>
          </w:p>
        </w:tc>
      </w:tr>
      <w:tr w:rsidR="00482A70" w:rsidRPr="00BE6FA1" w:rsidTr="009107A4">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0,5</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w:t>
            </w:r>
          </w:p>
        </w:tc>
      </w:tr>
    </w:tbl>
    <w:p w:rsidR="00482A70" w:rsidRPr="00BE6FA1" w:rsidRDefault="00482A70" w:rsidP="003A27DA">
      <w:pPr>
        <w:spacing w:after="0" w:line="360" w:lineRule="auto"/>
        <w:rPr>
          <w:rFonts w:ascii="Times New Roman" w:hAnsi="Times New Roman" w:cs="Times New Roman"/>
          <w:sz w:val="24"/>
          <w:szCs w:val="24"/>
        </w:rPr>
      </w:pPr>
    </w:p>
    <w:p w:rsidR="00482A70" w:rsidRPr="00BE6FA1" w:rsidRDefault="00482A70" w:rsidP="003A27DA">
      <w:pPr>
        <w:spacing w:after="0" w:line="360" w:lineRule="auto"/>
        <w:rPr>
          <w:rFonts w:ascii="Times New Roman" w:hAnsi="Times New Roman" w:cs="Times New Roman"/>
          <w:sz w:val="24"/>
          <w:szCs w:val="24"/>
        </w:rPr>
      </w:pPr>
    </w:p>
    <w:p w:rsidR="00DA35BD" w:rsidRPr="00BE6FA1" w:rsidRDefault="00DA35BD" w:rsidP="003A27DA">
      <w:pPr>
        <w:spacing w:after="0" w:line="360" w:lineRule="auto"/>
        <w:rPr>
          <w:rFonts w:ascii="Times New Roman"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3070"/>
        <w:gridCol w:w="3071"/>
        <w:gridCol w:w="3071"/>
      </w:tblGrid>
      <w:tr w:rsidR="00482A70" w:rsidRPr="00BE6FA1" w:rsidTr="009107A4">
        <w:tc>
          <w:tcPr>
            <w:tcW w:w="3070"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lastRenderedPageBreak/>
              <w:t>Zanieczyszczenie</w:t>
            </w:r>
          </w:p>
        </w:tc>
        <w:tc>
          <w:tcPr>
            <w:tcW w:w="3071" w:type="dxa"/>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 uśredniania stężeń</w:t>
            </w:r>
          </w:p>
        </w:tc>
        <w:tc>
          <w:tcPr>
            <w:tcW w:w="3071"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626E1F"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Docelowy poziom substancji</w:t>
            </w:r>
            <w:r w:rsidR="00482A70" w:rsidRPr="00BE6FA1">
              <w:rPr>
                <w:rFonts w:ascii="Times New Roman" w:hAnsi="Times New Roman" w:cs="Times New Roman"/>
                <w:b/>
                <w:sz w:val="24"/>
                <w:szCs w:val="24"/>
              </w:rPr>
              <w:t xml:space="preserve"> 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[ng/m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r>
      <w:tr w:rsidR="00482A70" w:rsidRPr="00BE6FA1" w:rsidTr="009107A4">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Arsen</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6</w:t>
            </w:r>
          </w:p>
        </w:tc>
      </w:tr>
      <w:tr w:rsidR="00482A70" w:rsidRPr="00BE6FA1" w:rsidTr="009107A4">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Benzo(a)piren</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w:t>
            </w:r>
          </w:p>
        </w:tc>
      </w:tr>
      <w:tr w:rsidR="00482A70" w:rsidRPr="00BE6FA1" w:rsidTr="009107A4">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Kadm</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5</w:t>
            </w:r>
          </w:p>
        </w:tc>
      </w:tr>
      <w:tr w:rsidR="00482A70" w:rsidRPr="00BE6FA1" w:rsidTr="009107A4">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Nikiel</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20</w:t>
            </w:r>
          </w:p>
        </w:tc>
      </w:tr>
    </w:tbl>
    <w:p w:rsidR="00482A70" w:rsidRPr="00BE6FA1" w:rsidRDefault="00482A70" w:rsidP="003A27DA">
      <w:pPr>
        <w:spacing w:after="0" w:line="360" w:lineRule="auto"/>
        <w:rPr>
          <w:rFonts w:ascii="Times New Roman" w:hAnsi="Times New Roman" w:cs="Times New Roman"/>
          <w:sz w:val="24"/>
          <w:szCs w:val="24"/>
        </w:rPr>
      </w:pPr>
    </w:p>
    <w:p w:rsidR="00482A70" w:rsidRPr="00BE6FA1" w:rsidRDefault="00482A70" w:rsidP="003A27DA">
      <w:pPr>
        <w:spacing w:after="0" w:line="360" w:lineRule="auto"/>
        <w:rPr>
          <w:rFonts w:ascii="Times New Roman" w:hAnsi="Times New Roman" w:cs="Times New Roman"/>
          <w:sz w:val="24"/>
          <w:szCs w:val="24"/>
        </w:rPr>
      </w:pPr>
    </w:p>
    <w:tbl>
      <w:tblPr>
        <w:tblW w:w="5000" w:type="pct"/>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113"/>
        <w:gridCol w:w="1501"/>
        <w:gridCol w:w="2624"/>
        <w:gridCol w:w="2824"/>
      </w:tblGrid>
      <w:tr w:rsidR="00482A70" w:rsidRPr="00BE6FA1" w:rsidTr="00626E1F">
        <w:tc>
          <w:tcPr>
            <w:tcW w:w="1166" w:type="pct"/>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Kryterium</w:t>
            </w:r>
          </w:p>
        </w:tc>
        <w:tc>
          <w:tcPr>
            <w:tcW w:w="828" w:type="pct"/>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Okres</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uśredniania</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stężeń</w:t>
            </w:r>
          </w:p>
        </w:tc>
        <w:tc>
          <w:tcPr>
            <w:tcW w:w="1448" w:type="pct"/>
            <w:tcBorders>
              <w:top w:val="single" w:sz="4" w:space="0" w:color="00000A"/>
              <w:left w:val="single" w:sz="4" w:space="0" w:color="00000A"/>
              <w:bottom w:val="single" w:sz="12"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Poziom docel</w:t>
            </w:r>
            <w:r w:rsidR="00626E1F" w:rsidRPr="00BE6FA1">
              <w:rPr>
                <w:rFonts w:ascii="Times New Roman" w:hAnsi="Times New Roman" w:cs="Times New Roman"/>
                <w:b/>
                <w:sz w:val="24"/>
                <w:szCs w:val="24"/>
              </w:rPr>
              <w:t xml:space="preserve">owy </w:t>
            </w:r>
            <w:r w:rsidR="00626E1F" w:rsidRPr="00BE6FA1">
              <w:rPr>
                <w:rFonts w:ascii="Times New Roman" w:hAnsi="Times New Roman" w:cs="Times New Roman"/>
                <w:b/>
                <w:sz w:val="24"/>
                <w:szCs w:val="24"/>
              </w:rPr>
              <w:br/>
              <w:t xml:space="preserve">i celu długoterminowego dla </w:t>
            </w:r>
            <w:r w:rsidRPr="00BE6FA1">
              <w:rPr>
                <w:rFonts w:ascii="Times New Roman" w:hAnsi="Times New Roman" w:cs="Times New Roman"/>
                <w:b/>
                <w:sz w:val="24"/>
                <w:szCs w:val="24"/>
              </w:rPr>
              <w:t>O</w:t>
            </w:r>
            <w:r w:rsidRPr="00BE6FA1">
              <w:rPr>
                <w:rFonts w:ascii="Times New Roman" w:hAnsi="Times New Roman" w:cs="Times New Roman"/>
                <w:b/>
                <w:sz w:val="24"/>
                <w:szCs w:val="24"/>
                <w:vertAlign w:val="subscript"/>
              </w:rPr>
              <w:t>3</w:t>
            </w:r>
            <w:r w:rsidRPr="00BE6FA1">
              <w:rPr>
                <w:rFonts w:ascii="Times New Roman" w:hAnsi="Times New Roman" w:cs="Times New Roman"/>
                <w:b/>
                <w:sz w:val="24"/>
                <w:szCs w:val="24"/>
              </w:rPr>
              <w:t>w powietrzu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b/>
                <w:sz w:val="24"/>
                <w:szCs w:val="24"/>
              </w:rPr>
              <w:t>[μg/m</w:t>
            </w:r>
            <w:r w:rsidRPr="00BE6FA1">
              <w:rPr>
                <w:rFonts w:ascii="Times New Roman" w:hAnsi="Times New Roman" w:cs="Times New Roman"/>
                <w:b/>
                <w:sz w:val="24"/>
                <w:szCs w:val="24"/>
                <w:vertAlign w:val="superscript"/>
              </w:rPr>
              <w:t>3</w:t>
            </w:r>
            <w:r w:rsidRPr="00BE6FA1">
              <w:rPr>
                <w:rFonts w:ascii="Times New Roman" w:hAnsi="Times New Roman" w:cs="Times New Roman"/>
                <w:b/>
                <w:sz w:val="24"/>
                <w:szCs w:val="24"/>
              </w:rPr>
              <w:t>]</w:t>
            </w:r>
          </w:p>
        </w:tc>
        <w:tc>
          <w:tcPr>
            <w:tcW w:w="1558" w:type="pct"/>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482A70" w:rsidRPr="00BE6FA1" w:rsidRDefault="00322F6C"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 xml:space="preserve">Dopuszczana liczba dni z </w:t>
            </w:r>
            <w:r w:rsidR="00482A70" w:rsidRPr="00BE6FA1">
              <w:rPr>
                <w:rFonts w:ascii="Times New Roman" w:hAnsi="Times New Roman" w:cs="Times New Roman"/>
                <w:b/>
                <w:sz w:val="24"/>
                <w:szCs w:val="24"/>
              </w:rPr>
              <w:t xml:space="preserve">przekroczeniami </w:t>
            </w:r>
            <w:r w:rsidRPr="00BE6FA1">
              <w:rPr>
                <w:rFonts w:ascii="Times New Roman" w:hAnsi="Times New Roman" w:cs="Times New Roman"/>
                <w:b/>
                <w:sz w:val="24"/>
                <w:szCs w:val="24"/>
              </w:rPr>
              <w:t xml:space="preserve">poziomu docelowego </w:t>
            </w:r>
            <w:r w:rsidR="00482A70" w:rsidRPr="00BE6FA1">
              <w:rPr>
                <w:rFonts w:ascii="Times New Roman" w:hAnsi="Times New Roman" w:cs="Times New Roman"/>
                <w:b/>
                <w:sz w:val="24"/>
                <w:szCs w:val="24"/>
              </w:rPr>
              <w:t>w roku</w:t>
            </w:r>
          </w:p>
          <w:p w:rsidR="00482A70" w:rsidRPr="00BE6FA1" w:rsidRDefault="00482A70" w:rsidP="003A27DA">
            <w:pPr>
              <w:spacing w:after="0"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kalendarzowym</w:t>
            </w:r>
          </w:p>
        </w:tc>
      </w:tr>
      <w:tr w:rsidR="00482A70" w:rsidRPr="00BE6FA1" w:rsidTr="00626E1F">
        <w:tc>
          <w:tcPr>
            <w:tcW w:w="116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Poziom docelowy</w:t>
            </w:r>
          </w:p>
        </w:tc>
        <w:tc>
          <w:tcPr>
            <w:tcW w:w="82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8-godzin</w:t>
            </w:r>
          </w:p>
        </w:tc>
        <w:tc>
          <w:tcPr>
            <w:tcW w:w="144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120</w:t>
            </w:r>
          </w:p>
        </w:tc>
        <w:tc>
          <w:tcPr>
            <w:tcW w:w="155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25 dni</w:t>
            </w:r>
          </w:p>
        </w:tc>
      </w:tr>
      <w:tr w:rsidR="00482A70" w:rsidRPr="00BE6FA1" w:rsidTr="00626E1F">
        <w:tc>
          <w:tcPr>
            <w:tcW w:w="116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Poziom celu</w:t>
            </w:r>
          </w:p>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długoterminowego</w:t>
            </w:r>
          </w:p>
        </w:tc>
        <w:tc>
          <w:tcPr>
            <w:tcW w:w="82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8-godzin</w:t>
            </w:r>
          </w:p>
        </w:tc>
        <w:tc>
          <w:tcPr>
            <w:tcW w:w="144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120</w:t>
            </w:r>
          </w:p>
        </w:tc>
        <w:tc>
          <w:tcPr>
            <w:tcW w:w="155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A70" w:rsidRPr="00BE6FA1" w:rsidRDefault="00482A70" w:rsidP="003A27DA">
            <w:pPr>
              <w:spacing w:after="0" w:line="360" w:lineRule="auto"/>
              <w:jc w:val="center"/>
              <w:rPr>
                <w:rFonts w:ascii="Times New Roman" w:hAnsi="Times New Roman" w:cs="Times New Roman"/>
                <w:sz w:val="24"/>
                <w:szCs w:val="24"/>
              </w:rPr>
            </w:pPr>
            <w:r w:rsidRPr="00BE6FA1">
              <w:rPr>
                <w:rFonts w:ascii="Times New Roman" w:hAnsi="Times New Roman" w:cs="Times New Roman"/>
                <w:sz w:val="24"/>
                <w:szCs w:val="24"/>
              </w:rPr>
              <w:t>nie dotyczy (określana jest wartość max)</w:t>
            </w:r>
          </w:p>
        </w:tc>
      </w:tr>
    </w:tbl>
    <w:p w:rsidR="00626E1F" w:rsidRPr="00BE6FA1" w:rsidRDefault="00626E1F" w:rsidP="003A27DA">
      <w:pPr>
        <w:spacing w:line="360" w:lineRule="auto"/>
        <w:rPr>
          <w:rFonts w:ascii="Times New Roman" w:hAnsi="Times New Roman" w:cs="Times New Roman"/>
          <w:sz w:val="24"/>
          <w:szCs w:val="24"/>
        </w:rPr>
      </w:pPr>
    </w:p>
    <w:p w:rsidR="006B691A" w:rsidRPr="00BE6FA1" w:rsidRDefault="006B691A" w:rsidP="003A27DA">
      <w:pPr>
        <w:spacing w:line="360" w:lineRule="auto"/>
        <w:rPr>
          <w:rFonts w:ascii="Times New Roman" w:hAnsi="Times New Roman" w:cs="Times New Roman"/>
          <w:sz w:val="24"/>
          <w:szCs w:val="24"/>
        </w:rPr>
      </w:pPr>
    </w:p>
    <w:p w:rsidR="008E278F" w:rsidRPr="00BE6FA1" w:rsidRDefault="001538DB" w:rsidP="003A27DA">
      <w:pPr>
        <w:pStyle w:val="Nagwek2"/>
        <w:spacing w:line="360" w:lineRule="auto"/>
        <w:rPr>
          <w:rFonts w:ascii="Times New Roman" w:hAnsi="Times New Roman" w:cs="Times New Roman"/>
          <w:color w:val="auto"/>
        </w:rPr>
      </w:pPr>
      <w:bookmarkStart w:id="54" w:name="_Toc449097737"/>
      <w:r w:rsidRPr="00BE6FA1">
        <w:rPr>
          <w:rFonts w:ascii="Times New Roman" w:hAnsi="Times New Roman" w:cs="Times New Roman"/>
          <w:color w:val="auto"/>
        </w:rPr>
        <w:t>Waru</w:t>
      </w:r>
      <w:r w:rsidR="001F0217" w:rsidRPr="00BE6FA1">
        <w:rPr>
          <w:rFonts w:ascii="Times New Roman" w:hAnsi="Times New Roman" w:cs="Times New Roman"/>
          <w:color w:val="auto"/>
        </w:rPr>
        <w:t>nki meteorologiczne na terenie Miasta i G</w:t>
      </w:r>
      <w:r w:rsidRPr="00BE6FA1">
        <w:rPr>
          <w:rFonts w:ascii="Times New Roman" w:hAnsi="Times New Roman" w:cs="Times New Roman"/>
          <w:color w:val="auto"/>
        </w:rPr>
        <w:t>miny Kańczuga</w:t>
      </w:r>
      <w:bookmarkEnd w:id="54"/>
    </w:p>
    <w:p w:rsidR="006B691A" w:rsidRPr="00BE6FA1" w:rsidRDefault="006B691A" w:rsidP="006B691A">
      <w:pPr>
        <w:rPr>
          <w:rFonts w:ascii="Times New Roman" w:hAnsi="Times New Roman" w:cs="Times New Roman"/>
        </w:rPr>
      </w:pPr>
    </w:p>
    <w:p w:rsidR="008E278F" w:rsidRPr="00BE6FA1" w:rsidRDefault="001538DB" w:rsidP="00DA35BD">
      <w:pPr>
        <w:spacing w:before="120" w:line="360" w:lineRule="auto"/>
        <w:rPr>
          <w:rFonts w:ascii="Times New Roman" w:hAnsi="Times New Roman" w:cs="Times New Roman"/>
          <w:b/>
          <w:sz w:val="24"/>
        </w:rPr>
      </w:pPr>
      <w:r w:rsidRPr="00BE6FA1">
        <w:rPr>
          <w:rFonts w:ascii="Times New Roman" w:hAnsi="Times New Roman" w:cs="Times New Roman"/>
          <w:b/>
          <w:sz w:val="24"/>
        </w:rPr>
        <w:t>Prędkość i kierunek wiatru</w:t>
      </w:r>
    </w:p>
    <w:p w:rsidR="008E278F" w:rsidRPr="00BE6FA1" w:rsidRDefault="008E278F"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Na rozprzestrzenianie się zanieczyszczeń w powietrzu istotny wpływ mają prędkości oraz kierunki wiatrów. Cisze wiatrowe oraz niewielkie prędkości wiatru mają negatywny wpływ na poziomą wentylację powietrza, przyczyniając się do</w:t>
      </w:r>
      <w:r w:rsidR="00DA35BD" w:rsidRPr="00BE6FA1">
        <w:rPr>
          <w:rFonts w:ascii="Times New Roman" w:hAnsi="Times New Roman" w:cs="Times New Roman"/>
          <w:sz w:val="24"/>
        </w:rPr>
        <w:t xml:space="preserve"> wzrostu stężeń zanieczyszczeń.</w:t>
      </w:r>
      <w:r w:rsidRPr="00BE6FA1">
        <w:rPr>
          <w:rFonts w:ascii="Times New Roman" w:hAnsi="Times New Roman" w:cs="Times New Roman"/>
          <w:sz w:val="24"/>
        </w:rPr>
        <w:t xml:space="preserve"> Prędkość wiatru wpływa na tempo przemieszczania powietrza wraz </w:t>
      </w:r>
      <w:r w:rsidR="00DA35BD" w:rsidRPr="00BE6FA1">
        <w:rPr>
          <w:rFonts w:ascii="Times New Roman" w:hAnsi="Times New Roman" w:cs="Times New Roman"/>
          <w:sz w:val="24"/>
        </w:rPr>
        <w:br/>
      </w:r>
      <w:r w:rsidRPr="00BE6FA1">
        <w:rPr>
          <w:rFonts w:ascii="Times New Roman" w:hAnsi="Times New Roman" w:cs="Times New Roman"/>
          <w:sz w:val="24"/>
        </w:rPr>
        <w:t>z zanieczyszczeniami, natomiast kierunek decyduje o trasie ich transportu. Rozkład przestrzenny średniej rocznej prędkości wiatru w 2014 roku w województwie podkarpackim charakteryzował się niewielką zmiennością. Na przeważającym obszarze województwa średnie prędkości wiatru wahały się w zakresie 3,5 – 4,0 m/s. Średnia roczna prędkość wiatru w województwie podkarpackim w 2014 r. nie przekraczała 5,0 m/s.</w:t>
      </w:r>
    </w:p>
    <w:p w:rsidR="00DA35BD" w:rsidRPr="00BE6FA1" w:rsidRDefault="00DA35BD" w:rsidP="003A27DA">
      <w:pPr>
        <w:spacing w:after="0" w:line="360" w:lineRule="auto"/>
        <w:ind w:firstLine="708"/>
        <w:jc w:val="both"/>
        <w:rPr>
          <w:rFonts w:ascii="Times New Roman" w:hAnsi="Times New Roman" w:cs="Times New Roman"/>
          <w:sz w:val="24"/>
        </w:rPr>
      </w:pPr>
    </w:p>
    <w:p w:rsidR="001538DB" w:rsidRPr="00BE6FA1" w:rsidRDefault="008E278F"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 xml:space="preserve">Poniższe mapy pokazują, iż na terenie </w:t>
      </w:r>
      <w:r w:rsidR="001F0217" w:rsidRPr="00BE6FA1">
        <w:rPr>
          <w:rFonts w:ascii="Times New Roman" w:hAnsi="Times New Roman" w:cs="Times New Roman"/>
          <w:sz w:val="24"/>
        </w:rPr>
        <w:t xml:space="preserve">Miasta i </w:t>
      </w:r>
      <w:r w:rsidRPr="00BE6FA1">
        <w:rPr>
          <w:rFonts w:ascii="Times New Roman" w:hAnsi="Times New Roman" w:cs="Times New Roman"/>
          <w:sz w:val="24"/>
        </w:rPr>
        <w:t xml:space="preserve">Gminy Kańczuga średnia roczna prędkość wiatru kształtowała się w granicach 3,5 – </w:t>
      </w:r>
      <w:r w:rsidR="008F242F" w:rsidRPr="00BE6FA1">
        <w:rPr>
          <w:rFonts w:ascii="Times New Roman" w:hAnsi="Times New Roman" w:cs="Times New Roman"/>
          <w:sz w:val="24"/>
        </w:rPr>
        <w:t>5</w:t>
      </w:r>
      <w:r w:rsidRPr="00BE6FA1">
        <w:rPr>
          <w:rFonts w:ascii="Times New Roman" w:hAnsi="Times New Roman" w:cs="Times New Roman"/>
          <w:sz w:val="24"/>
        </w:rPr>
        <w:t xml:space="preserve"> m/s. Dominowały wiatry z kierunków południowo-zachodnich oraz </w:t>
      </w:r>
      <w:r w:rsidR="008F242F" w:rsidRPr="00BE6FA1">
        <w:rPr>
          <w:rFonts w:ascii="Times New Roman" w:hAnsi="Times New Roman" w:cs="Times New Roman"/>
          <w:sz w:val="24"/>
        </w:rPr>
        <w:t>północno-za</w:t>
      </w:r>
      <w:r w:rsidRPr="00BE6FA1">
        <w:rPr>
          <w:rFonts w:ascii="Times New Roman" w:hAnsi="Times New Roman" w:cs="Times New Roman"/>
          <w:sz w:val="24"/>
        </w:rPr>
        <w:t>chodnich.</w:t>
      </w:r>
    </w:p>
    <w:p w:rsidR="00C277FE" w:rsidRPr="00BE6FA1" w:rsidRDefault="00C277FE" w:rsidP="003A27DA">
      <w:pPr>
        <w:spacing w:after="0" w:line="360" w:lineRule="auto"/>
        <w:ind w:firstLine="708"/>
        <w:jc w:val="both"/>
        <w:rPr>
          <w:rFonts w:ascii="Times New Roman" w:hAnsi="Times New Roman" w:cs="Times New Roman"/>
          <w:sz w:val="24"/>
        </w:rPr>
      </w:pPr>
    </w:p>
    <w:p w:rsidR="00C277FE" w:rsidRPr="00BE6FA1" w:rsidRDefault="00C277FE" w:rsidP="003A27DA">
      <w:pPr>
        <w:keepNext/>
        <w:spacing w:after="0"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0EE837AB" wp14:editId="7DAC5FC1">
            <wp:extent cx="3976576" cy="3208738"/>
            <wp:effectExtent l="0" t="0" r="0" b="0"/>
            <wp:docPr id="18" name="Obra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80574" cy="3211964"/>
                    </a:xfrm>
                    <a:prstGeom prst="rect">
                      <a:avLst/>
                    </a:prstGeom>
                  </pic:spPr>
                </pic:pic>
              </a:graphicData>
            </a:graphic>
          </wp:inline>
        </w:drawing>
      </w:r>
    </w:p>
    <w:p w:rsidR="00C277FE" w:rsidRPr="00BE6FA1" w:rsidRDefault="00C277FE" w:rsidP="003A27DA">
      <w:pPr>
        <w:pStyle w:val="Legenda"/>
        <w:spacing w:line="360" w:lineRule="auto"/>
        <w:rPr>
          <w:rFonts w:ascii="Times New Roman" w:hAnsi="Times New Roman" w:cs="Times New Roman"/>
          <w:color w:val="auto"/>
        </w:rPr>
      </w:pPr>
      <w:bookmarkStart w:id="55" w:name="_Toc445289823"/>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10</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Rozkład średniej rocznej wartości prędkości wiatru [m/s] w województwie podkarpackim w 2014 r.</w:t>
      </w:r>
      <w:bookmarkEnd w:id="55"/>
    </w:p>
    <w:p w:rsidR="00C277FE" w:rsidRPr="00BE6FA1" w:rsidRDefault="00C277FE" w:rsidP="003A27DA">
      <w:pPr>
        <w:keepNext/>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58E257A3" wp14:editId="7E48F109">
            <wp:extent cx="3902149" cy="3508853"/>
            <wp:effectExtent l="0" t="0" r="0" b="0"/>
            <wp:docPr id="19"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00649" cy="3507504"/>
                    </a:xfrm>
                    <a:prstGeom prst="rect">
                      <a:avLst/>
                    </a:prstGeom>
                  </pic:spPr>
                </pic:pic>
              </a:graphicData>
            </a:graphic>
          </wp:inline>
        </w:drawing>
      </w:r>
    </w:p>
    <w:p w:rsidR="00C277FE" w:rsidRPr="00BE6FA1" w:rsidRDefault="00C277FE" w:rsidP="003A27DA">
      <w:pPr>
        <w:pStyle w:val="Legenda"/>
        <w:spacing w:line="360" w:lineRule="auto"/>
        <w:jc w:val="center"/>
        <w:rPr>
          <w:rFonts w:ascii="Times New Roman" w:hAnsi="Times New Roman" w:cs="Times New Roman"/>
          <w:color w:val="auto"/>
        </w:rPr>
      </w:pPr>
      <w:bookmarkStart w:id="56" w:name="_Toc445289824"/>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Dominujący kierunek wiatru w województwie podkarpackim w 2014 r.</w:t>
      </w:r>
      <w:bookmarkEnd w:id="56"/>
    </w:p>
    <w:p w:rsidR="00BC3A23" w:rsidRPr="00BE6FA1" w:rsidRDefault="00BC3A23" w:rsidP="003A27DA">
      <w:pPr>
        <w:spacing w:line="360" w:lineRule="auto"/>
        <w:rPr>
          <w:rFonts w:ascii="Times New Roman" w:hAnsi="Times New Roman" w:cs="Times New Roman"/>
        </w:rPr>
      </w:pPr>
    </w:p>
    <w:p w:rsidR="00C277FE" w:rsidRPr="00BE6FA1" w:rsidRDefault="00C277FE" w:rsidP="003A27DA">
      <w:pPr>
        <w:spacing w:after="0" w:line="360" w:lineRule="auto"/>
        <w:rPr>
          <w:rFonts w:ascii="Times New Roman" w:hAnsi="Times New Roman" w:cs="Times New Roman"/>
          <w:b/>
          <w:sz w:val="24"/>
          <w:szCs w:val="24"/>
        </w:rPr>
      </w:pPr>
      <w:r w:rsidRPr="00BE6FA1">
        <w:rPr>
          <w:rFonts w:ascii="Times New Roman" w:hAnsi="Times New Roman" w:cs="Times New Roman"/>
          <w:b/>
          <w:sz w:val="24"/>
          <w:szCs w:val="24"/>
        </w:rPr>
        <w:lastRenderedPageBreak/>
        <w:t>Temperatura powietrza</w:t>
      </w:r>
    </w:p>
    <w:p w:rsidR="00C277FE" w:rsidRPr="00BE6FA1" w:rsidRDefault="00C277FE" w:rsidP="003A27DA">
      <w:pPr>
        <w:spacing w:after="0" w:line="360" w:lineRule="auto"/>
        <w:rPr>
          <w:rFonts w:ascii="Times New Roman" w:hAnsi="Times New Roman" w:cs="Times New Roman"/>
          <w:b/>
          <w:sz w:val="24"/>
        </w:rPr>
      </w:pPr>
    </w:p>
    <w:p w:rsidR="00C277FE" w:rsidRPr="00BE6FA1" w:rsidRDefault="00C277FE"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Na obszarze województwa podkarpackiego w 2014 roku najniższe wartości temperatury powietrza – około 7°C, wystąpiły miejscami w rejonie Bieszczad Zachodnich, </w:t>
      </w:r>
      <w:r w:rsidR="00DA35BD" w:rsidRPr="00BE6FA1">
        <w:rPr>
          <w:rFonts w:ascii="Times New Roman" w:hAnsi="Times New Roman" w:cs="Times New Roman"/>
          <w:sz w:val="24"/>
        </w:rPr>
        <w:br/>
      </w:r>
      <w:r w:rsidRPr="00BE6FA1">
        <w:rPr>
          <w:rFonts w:ascii="Times New Roman" w:hAnsi="Times New Roman" w:cs="Times New Roman"/>
          <w:sz w:val="24"/>
        </w:rPr>
        <w:t xml:space="preserve">a najwyższe – około 10°C, w rejonach Kotliny Sandomierskiej. Na podstawie klasyfikacji termicznej stosowanej przez IMGW, rok 2014 został sklasyfikowany jako bardzo ciepły. </w:t>
      </w:r>
    </w:p>
    <w:p w:rsidR="00C277FE" w:rsidRPr="00BE6FA1" w:rsidRDefault="00C277FE"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Średnia roczna temperatura powietrza w </w:t>
      </w:r>
      <w:r w:rsidR="001F0217" w:rsidRPr="00BE6FA1">
        <w:rPr>
          <w:rFonts w:ascii="Times New Roman" w:hAnsi="Times New Roman" w:cs="Times New Roman"/>
          <w:sz w:val="24"/>
        </w:rPr>
        <w:t xml:space="preserve">Mieście i </w:t>
      </w:r>
      <w:r w:rsidRPr="00BE6FA1">
        <w:rPr>
          <w:rFonts w:ascii="Times New Roman" w:hAnsi="Times New Roman" w:cs="Times New Roman"/>
          <w:sz w:val="24"/>
        </w:rPr>
        <w:t>Gminie Kańczuga w 2014r. oscylowała w granicach 9 – 10°C.</w:t>
      </w:r>
    </w:p>
    <w:p w:rsidR="00DA35BD" w:rsidRPr="00BE6FA1" w:rsidRDefault="00DA35BD" w:rsidP="003A27DA">
      <w:pPr>
        <w:spacing w:after="0" w:line="360" w:lineRule="auto"/>
        <w:ind w:firstLine="708"/>
        <w:jc w:val="both"/>
        <w:rPr>
          <w:rFonts w:ascii="Times New Roman" w:hAnsi="Times New Roman" w:cs="Times New Roman"/>
          <w:sz w:val="24"/>
        </w:rPr>
      </w:pPr>
    </w:p>
    <w:p w:rsidR="00C277FE" w:rsidRPr="00BE6FA1" w:rsidRDefault="00C277FE" w:rsidP="003A27DA">
      <w:pPr>
        <w:keepNext/>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4F53EAE4" wp14:editId="616719FF">
            <wp:extent cx="4719955" cy="3589655"/>
            <wp:effectExtent l="0" t="0" r="0" b="0"/>
            <wp:docPr id="20"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719955" cy="3589655"/>
                    </a:xfrm>
                    <a:prstGeom prst="rect">
                      <a:avLst/>
                    </a:prstGeom>
                  </pic:spPr>
                </pic:pic>
              </a:graphicData>
            </a:graphic>
          </wp:inline>
        </w:drawing>
      </w:r>
    </w:p>
    <w:p w:rsidR="005D23F7" w:rsidRPr="00BE6FA1" w:rsidRDefault="00C277FE" w:rsidP="005D23F7">
      <w:pPr>
        <w:pStyle w:val="Legenda"/>
        <w:spacing w:line="360" w:lineRule="auto"/>
        <w:jc w:val="center"/>
        <w:rPr>
          <w:rFonts w:ascii="Times New Roman" w:hAnsi="Times New Roman" w:cs="Times New Roman"/>
          <w:color w:val="auto"/>
        </w:rPr>
      </w:pPr>
      <w:bookmarkStart w:id="57" w:name="_Toc445289825"/>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Rozkład średniej rocznej wartości temperatury powietrza [°C] w województwie podkarpackim w 2014 r.</w:t>
      </w:r>
      <w:bookmarkEnd w:id="57"/>
    </w:p>
    <w:p w:rsidR="005D23F7" w:rsidRPr="00BE6FA1" w:rsidRDefault="005D23F7" w:rsidP="003A27DA">
      <w:pPr>
        <w:spacing w:after="0" w:line="360" w:lineRule="auto"/>
        <w:rPr>
          <w:rFonts w:ascii="Times New Roman" w:hAnsi="Times New Roman" w:cs="Times New Roman"/>
          <w:b/>
          <w:sz w:val="24"/>
        </w:rPr>
      </w:pPr>
    </w:p>
    <w:p w:rsidR="005D23F7" w:rsidRPr="00BE6FA1" w:rsidRDefault="005D23F7" w:rsidP="003A27DA">
      <w:pPr>
        <w:spacing w:after="0" w:line="360" w:lineRule="auto"/>
        <w:rPr>
          <w:rFonts w:ascii="Times New Roman" w:hAnsi="Times New Roman" w:cs="Times New Roman"/>
          <w:b/>
          <w:sz w:val="24"/>
        </w:rPr>
      </w:pPr>
    </w:p>
    <w:p w:rsidR="00C277FE" w:rsidRPr="00BE6FA1" w:rsidRDefault="00C277FE" w:rsidP="003A27DA">
      <w:pPr>
        <w:spacing w:after="0" w:line="360" w:lineRule="auto"/>
        <w:rPr>
          <w:rFonts w:ascii="Times New Roman" w:hAnsi="Times New Roman" w:cs="Times New Roman"/>
          <w:b/>
          <w:sz w:val="24"/>
        </w:rPr>
      </w:pPr>
      <w:r w:rsidRPr="00BE6FA1">
        <w:rPr>
          <w:rFonts w:ascii="Times New Roman" w:hAnsi="Times New Roman" w:cs="Times New Roman"/>
          <w:b/>
          <w:sz w:val="24"/>
        </w:rPr>
        <w:t>Opady atmosferyczne</w:t>
      </w:r>
    </w:p>
    <w:p w:rsidR="00C277FE" w:rsidRPr="00BE6FA1" w:rsidRDefault="00C277FE" w:rsidP="003A27DA">
      <w:pPr>
        <w:spacing w:after="0" w:line="360" w:lineRule="auto"/>
        <w:rPr>
          <w:rFonts w:ascii="Times New Roman" w:hAnsi="Times New Roman" w:cs="Times New Roman"/>
          <w:b/>
          <w:sz w:val="24"/>
        </w:rPr>
      </w:pPr>
    </w:p>
    <w:p w:rsidR="00C277FE" w:rsidRPr="00BE6FA1" w:rsidRDefault="00C277FE"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Rozkład rocznej sumy opadów atmosferycznych w województwie podkarpackim </w:t>
      </w:r>
      <w:r w:rsidRPr="00BE6FA1">
        <w:rPr>
          <w:rFonts w:ascii="Times New Roman" w:hAnsi="Times New Roman" w:cs="Times New Roman"/>
          <w:sz w:val="24"/>
        </w:rPr>
        <w:br/>
        <w:t>w 2014 r. wskazuje na występowanie wartości w przedziale 600-1400 mm.</w:t>
      </w:r>
    </w:p>
    <w:p w:rsidR="00C277FE" w:rsidRPr="00BE6FA1" w:rsidRDefault="00C277FE"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Na  obszarze </w:t>
      </w:r>
      <w:r w:rsidR="001F0217" w:rsidRPr="00BE6FA1">
        <w:rPr>
          <w:rFonts w:ascii="Times New Roman" w:hAnsi="Times New Roman" w:cs="Times New Roman"/>
          <w:sz w:val="24"/>
        </w:rPr>
        <w:t xml:space="preserve">Miasta i </w:t>
      </w:r>
      <w:r w:rsidRPr="00BE6FA1">
        <w:rPr>
          <w:rFonts w:ascii="Times New Roman" w:hAnsi="Times New Roman" w:cs="Times New Roman"/>
          <w:sz w:val="24"/>
        </w:rPr>
        <w:t xml:space="preserve">Gminy Kańczuga w 2014r. zanotowano opady w granicach </w:t>
      </w:r>
      <w:r w:rsidR="008F12B5" w:rsidRPr="00BE6FA1">
        <w:rPr>
          <w:rFonts w:ascii="Times New Roman" w:hAnsi="Times New Roman" w:cs="Times New Roman"/>
          <w:sz w:val="24"/>
        </w:rPr>
        <w:br/>
      </w:r>
      <w:r w:rsidR="008F242F" w:rsidRPr="00BE6FA1">
        <w:rPr>
          <w:rFonts w:ascii="Times New Roman" w:hAnsi="Times New Roman" w:cs="Times New Roman"/>
          <w:sz w:val="24"/>
        </w:rPr>
        <w:t>7</w:t>
      </w:r>
      <w:r w:rsidRPr="00BE6FA1">
        <w:rPr>
          <w:rFonts w:ascii="Times New Roman" w:hAnsi="Times New Roman" w:cs="Times New Roman"/>
          <w:sz w:val="24"/>
        </w:rPr>
        <w:t xml:space="preserve">00 – </w:t>
      </w:r>
      <w:r w:rsidR="008F242F" w:rsidRPr="00BE6FA1">
        <w:rPr>
          <w:rFonts w:ascii="Times New Roman" w:hAnsi="Times New Roman" w:cs="Times New Roman"/>
          <w:sz w:val="24"/>
        </w:rPr>
        <w:t>8</w:t>
      </w:r>
      <w:r w:rsidRPr="00BE6FA1">
        <w:rPr>
          <w:rFonts w:ascii="Times New Roman" w:hAnsi="Times New Roman" w:cs="Times New Roman"/>
          <w:sz w:val="24"/>
        </w:rPr>
        <w:t>00mm.</w:t>
      </w:r>
    </w:p>
    <w:p w:rsidR="00C277FE" w:rsidRPr="00BE6FA1" w:rsidRDefault="00C277FE" w:rsidP="003A27DA">
      <w:pPr>
        <w:keepNext/>
        <w:spacing w:line="360" w:lineRule="auto"/>
        <w:jc w:val="center"/>
        <w:rPr>
          <w:rFonts w:ascii="Times New Roman" w:hAnsi="Times New Roman" w:cs="Times New Roman"/>
        </w:rPr>
      </w:pPr>
      <w:r w:rsidRPr="00BE6FA1">
        <w:rPr>
          <w:rFonts w:ascii="Times New Roman" w:hAnsi="Times New Roman" w:cs="Times New Roman"/>
          <w:noProof/>
        </w:rPr>
        <w:lastRenderedPageBreak/>
        <w:drawing>
          <wp:inline distT="0" distB="0" distL="0" distR="0" wp14:anchorId="4B5D3E6D" wp14:editId="5330BFED">
            <wp:extent cx="4646930" cy="3571875"/>
            <wp:effectExtent l="0" t="0" r="0" b="0"/>
            <wp:docPr id="2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46930" cy="3571875"/>
                    </a:xfrm>
                    <a:prstGeom prst="rect">
                      <a:avLst/>
                    </a:prstGeom>
                  </pic:spPr>
                </pic:pic>
              </a:graphicData>
            </a:graphic>
          </wp:inline>
        </w:drawing>
      </w:r>
    </w:p>
    <w:p w:rsidR="00C277FE" w:rsidRPr="00BE6FA1" w:rsidRDefault="00C277FE" w:rsidP="003A27DA">
      <w:pPr>
        <w:pStyle w:val="Legenda"/>
        <w:spacing w:line="360" w:lineRule="auto"/>
        <w:jc w:val="center"/>
        <w:rPr>
          <w:rFonts w:ascii="Times New Roman" w:hAnsi="Times New Roman" w:cs="Times New Roman"/>
          <w:color w:val="auto"/>
        </w:rPr>
      </w:pPr>
      <w:bookmarkStart w:id="58" w:name="_Toc445289826"/>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Rozkład rocznej sumy opadów atmosferycznych [mm] w województwie podkarpackim w 2014 r.</w:t>
      </w:r>
      <w:bookmarkEnd w:id="58"/>
    </w:p>
    <w:p w:rsidR="00C277FE" w:rsidRPr="00BE6FA1" w:rsidRDefault="00C277FE" w:rsidP="003A27DA">
      <w:pPr>
        <w:spacing w:after="0" w:line="360" w:lineRule="auto"/>
        <w:rPr>
          <w:rFonts w:ascii="Times New Roman" w:hAnsi="Times New Roman" w:cs="Times New Roman"/>
          <w:b/>
          <w:sz w:val="24"/>
        </w:rPr>
      </w:pPr>
    </w:p>
    <w:p w:rsidR="00BC3A23" w:rsidRPr="00BE6FA1" w:rsidRDefault="00BC3A23" w:rsidP="003A27DA">
      <w:pPr>
        <w:spacing w:after="0" w:line="360" w:lineRule="auto"/>
        <w:rPr>
          <w:rFonts w:ascii="Times New Roman" w:hAnsi="Times New Roman" w:cs="Times New Roman"/>
          <w:b/>
          <w:sz w:val="24"/>
        </w:rPr>
      </w:pPr>
    </w:p>
    <w:p w:rsidR="00BC3A23" w:rsidRPr="00BE6FA1" w:rsidRDefault="00BC3A23" w:rsidP="003A27DA">
      <w:pPr>
        <w:spacing w:after="0" w:line="360" w:lineRule="auto"/>
        <w:rPr>
          <w:rFonts w:ascii="Times New Roman" w:hAnsi="Times New Roman" w:cs="Times New Roman"/>
          <w:b/>
          <w:sz w:val="24"/>
        </w:rPr>
      </w:pPr>
    </w:p>
    <w:p w:rsidR="00C277FE" w:rsidRPr="00BE6FA1" w:rsidRDefault="00C277FE" w:rsidP="003A27DA">
      <w:pPr>
        <w:spacing w:after="0" w:line="360" w:lineRule="auto"/>
        <w:rPr>
          <w:rFonts w:ascii="Times New Roman" w:hAnsi="Times New Roman" w:cs="Times New Roman"/>
          <w:b/>
          <w:sz w:val="24"/>
        </w:rPr>
      </w:pPr>
      <w:r w:rsidRPr="00BE6FA1">
        <w:rPr>
          <w:rFonts w:ascii="Times New Roman" w:hAnsi="Times New Roman" w:cs="Times New Roman"/>
          <w:b/>
          <w:sz w:val="24"/>
        </w:rPr>
        <w:t>Wilgotność względna powietrza</w:t>
      </w:r>
    </w:p>
    <w:p w:rsidR="00C277FE" w:rsidRPr="00BE6FA1" w:rsidRDefault="00C277FE" w:rsidP="003A27DA">
      <w:pPr>
        <w:spacing w:after="0" w:line="360" w:lineRule="auto"/>
        <w:rPr>
          <w:rFonts w:ascii="Times New Roman" w:hAnsi="Times New Roman" w:cs="Times New Roman"/>
          <w:b/>
          <w:sz w:val="24"/>
        </w:rPr>
      </w:pPr>
    </w:p>
    <w:p w:rsidR="00C277FE" w:rsidRPr="00BE6FA1" w:rsidRDefault="00C277FE"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Przestrzenny rozkład średniej rocznej wartości wilgotności względnej powietrza </w:t>
      </w:r>
      <w:r w:rsidR="00BC3A23" w:rsidRPr="00BE6FA1">
        <w:rPr>
          <w:rFonts w:ascii="Times New Roman" w:hAnsi="Times New Roman" w:cs="Times New Roman"/>
          <w:sz w:val="24"/>
        </w:rPr>
        <w:br/>
      </w:r>
      <w:r w:rsidRPr="00BE6FA1">
        <w:rPr>
          <w:rFonts w:ascii="Times New Roman" w:hAnsi="Times New Roman" w:cs="Times New Roman"/>
          <w:sz w:val="24"/>
        </w:rPr>
        <w:t>na obszarze województwa podkarpackiego w 2014 r. wskazuje na zmienność parametru</w:t>
      </w:r>
      <w:r w:rsidRPr="00BE6FA1">
        <w:rPr>
          <w:rFonts w:ascii="Times New Roman" w:hAnsi="Times New Roman" w:cs="Times New Roman"/>
          <w:sz w:val="24"/>
        </w:rPr>
        <w:br/>
        <w:t>w przedziale od 72% do 82%.</w:t>
      </w:r>
    </w:p>
    <w:p w:rsidR="00C277FE" w:rsidRPr="00BE6FA1" w:rsidRDefault="001F0217"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Miasto i </w:t>
      </w:r>
      <w:r w:rsidR="00C277FE" w:rsidRPr="00BE6FA1">
        <w:rPr>
          <w:rFonts w:ascii="Times New Roman" w:hAnsi="Times New Roman" w:cs="Times New Roman"/>
          <w:sz w:val="24"/>
        </w:rPr>
        <w:t>Gmina Kańczuga charakteryzowała się wilgotnością względną na poziomie 74 – 78%</w:t>
      </w:r>
      <w:r w:rsidR="008F12B5" w:rsidRPr="00BE6FA1">
        <w:rPr>
          <w:rFonts w:ascii="Times New Roman" w:hAnsi="Times New Roman" w:cs="Times New Roman"/>
          <w:sz w:val="24"/>
        </w:rPr>
        <w:t>.</w:t>
      </w:r>
    </w:p>
    <w:p w:rsidR="00C277FE" w:rsidRPr="00BE6FA1" w:rsidRDefault="00C277FE" w:rsidP="003A27DA">
      <w:pPr>
        <w:spacing w:after="0" w:line="360" w:lineRule="auto"/>
        <w:ind w:firstLine="708"/>
        <w:jc w:val="both"/>
        <w:rPr>
          <w:rFonts w:ascii="Times New Roman" w:hAnsi="Times New Roman" w:cs="Times New Roman"/>
          <w:sz w:val="24"/>
        </w:rPr>
      </w:pPr>
    </w:p>
    <w:p w:rsidR="00C277FE" w:rsidRPr="00BE6FA1" w:rsidRDefault="00C277FE" w:rsidP="003A27DA">
      <w:pPr>
        <w:keepNext/>
        <w:spacing w:line="360" w:lineRule="auto"/>
        <w:jc w:val="center"/>
        <w:rPr>
          <w:rFonts w:ascii="Times New Roman" w:hAnsi="Times New Roman" w:cs="Times New Roman"/>
        </w:rPr>
      </w:pPr>
      <w:r w:rsidRPr="00BE6FA1">
        <w:rPr>
          <w:rFonts w:ascii="Times New Roman" w:hAnsi="Times New Roman" w:cs="Times New Roman"/>
          <w:noProof/>
        </w:rPr>
        <w:lastRenderedPageBreak/>
        <w:drawing>
          <wp:inline distT="0" distB="0" distL="0" distR="0" wp14:anchorId="103FC942" wp14:editId="7A189A80">
            <wp:extent cx="4718685" cy="363982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8685" cy="3639820"/>
                    </a:xfrm>
                    <a:prstGeom prst="rect">
                      <a:avLst/>
                    </a:prstGeom>
                    <a:noFill/>
                  </pic:spPr>
                </pic:pic>
              </a:graphicData>
            </a:graphic>
          </wp:inline>
        </w:drawing>
      </w:r>
    </w:p>
    <w:p w:rsidR="00C277FE" w:rsidRPr="00BE6FA1" w:rsidRDefault="00C277FE" w:rsidP="005D23F7">
      <w:pPr>
        <w:pStyle w:val="Legenda"/>
        <w:spacing w:line="360" w:lineRule="auto"/>
        <w:jc w:val="center"/>
        <w:rPr>
          <w:rFonts w:ascii="Times New Roman" w:hAnsi="Times New Roman" w:cs="Times New Roman"/>
          <w:color w:val="auto"/>
        </w:rPr>
      </w:pPr>
      <w:bookmarkStart w:id="59" w:name="_Toc445289827"/>
      <w:r w:rsidRPr="00BE6FA1">
        <w:rPr>
          <w:rFonts w:ascii="Times New Roman" w:hAnsi="Times New Roman" w:cs="Times New Roman"/>
          <w:color w:val="auto"/>
        </w:rPr>
        <w:t xml:space="preserve">Rysunek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Rysunek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Rozkład średniej rocznej wartości wilgotności względnej powietrza [%] w województwie podkarpackim w 2014 r.</w:t>
      </w:r>
      <w:bookmarkEnd w:id="59"/>
    </w:p>
    <w:p w:rsidR="00BC3A23" w:rsidRPr="00BE6FA1" w:rsidRDefault="00BC3A23" w:rsidP="003A27DA">
      <w:pPr>
        <w:spacing w:line="360" w:lineRule="auto"/>
        <w:rPr>
          <w:rFonts w:ascii="Times New Roman" w:hAnsi="Times New Roman" w:cs="Times New Roman"/>
        </w:rPr>
      </w:pPr>
    </w:p>
    <w:p w:rsidR="00C277FE" w:rsidRPr="00BE6FA1" w:rsidRDefault="00C277FE" w:rsidP="003A27DA">
      <w:pPr>
        <w:pStyle w:val="Nagwek2"/>
        <w:spacing w:line="360" w:lineRule="auto"/>
        <w:rPr>
          <w:rFonts w:ascii="Times New Roman" w:hAnsi="Times New Roman" w:cs="Times New Roman"/>
          <w:color w:val="auto"/>
        </w:rPr>
      </w:pPr>
      <w:bookmarkStart w:id="60" w:name="_Toc437603363"/>
      <w:bookmarkStart w:id="61" w:name="_Toc437603492"/>
      <w:bookmarkStart w:id="62" w:name="_Toc437866329"/>
      <w:bookmarkStart w:id="63" w:name="_Toc442426520"/>
      <w:bookmarkStart w:id="64" w:name="_Toc449097738"/>
      <w:r w:rsidRPr="00BE6FA1">
        <w:rPr>
          <w:rFonts w:ascii="Times New Roman" w:hAnsi="Times New Roman" w:cs="Times New Roman"/>
          <w:color w:val="auto"/>
        </w:rPr>
        <w:t>Ocena jakości powietr</w:t>
      </w:r>
      <w:r w:rsidR="001F0217" w:rsidRPr="00BE6FA1">
        <w:rPr>
          <w:rFonts w:ascii="Times New Roman" w:hAnsi="Times New Roman" w:cs="Times New Roman"/>
          <w:color w:val="auto"/>
        </w:rPr>
        <w:t xml:space="preserve">za województwa podkarpackiego oraz Miasta i </w:t>
      </w:r>
      <w:r w:rsidRPr="00BE6FA1">
        <w:rPr>
          <w:rFonts w:ascii="Times New Roman" w:hAnsi="Times New Roman" w:cs="Times New Roman"/>
          <w:color w:val="auto"/>
        </w:rPr>
        <w:t xml:space="preserve">Gminy </w:t>
      </w:r>
      <w:bookmarkEnd w:id="60"/>
      <w:bookmarkEnd w:id="61"/>
      <w:bookmarkEnd w:id="62"/>
      <w:bookmarkEnd w:id="63"/>
      <w:r w:rsidRPr="00BE6FA1">
        <w:rPr>
          <w:rFonts w:ascii="Times New Roman" w:hAnsi="Times New Roman" w:cs="Times New Roman"/>
          <w:color w:val="auto"/>
        </w:rPr>
        <w:t>Kańczuga</w:t>
      </w:r>
      <w:bookmarkEnd w:id="64"/>
    </w:p>
    <w:p w:rsidR="006E1D87" w:rsidRPr="00BE6FA1" w:rsidRDefault="006E1D87" w:rsidP="003A27DA">
      <w:pPr>
        <w:spacing w:line="360" w:lineRule="auto"/>
        <w:rPr>
          <w:rFonts w:ascii="Times New Roman" w:hAnsi="Times New Roman" w:cs="Times New Roman"/>
        </w:rPr>
      </w:pPr>
    </w:p>
    <w:p w:rsidR="00506F39" w:rsidRPr="00BE6FA1" w:rsidRDefault="00506F39"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Oceny stanu atmosfery w województwie podkarpackim </w:t>
      </w:r>
      <w:r w:rsidR="001F0217" w:rsidRPr="00BE6FA1">
        <w:rPr>
          <w:rFonts w:ascii="Times New Roman" w:hAnsi="Times New Roman" w:cs="Times New Roman"/>
          <w:sz w:val="24"/>
        </w:rPr>
        <w:t xml:space="preserve">oraz Miasta </w:t>
      </w:r>
      <w:r w:rsidRPr="00BE6FA1">
        <w:rPr>
          <w:rFonts w:ascii="Times New Roman" w:hAnsi="Times New Roman" w:cs="Times New Roman"/>
          <w:sz w:val="24"/>
        </w:rPr>
        <w:t>i Gminie Kańczuga dokonano na podstawie „Oceny jakości powietr</w:t>
      </w:r>
      <w:r w:rsidR="00DA35BD" w:rsidRPr="00BE6FA1">
        <w:rPr>
          <w:rFonts w:ascii="Times New Roman" w:hAnsi="Times New Roman" w:cs="Times New Roman"/>
          <w:sz w:val="24"/>
        </w:rPr>
        <w:t xml:space="preserve">za w województwie podkarpackim </w:t>
      </w:r>
      <w:r w:rsidRPr="00BE6FA1">
        <w:rPr>
          <w:rFonts w:ascii="Times New Roman" w:hAnsi="Times New Roman" w:cs="Times New Roman"/>
          <w:sz w:val="24"/>
        </w:rPr>
        <w:t xml:space="preserve">za rok 2014” wykonanej przez Wojewódzki </w:t>
      </w:r>
      <w:r w:rsidR="00DA35BD" w:rsidRPr="00BE6FA1">
        <w:rPr>
          <w:rFonts w:ascii="Times New Roman" w:hAnsi="Times New Roman" w:cs="Times New Roman"/>
          <w:sz w:val="24"/>
        </w:rPr>
        <w:t xml:space="preserve">Inspektorat Ochrony Środowiska </w:t>
      </w:r>
      <w:r w:rsidRPr="00BE6FA1">
        <w:rPr>
          <w:rFonts w:ascii="Times New Roman" w:hAnsi="Times New Roman" w:cs="Times New Roman"/>
          <w:sz w:val="24"/>
        </w:rPr>
        <w:t>w Rzeszowie.</w:t>
      </w:r>
    </w:p>
    <w:p w:rsidR="00506F39" w:rsidRPr="00BE6FA1" w:rsidRDefault="00506F39"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Ocena jakości powietrza w województwie podkarpackim za rok 2014 opracowana została w oparciu o wyniki pomiarów </w:t>
      </w:r>
      <w:r w:rsidR="00DA35BD" w:rsidRPr="00BE6FA1">
        <w:rPr>
          <w:rFonts w:ascii="Times New Roman" w:hAnsi="Times New Roman" w:cs="Times New Roman"/>
          <w:sz w:val="24"/>
          <w:szCs w:val="24"/>
        </w:rPr>
        <w:t xml:space="preserve">poziomów stężeń zanieczyszczeń </w:t>
      </w:r>
      <w:r w:rsidRPr="00BE6FA1">
        <w:rPr>
          <w:rFonts w:ascii="Times New Roman" w:hAnsi="Times New Roman" w:cs="Times New Roman"/>
          <w:sz w:val="24"/>
          <w:szCs w:val="24"/>
        </w:rPr>
        <w:t>w powietrzu wykonanych w okresie od 1 stycznia do 31 grudnia 2014 r. Pomiary przeprowadzone zostały na stacjach monitori</w:t>
      </w:r>
      <w:r w:rsidR="00DA35BD" w:rsidRPr="00BE6FA1">
        <w:rPr>
          <w:rFonts w:ascii="Times New Roman" w:hAnsi="Times New Roman" w:cs="Times New Roman"/>
          <w:sz w:val="24"/>
          <w:szCs w:val="24"/>
        </w:rPr>
        <w:t xml:space="preserve">ngu powietrza, zlokalizowanych </w:t>
      </w:r>
      <w:r w:rsidRPr="00BE6FA1">
        <w:rPr>
          <w:rFonts w:ascii="Times New Roman" w:hAnsi="Times New Roman" w:cs="Times New Roman"/>
          <w:sz w:val="24"/>
          <w:szCs w:val="24"/>
        </w:rPr>
        <w:t>w województwie podkarpackim, działających w ramach Państwowego monitoringu środowiska (PMŚ).</w:t>
      </w:r>
    </w:p>
    <w:p w:rsidR="00DA35BD" w:rsidRPr="00BE6FA1" w:rsidRDefault="00506F39" w:rsidP="00BC3A23">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Wyniki pomiarów oraz wyniki modelowania stanowiące podstawę oceny spełniają wymagania dotyczące jakości danych, określone w rozporządzeniu Ministra Środowiska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 xml:space="preserve">z 13 września 2012 r. w sprawie dokonywania oceny poziomów substancji w powietrzu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(Dz. U. z 2012 r. poz. 1032).</w:t>
      </w:r>
    </w:p>
    <w:p w:rsidR="00506F39" w:rsidRPr="00BE6FA1" w:rsidRDefault="00506F39" w:rsidP="003A27DA">
      <w:pPr>
        <w:spacing w:after="0" w:line="360" w:lineRule="auto"/>
        <w:rPr>
          <w:rFonts w:ascii="Times New Roman" w:hAnsi="Times New Roman" w:cs="Times New Roman"/>
          <w:b/>
          <w:sz w:val="24"/>
        </w:rPr>
      </w:pPr>
      <w:r w:rsidRPr="00BE6FA1">
        <w:rPr>
          <w:rFonts w:ascii="Times New Roman" w:hAnsi="Times New Roman" w:cs="Times New Roman"/>
          <w:b/>
          <w:sz w:val="24"/>
        </w:rPr>
        <w:lastRenderedPageBreak/>
        <w:t>Dwutlenek siarki</w:t>
      </w:r>
    </w:p>
    <w:p w:rsidR="00506F39" w:rsidRPr="00BE6FA1" w:rsidRDefault="00506F39" w:rsidP="003A27DA">
      <w:pPr>
        <w:spacing w:after="0" w:line="360" w:lineRule="auto"/>
        <w:rPr>
          <w:rFonts w:ascii="Times New Roman" w:hAnsi="Times New Roman" w:cs="Times New Roman"/>
          <w:b/>
          <w:sz w:val="24"/>
        </w:rPr>
      </w:pPr>
    </w:p>
    <w:p w:rsidR="008F242F" w:rsidRPr="00BE6FA1" w:rsidRDefault="00506F39" w:rsidP="003A27DA">
      <w:pPr>
        <w:spacing w:after="0" w:line="360" w:lineRule="auto"/>
        <w:ind w:firstLine="708"/>
        <w:jc w:val="both"/>
        <w:rPr>
          <w:rFonts w:ascii="Times New Roman" w:hAnsi="Times New Roman" w:cs="Times New Roman"/>
          <w:b/>
          <w:sz w:val="24"/>
        </w:rPr>
      </w:pPr>
      <w:r w:rsidRPr="00BE6FA1">
        <w:rPr>
          <w:rFonts w:ascii="Times New Roman" w:hAnsi="Times New Roman" w:cs="Times New Roman"/>
          <w:sz w:val="24"/>
        </w:rPr>
        <w:t xml:space="preserve">W województwie podkarpackim badania zanieczyszczenia powietrza dwutlenkiem siarki w kryterium ochrony zdrowia prowadzone były w 4 punktach pomiarowych, metodą automatyczną z jednogodzinnym czasem uśredniania stężeń.  </w:t>
      </w:r>
    </w:p>
    <w:p w:rsidR="00506F39" w:rsidRPr="00BE6FA1" w:rsidRDefault="00506F39" w:rsidP="003A27DA">
      <w:pPr>
        <w:spacing w:after="0" w:line="360" w:lineRule="auto"/>
        <w:ind w:firstLine="708"/>
        <w:jc w:val="both"/>
        <w:rPr>
          <w:rFonts w:ascii="Times New Roman" w:hAnsi="Times New Roman" w:cs="Times New Roman"/>
          <w:b/>
          <w:sz w:val="24"/>
        </w:rPr>
      </w:pPr>
      <w:r w:rsidRPr="00BE6FA1">
        <w:rPr>
          <w:rFonts w:ascii="Times New Roman" w:hAnsi="Times New Roman" w:cs="Times New Roman"/>
          <w:sz w:val="24"/>
        </w:rPr>
        <w:t xml:space="preserve">W 2014 r. w województwie podkarpackim nie odnotowano przekroczeń dla dwutlenku siarki normy 1-godzinnej. W zakresie </w:t>
      </w:r>
      <w:r w:rsidRPr="00BE6FA1">
        <w:rPr>
          <w:rFonts w:ascii="Times New Roman" w:hAnsi="Times New Roman" w:cs="Times New Roman"/>
          <w:sz w:val="24"/>
          <w:szCs w:val="24"/>
        </w:rPr>
        <w:t>stężeń 1-godzinnych dwutlenku siarki wyniki modelowania za rok 2014 wykazały występowanie wartości w przedziale 3-187 μg/m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xml:space="preserve">. </w:t>
      </w:r>
      <w:r w:rsidR="00563D06" w:rsidRPr="00BE6FA1">
        <w:rPr>
          <w:rFonts w:ascii="Times New Roman" w:hAnsi="Times New Roman" w:cs="Times New Roman"/>
          <w:sz w:val="24"/>
          <w:szCs w:val="24"/>
        </w:rPr>
        <w:br/>
      </w:r>
      <w:r w:rsidRPr="00BE6FA1">
        <w:rPr>
          <w:rFonts w:ascii="Times New Roman" w:hAnsi="Times New Roman" w:cs="Times New Roman"/>
          <w:sz w:val="24"/>
          <w:szCs w:val="24"/>
        </w:rPr>
        <w:t xml:space="preserve">Na przeważającym obszarze województwa dobowe stężenia dwutlenku siarki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nie przekroczyły  10 % normy.</w:t>
      </w:r>
    </w:p>
    <w:p w:rsidR="00EB674A" w:rsidRPr="00BE6FA1" w:rsidRDefault="00EB674A" w:rsidP="003A27DA">
      <w:pPr>
        <w:spacing w:after="0" w:line="360" w:lineRule="auto"/>
        <w:jc w:val="both"/>
        <w:rPr>
          <w:rFonts w:ascii="Times New Roman" w:hAnsi="Times New Roman" w:cs="Times New Roman"/>
          <w:sz w:val="24"/>
          <w:szCs w:val="24"/>
        </w:rPr>
      </w:pPr>
    </w:p>
    <w:p w:rsidR="00EB674A" w:rsidRPr="00BE6FA1" w:rsidRDefault="00605A87" w:rsidP="001F0217">
      <w:pPr>
        <w:spacing w:after="0" w:line="36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737870</wp:posOffset>
                </wp:positionH>
                <wp:positionV relativeFrom="paragraph">
                  <wp:posOffset>4547870</wp:posOffset>
                </wp:positionV>
                <wp:extent cx="4128770" cy="258445"/>
                <wp:effectExtent l="0" t="0" r="0" b="3175"/>
                <wp:wrapTopAndBottom/>
                <wp:docPr id="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42653F">
                            <w:pPr>
                              <w:pStyle w:val="Legenda"/>
                              <w:rPr>
                                <w:rFonts w:ascii="Times New Roman" w:hAnsi="Times New Roman" w:cs="Times New Roman"/>
                                <w:noProof/>
                                <w:color w:val="auto"/>
                              </w:rPr>
                            </w:pPr>
                            <w:bookmarkStart w:id="65" w:name="_Toc445289828"/>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15</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8.1pt;margin-top:358.1pt;width:325.1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fTegIAAAEFAAAOAAAAZHJzL2Uyb0RvYy54bWysVNtu3CAQfa/Uf0C8b3yRN7u24o2apK4q&#10;pRcp6QewgNeoGCiwa6dV/70DXm+SXqSqqh/wAMPhzMwZLi7HXqIDt05oVePsLMWIK6qZULsaf7pv&#10;FmuMnCeKEakVr/EDd/hy8/LFxWAqnutOS8YtAhDlqsHUuPPeVEniaMd74s604Qo2W2174mFqdwmz&#10;ZAD0XiZ5mp4ng7bMWE25c7B6M23iTcRvW079h7Z13CNZY+Dm42jjuA1jsrkg1c4S0wl6pEH+gUVP&#10;hIJLT1A3xBO0t+IXqF5Qq51u/RnVfaLbVlAeY4BosvSnaO46YniMBZLjzClN7v/B0veHjxYJVuP1&#10;CiNFeqjRPR89utIjysqQn8G4CtzuDDj6EdahzjFWZ241/eyQ0tcdUTv+ylo9dJww4JeFk8mToxOO&#10;CyDb4Z1mcA/Zex2Bxtb2IXmQDgToUKeHU20CFwqLRZavVyvYorCXL9dFsYxXkGo+bazzb7juUTBq&#10;bKH2EZ0cbp0PbEg1u4TLnJaCNULKOLG77bW06EBAJ038jujP3KQKzkqHYxPitAIk4Y6wF+jGun8r&#10;s7xIr/Jy0ZyvV4uiKZaLcpWuF2lWXpXnaVEWN833QDArqk4wxtWtUHzWYFb8XY2P3TCpJ6oQDTUu&#10;l/lyKtEfg0zj97sge+GhJaXoQRMnJ1KFwr5WDMImlSdCTnbynH7MMuRg/sesRBmEyk8a8ON2BJSg&#10;ja1mDyAIq6FeUFp4R8DotP2K0QA9WWP3ZU8sx0i+VSCq0MCzYWdjOxtEUThaY4/RZF77qdH3xopd&#10;B8izbF+B8BoRNfHI4ihX6LNI/vgmhEZ+Oo9ejy/X5gcAAAD//wMAUEsDBBQABgAIAAAAIQD6j54h&#10;4AAAAAsBAAAPAAAAZHJzL2Rvd25yZXYueG1sTI/BTsMwEETvSPyDtUhcEHVaggshTlVVcIBLReiF&#10;mxu7cSBeR7bThr9n4QK3Ge3T7Ey5mlzPjibEzqOE+SwDZrDxusNWwu7t6foOWEwKteo9GglfJsKq&#10;Oj8rVaH9CV/NsU4toxCMhZJgUxoKzmNjjVNx5geDdDv44FQiG1qugzpRuOv5IssEd6pD+mDVYDbW&#10;NJ/16CRs8/etvRoPjy/r/CY878aN+GhrKS8vpvUDsGSm9AfDT32qDhV12vsRdWQ9+blYECph+SuI&#10;WAqRA9uTuBX3wKuS/99QfQMAAP//AwBQSwECLQAUAAYACAAAACEAtoM4kv4AAADhAQAAEwAAAAAA&#10;AAAAAAAAAAAAAAAAW0NvbnRlbnRfVHlwZXNdLnhtbFBLAQItABQABgAIAAAAIQA4/SH/1gAAAJQB&#10;AAALAAAAAAAAAAAAAAAAAC8BAABfcmVscy8ucmVsc1BLAQItABQABgAIAAAAIQDEJufTegIAAAEF&#10;AAAOAAAAAAAAAAAAAAAAAC4CAABkcnMvZTJvRG9jLnhtbFBLAQItABQABgAIAAAAIQD6j54h4AAA&#10;AAsBAAAPAAAAAAAAAAAAAAAAANQEAABkcnMvZG93bnJldi54bWxQSwUGAAAAAAQABADzAAAA4QUA&#10;AAAA&#10;" stroked="f">
                <v:textbox style="mso-fit-shape-to-text:t" inset="0,0,0,0">
                  <w:txbxContent>
                    <w:p w:rsidR="000D713D" w:rsidRPr="002B314D" w:rsidRDefault="000D713D" w:rsidP="0042653F">
                      <w:pPr>
                        <w:pStyle w:val="Legenda"/>
                        <w:rPr>
                          <w:rFonts w:ascii="Times New Roman" w:hAnsi="Times New Roman" w:cs="Times New Roman"/>
                          <w:noProof/>
                          <w:color w:val="auto"/>
                        </w:rPr>
                      </w:pPr>
                      <w:bookmarkStart w:id="66" w:name="_Toc445289828"/>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15</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66"/>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0288" behindDoc="0" locked="0" layoutInCell="1" allowOverlap="1" wp14:anchorId="1CEC232D" wp14:editId="2A0E46CC">
            <wp:simplePos x="0" y="0"/>
            <wp:positionH relativeFrom="column">
              <wp:posOffset>1068705</wp:posOffset>
            </wp:positionH>
            <wp:positionV relativeFrom="paragraph">
              <wp:posOffset>92075</wp:posOffset>
            </wp:positionV>
            <wp:extent cx="3797935" cy="4398645"/>
            <wp:effectExtent l="0" t="0" r="0" b="0"/>
            <wp:wrapTopAndBottom/>
            <wp:docPr id="8" name="Obra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31"/>
                    <pic:cNvPicPr>
                      <a:picLocks noChangeAspect="1" noChangeArrowheads="1"/>
                    </pic:cNvPicPr>
                  </pic:nvPicPr>
                  <pic:blipFill>
                    <a:blip r:embed="rId32" cstate="print"/>
                    <a:stretch>
                      <a:fillRect/>
                    </a:stretch>
                  </pic:blipFill>
                  <pic:spPr bwMode="auto">
                    <a:xfrm>
                      <a:off x="0" y="0"/>
                      <a:ext cx="3797935" cy="4398645"/>
                    </a:xfrm>
                    <a:prstGeom prst="rect">
                      <a:avLst/>
                    </a:prstGeom>
                  </pic:spPr>
                </pic:pic>
              </a:graphicData>
            </a:graphic>
          </wp:anchor>
        </w:drawing>
      </w:r>
      <w:r>
        <w:rPr>
          <w:rFonts w:ascii="Times New Roman"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862330</wp:posOffset>
                </wp:positionH>
                <wp:positionV relativeFrom="paragraph">
                  <wp:posOffset>8673465</wp:posOffset>
                </wp:positionV>
                <wp:extent cx="3797935" cy="323215"/>
                <wp:effectExtent l="0" t="0" r="2540" b="4445"/>
                <wp:wrapTopAndBottom/>
                <wp:docPr id="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93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Default="000D713D" w:rsidP="00EB674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67.9pt;margin-top:682.95pt;width:299.05pt;height:2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MobgIAAPEEAAAOAAAAZHJzL2Uyb0RvYy54bWysVNtu3CAQfa/Uf0C8b3xZ78XWeqMmqatK&#10;6UVK+gEs4DWqDRTYtdOo/94Br7dJL1JV1Q94gOEwM+cMm8uha9GRGyuULHFyEWPEJVVMyH2JP91X&#10;szVG1hHJSKskL/EDt/hy+/LFptcFT1WjWsYNAhBpi16XuHFOF1FkacM7Yi+U5hI2a2U64mBq9hEz&#10;pAf0ro3SOF5GvTJMG0W5tbB6M27ibcCva07dh7q23KG2xBCbC6MJ486P0XZDir0huhH0FAb5hyg6&#10;IiRceoa6IY6ggxG/QHWCGmVV7S6o6iJV14LykANkk8Q/ZXPXEM1DLlAcq89lsv8Plr4/fjRIsBKv&#10;lxhJ0gFH93xw6EoNaJX4+vTaFuB2p8HRDbAOPIdcrb5V9LMFl+iJz3jAeu9d/04xACQHp8KJoTad&#10;rxLkjQAGCHk4k+AvpbA4X+WrfL7AiMLePJ2nycJHEZFiOq2NdW+46pA3SmyA5IBOjrfWja6Ti7/M&#10;qlawSrRtmJj97ro16EhAEFX4TujP3FrpnaXyx0bEcQWChDv8ng83EPyYJ2kWX6X5rFquV7Osyhaz&#10;fBWvZ3GSX+XLOMuzm+qbDzDJikYwxuWtkHwSW5L9HZkn2Y8yCXJDfYnzRboYufhjknH4fpdkJxz0&#10;Xis6IP/sRIqGE/ZaMkibFI6IdrSj5+EHQqAG0z9UJcjAMz9qwA27IUjrLKOdYg+gC6OANiAf3g0w&#10;GmW+YtRDD5bYfjkQwzFq30oQuW/YyTCTsZsMIikcLbHDaDSv3djYB23EvgHkSaavQH+VCNLwQh2j&#10;OKkW+irkcHoDfOM+nQevHy/V9jsAAAD//wMAUEsDBBQABgAIAAAAIQBLw3Nl4gAAAA0BAAAPAAAA&#10;ZHJzL2Rvd25yZXYueG1sTI9BT8MwDIXvSPyHyEjcWNqVdqM0nWAS0gRCQEGcs8ZrC41TNdlW/j3e&#10;CW7v2U/Pn4vVZHtxwNF3jhTEswgEUu1MR42Cj/eHqyUIHzQZ3TtCBT/oYVWenxU6N+5Ib3ioQiO4&#10;hHyuFbQhDLmUvm7Raj9zAxLvdm60OrAdG2lGfeRy28t5FGXS6o74QqsHXLdYf1d7q2DRPcXpuH78&#10;mm/C6/Pmc3evq5dJqcuL6e4WRMAp/IXhhM/oUDLT1u3JeNGzT1JGDyeRpTcgOLJIEhZbHl3H2RJk&#10;Wcj/X5S/AAAA//8DAFBLAQItABQABgAIAAAAIQC2gziS/gAAAOEBAAATAAAAAAAAAAAAAAAAAAAA&#10;AABbQ29udGVudF9UeXBlc10ueG1sUEsBAi0AFAAGAAgAAAAhADj9If/WAAAAlAEAAAsAAAAAAAAA&#10;AAAAAAAALwEAAF9yZWxzLy5yZWxzUEsBAi0AFAAGAAgAAAAhALalMyhuAgAA8QQAAA4AAAAAAAAA&#10;AAAAAAAALgIAAGRycy9lMm9Eb2MueG1sUEsBAi0AFAAGAAgAAAAhAEvDc2XiAAAADQEAAA8AAAAA&#10;AAAAAAAAAAAAyAQAAGRycy9kb3ducmV2LnhtbFBLBQYAAAAABAAEAPMAAADXBQAAAAA=&#10;" stroked="f">
                <v:path arrowok="t"/>
                <v:textbox style="mso-fit-shape-to-text:t" inset="0,0,0,0">
                  <w:txbxContent>
                    <w:p w:rsidR="000D713D" w:rsidRDefault="000D713D" w:rsidP="00EB674A"/>
                  </w:txbxContent>
                </v:textbox>
                <w10:wrap type="topAndBottom"/>
              </v:shape>
            </w:pict>
          </mc:Fallback>
        </mc:AlternateContent>
      </w:r>
    </w:p>
    <w:p w:rsidR="00EB674A" w:rsidRPr="00BE6FA1" w:rsidRDefault="00EB674A" w:rsidP="003A27DA">
      <w:pPr>
        <w:spacing w:line="360" w:lineRule="auto"/>
        <w:rPr>
          <w:rFonts w:ascii="Times New Roman" w:hAnsi="Times New Roman" w:cs="Times New Roman"/>
        </w:rPr>
      </w:pP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szCs w:val="24"/>
        </w:rPr>
        <w:lastRenderedPageBreak/>
        <w:t xml:space="preserve">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 wyniki modelowania pokazują 1-godzinne stężenia SO</w:t>
      </w:r>
      <w:r w:rsidRPr="00BE6FA1">
        <w:rPr>
          <w:rFonts w:ascii="Times New Roman" w:hAnsi="Times New Roman" w:cs="Times New Roman"/>
          <w:sz w:val="24"/>
          <w:szCs w:val="24"/>
          <w:vertAlign w:val="subscript"/>
        </w:rPr>
        <w:t>2</w:t>
      </w:r>
      <w:r w:rsidR="001F0217" w:rsidRPr="00BE6FA1">
        <w:rPr>
          <w:rFonts w:ascii="Times New Roman" w:hAnsi="Times New Roman" w:cs="Times New Roman"/>
          <w:sz w:val="24"/>
          <w:szCs w:val="24"/>
          <w:vertAlign w:val="subscript"/>
        </w:rPr>
        <w:t xml:space="preserve"> </w:t>
      </w:r>
      <w:r w:rsidRPr="00BE6FA1">
        <w:rPr>
          <w:rFonts w:ascii="Times New Roman" w:hAnsi="Times New Roman" w:cs="Times New Roman"/>
          <w:sz w:val="24"/>
          <w:szCs w:val="24"/>
        </w:rPr>
        <w:t>w zakresie 9-25 μg/m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Stężenia 24-godzinne SO</w:t>
      </w:r>
      <w:r w:rsidRPr="00BE6FA1">
        <w:rPr>
          <w:rFonts w:ascii="Times New Roman" w:hAnsi="Times New Roman" w:cs="Times New Roman"/>
          <w:sz w:val="24"/>
          <w:szCs w:val="24"/>
          <w:vertAlign w:val="subscript"/>
        </w:rPr>
        <w:t>2</w:t>
      </w:r>
      <w:r w:rsidR="00C4032E" w:rsidRPr="00BE6FA1">
        <w:rPr>
          <w:rFonts w:ascii="Times New Roman" w:hAnsi="Times New Roman" w:cs="Times New Roman"/>
          <w:sz w:val="24"/>
          <w:szCs w:val="24"/>
        </w:rPr>
        <w:t xml:space="preserve"> kształtowały się również </w:t>
      </w:r>
      <w:r w:rsidR="001F0217" w:rsidRPr="00BE6FA1">
        <w:rPr>
          <w:rFonts w:ascii="Times New Roman" w:hAnsi="Times New Roman" w:cs="Times New Roman"/>
          <w:sz w:val="24"/>
          <w:szCs w:val="24"/>
        </w:rPr>
        <w:br/>
      </w:r>
      <w:r w:rsidR="00C4032E" w:rsidRPr="00BE6FA1">
        <w:rPr>
          <w:rFonts w:ascii="Times New Roman" w:hAnsi="Times New Roman" w:cs="Times New Roman"/>
          <w:sz w:val="24"/>
          <w:szCs w:val="24"/>
        </w:rPr>
        <w:t>w granicach 9</w:t>
      </w:r>
      <w:r w:rsidRPr="00BE6FA1">
        <w:rPr>
          <w:rFonts w:ascii="Times New Roman" w:hAnsi="Times New Roman" w:cs="Times New Roman"/>
          <w:sz w:val="24"/>
          <w:szCs w:val="24"/>
        </w:rPr>
        <w:t>-25 μg/m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w:t>
      </w:r>
    </w:p>
    <w:p w:rsidR="00EB674A" w:rsidRPr="00BE6FA1" w:rsidRDefault="00EB674A" w:rsidP="003A27DA">
      <w:pPr>
        <w:keepNext/>
        <w:spacing w:after="0" w:line="360" w:lineRule="auto"/>
        <w:rPr>
          <w:rFonts w:ascii="Times New Roman" w:hAnsi="Times New Roman" w:cs="Times New Roman"/>
        </w:rPr>
      </w:pPr>
    </w:p>
    <w:p w:rsidR="00EB674A" w:rsidRPr="00BE6FA1" w:rsidRDefault="00605A87" w:rsidP="004767E0">
      <w:pPr>
        <w:keepNext/>
        <w:spacing w:after="0"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737870</wp:posOffset>
                </wp:positionH>
                <wp:positionV relativeFrom="paragraph">
                  <wp:posOffset>4708525</wp:posOffset>
                </wp:positionV>
                <wp:extent cx="4433570" cy="258445"/>
                <wp:effectExtent l="0" t="0" r="0" b="0"/>
                <wp:wrapTopAndBottom/>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67" w:name="_Toc445289829"/>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16</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1-godzinnych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58.1pt;margin-top:370.75pt;width:349.1pt;height:2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fQIAAAgFAAAOAAAAZHJzL2Uyb0RvYy54bWysVNtu3CAQfa/Uf0C8b3yJnayt9Ua51FWl&#10;9CIl/QAW8BrVBgrs2mnUf++A15ukF6mq6gc8wHCYmXOG1cXYd2jPjRVKVjg5iTHikiom5LbCn+/r&#10;xRIj64hkpFOSV/iBW3yxfv1qNeiSp6pVHeMGAYi05aAr3DqnyyiytOU9sSdKcwmbjTI9cTA124gZ&#10;MgB630VpHJ9FgzJMG0W5tbB6M23idcBvGk7dx6ax3KGuwhCbC6MJ48aP0XpFyq0huhX0EAb5hyh6&#10;IiRceoS6IY6gnRG/QPWCGmVV406o6iPVNILykANkk8Q/ZXPXEs1DLlAcq49lsv8Pln7YfzJIsAov&#10;c4wk6YGjez46dKVGlIb6DNqW4HanwdGNsA48h1ytvlX0i0VSXbdEbvmlMWpoOWEQX+IrGz076hmx&#10;pfUgm+G9YnAP2TkVgMbG9L54UA4E6MDTw5EbHwuFxSw7Pc3PYYvCXpovsywPV5ByPq2NdW+56pE3&#10;KmyA+4BO9rfW+WhIObv4y6zqBKtF14WJ2W6uO4P2BHRSh++A/sKtk95ZKn9sQpxWIEi4w+/5cAPv&#10;j0WSZvFVWizqs+X5IquzfFGcx8tFnBRXxVmcFdlN/d0HmGRlKxjj8lZIPmswyf6O40M3TOoJKkRD&#10;hYs8zSeK/phkHL7fJdkLBy3ZiR40cXQipSf2jWShYRwR3WRHL8MPVYYazP9QlSADz/ykATduxqC4&#10;1N/uVbFR7AF0YRTQBgzDcwJGq8w3jAZozQrbrztiOEbdOwna8n08G2Y2NrNBJIWjFXYYTea1m/p9&#10;p43YtoA8q/cS9FeLII2nKA6qhXYLORyeBt/Pz+fB6+kBW/8AAAD//wMAUEsDBBQABgAIAAAAIQCs&#10;AUbM4QAAAAsBAAAPAAAAZHJzL2Rvd25yZXYueG1sTI+xTsMwEIZ3JN7BOiQWRJ2EEKIQp6oqGGCp&#10;CF3Y3NiNA/E5sp02vD3HBON/9+m/7+r1Ykd20j4MDgWkqwSYxs6pAXsB+/fn2xJYiBKVHB1qAd86&#10;wLq5vKhlpdwZ3/SpjT2jEgyVFGBinCrOQ2e0lWHlJo20OzpvZaToe668PFO5HXmWJAW3ckC6YOSk&#10;t0Z3X+1sBezyj525mY9Pr5v8zr/s523x2bdCXF8tm0dgUS/xD4ZffVKHhpwObkYV2Eg5LTJCBTzk&#10;6T0wIso0z4EdaFJmGfCm5v9/aH4AAAD//wMAUEsBAi0AFAAGAAgAAAAhALaDOJL+AAAA4QEAABMA&#10;AAAAAAAAAAAAAAAAAAAAAFtDb250ZW50X1R5cGVzXS54bWxQSwECLQAUAAYACAAAACEAOP0h/9YA&#10;AACUAQAACwAAAAAAAAAAAAAAAAAvAQAAX3JlbHMvLnJlbHNQSwECLQAUAAYACAAAACEAPf/n1X0C&#10;AAAIBQAADgAAAAAAAAAAAAAAAAAuAgAAZHJzL2Uyb0RvYy54bWxQSwECLQAUAAYACAAAACEArAFG&#10;zOEAAAALAQAADwAAAAAAAAAAAAAAAADXBAAAZHJzL2Rvd25yZXYueG1sUEsFBgAAAAAEAAQA8wAA&#10;AOUFA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68" w:name="_Toc445289829"/>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16</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1-godzinnych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68"/>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1312" behindDoc="0" locked="0" layoutInCell="1" allowOverlap="1" wp14:anchorId="00BEC499" wp14:editId="3188D5CF">
            <wp:simplePos x="0" y="0"/>
            <wp:positionH relativeFrom="column">
              <wp:posOffset>869950</wp:posOffset>
            </wp:positionH>
            <wp:positionV relativeFrom="paragraph">
              <wp:posOffset>103505</wp:posOffset>
            </wp:positionV>
            <wp:extent cx="4163060" cy="4547870"/>
            <wp:effectExtent l="0" t="0" r="0" b="0"/>
            <wp:wrapTopAndBottom/>
            <wp:docPr id="23"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7"/>
                    <pic:cNvPicPr>
                      <a:picLocks noChangeAspect="1" noChangeArrowheads="1"/>
                    </pic:cNvPicPr>
                  </pic:nvPicPr>
                  <pic:blipFill>
                    <a:blip r:embed="rId33" cstate="print"/>
                    <a:stretch>
                      <a:fillRect/>
                    </a:stretch>
                  </pic:blipFill>
                  <pic:spPr bwMode="auto">
                    <a:xfrm>
                      <a:off x="0" y="0"/>
                      <a:ext cx="4163060" cy="4547870"/>
                    </a:xfrm>
                    <a:prstGeom prst="rect">
                      <a:avLst/>
                    </a:prstGeom>
                  </pic:spPr>
                </pic:pic>
              </a:graphicData>
            </a:graphic>
          </wp:anchor>
        </w:drawing>
      </w:r>
    </w:p>
    <w:p w:rsidR="00EB674A" w:rsidRPr="00BE6FA1" w:rsidRDefault="00EB674A" w:rsidP="003A27DA">
      <w:pPr>
        <w:keepNext/>
        <w:spacing w:after="0" w:line="360" w:lineRule="auto"/>
        <w:rPr>
          <w:rFonts w:ascii="Times New Roman" w:hAnsi="Times New Roman" w:cs="Times New Roman"/>
        </w:rPr>
      </w:pPr>
    </w:p>
    <w:p w:rsidR="00EB674A" w:rsidRPr="00BE6FA1" w:rsidRDefault="00EB674A" w:rsidP="003A27DA">
      <w:pPr>
        <w:keepNext/>
        <w:spacing w:after="0" w:line="360" w:lineRule="auto"/>
        <w:rPr>
          <w:rFonts w:ascii="Times New Roman" w:hAnsi="Times New Roman" w:cs="Times New Roman"/>
        </w:rPr>
      </w:pPr>
    </w:p>
    <w:p w:rsidR="00EB674A" w:rsidRPr="00BE6FA1" w:rsidRDefault="00EB674A" w:rsidP="003A27DA">
      <w:pPr>
        <w:keepNext/>
        <w:spacing w:after="0" w:line="360" w:lineRule="auto"/>
        <w:rPr>
          <w:rFonts w:ascii="Times New Roman" w:hAnsi="Times New Roman" w:cs="Times New Roman"/>
        </w:rPr>
      </w:pPr>
    </w:p>
    <w:p w:rsidR="00EB674A" w:rsidRPr="00BE6FA1" w:rsidRDefault="00EB674A" w:rsidP="003A27DA">
      <w:pPr>
        <w:keepNext/>
        <w:spacing w:after="0" w:line="360" w:lineRule="auto"/>
        <w:rPr>
          <w:rFonts w:ascii="Times New Roman" w:hAnsi="Times New Roman" w:cs="Times New Roman"/>
        </w:rPr>
      </w:pPr>
    </w:p>
    <w:p w:rsidR="00EB674A" w:rsidRPr="00BE6FA1" w:rsidRDefault="00605A87" w:rsidP="003A27DA">
      <w:pPr>
        <w:keepNext/>
        <w:spacing w:after="0"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2272" behindDoc="0" locked="0" layoutInCell="1" allowOverlap="1">
                <wp:simplePos x="0" y="0"/>
                <wp:positionH relativeFrom="column">
                  <wp:posOffset>662940</wp:posOffset>
                </wp:positionH>
                <wp:positionV relativeFrom="paragraph">
                  <wp:posOffset>4785995</wp:posOffset>
                </wp:positionV>
                <wp:extent cx="4497705" cy="258445"/>
                <wp:effectExtent l="635" t="0" r="0" b="0"/>
                <wp:wrapTopAndBottom/>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69" w:name="_Toc445289830"/>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17</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24-godzinnych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52.2pt;margin-top:376.85pt;width:354.15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uCfgIAAAgFAAAOAAAAZHJzL2Uyb0RvYy54bWysVNuO2yAQfa/Uf0C8Z32ps4mtOKtNtq4q&#10;bS/Sbj+AGByjYqBAYm+r/nsHHGd3e5Gqqn7AAwyHmTlnWF0NnUBHZixXssTJRYwRk7WiXO5L/Om+&#10;mi0xso5ISoSSrMQPzOKr9csXq14XLFWtEpQZBCDSFr0uceucLqLI1i3riL1QmknYbJTpiIOp2UfU&#10;kB7QOxGlcXwZ9cpQbVTNrIXVm3ETrwN+07DafWgayxwSJYbYXBhNGHd+jNYrUuwN0S2vT2GQf4ii&#10;I1zCpWeoG+IIOhj+C1THa6OsatxFrbpINQ2vWcgBsknin7K5a4lmIRcojtXnMtn/B1u/P340iNMS&#10;LzOMJOmAo3s2OLRRA0pTX59e2wLc7jQ4ugHWgeeQq9W3qv5skVTblsg9uzZG9S0jFOJL/MnoydER&#10;x3qQXf9OUbiHHJwKQENjOl88KAcCdODp4cyNj6WGxSzLF4t4jlENe+l8mWXzcAUpptPaWPeGqQ55&#10;o8QGuA/o5HhrnY+GFJOLv8wqwWnFhQgTs99thUFHAjqpwndCf+YmpHeWyh8bEccVCBLu8Hs+3MD7&#10;tzxJs3iT5rPqcrmYZVU2n+WLeDmLk3yTX8ZZnt1U332ASVa0nFImb7lkkwaT7O84PnXDqJ6gQtSX&#10;OJ+n85GiPyYZh+93SXbcQUsK3oEmzk6k8MS+lhTSJoUjXIx29Dz8UGWowfQPVQky8MyPGnDDbgiK&#10;e+Vv9xLZKfoAujAKaAPy4TkBo1XmK0Y9tGaJ7ZcDMQwj8VaCtnwfT4aZjN1kEFnD0RI7jEZz68Z+&#10;P2jD9y0gT+q9Bv1VPEjjMYqTaqHdQg6np8H389N58Hp8wNY/AAAA//8DAFBLAwQUAAYACAAAACEA&#10;JLgjueEAAAALAQAADwAAAGRycy9kb3ducmV2LnhtbEyPMU/DMBCFdyT+g3VILIg6bUNbQpyqqmCg&#10;S0XowubG1zgQn6PYacO/55hgu3fv6d13+Xp0rThjHxpPCqaTBARS5U1DtYLD+8v9CkSImoxuPaGC&#10;bwywLq6vcp0Zf6E3PJexFlxCIdMKbIxdJmWoLDodJr5DYu/ke6cjy76WptcXLnetnCXJQjrdEF+w&#10;usOtxeqrHJyCffqxt3fD6Xm3Sef962HYLj7rUqnbm3HzBCLiGP/C8IvP6FAw09EPZIJoWSdpylEF&#10;y4f5EgQnVtMZD0fePLIli1z+/6H4AQAA//8DAFBLAQItABQABgAIAAAAIQC2gziS/gAAAOEBAAAT&#10;AAAAAAAAAAAAAAAAAAAAAABbQ29udGVudF9UeXBlc10ueG1sUEsBAi0AFAAGAAgAAAAhADj9If/W&#10;AAAAlAEAAAsAAAAAAAAAAAAAAAAALwEAAF9yZWxzLy5yZWxzUEsBAi0AFAAGAAgAAAAhAKAga4J+&#10;AgAACAUAAA4AAAAAAAAAAAAAAAAALgIAAGRycy9lMm9Eb2MueG1sUEsBAi0AFAAGAAgAAAAhACS4&#10;I7nhAAAACwEAAA8AAAAAAAAAAAAAAAAA2AQAAGRycy9kb3ducmV2LnhtbFBLBQYAAAAABAAEAPMA&#10;AADmBQ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70" w:name="_Toc445289830"/>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17</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24-godzinnych SO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0"/>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2336" behindDoc="0" locked="0" layoutInCell="1" allowOverlap="1" wp14:anchorId="697F30D4" wp14:editId="4F81170F">
            <wp:simplePos x="0" y="0"/>
            <wp:positionH relativeFrom="column">
              <wp:align>center</wp:align>
            </wp:positionH>
            <wp:positionV relativeFrom="paragraph">
              <wp:align>top</wp:align>
            </wp:positionV>
            <wp:extent cx="4117975" cy="4728845"/>
            <wp:effectExtent l="0" t="0" r="0" b="0"/>
            <wp:wrapTopAndBottom/>
            <wp:docPr id="24"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8"/>
                    <pic:cNvPicPr>
                      <a:picLocks noChangeAspect="1" noChangeArrowheads="1"/>
                    </pic:cNvPicPr>
                  </pic:nvPicPr>
                  <pic:blipFill>
                    <a:blip r:embed="rId34" cstate="print"/>
                    <a:stretch>
                      <a:fillRect/>
                    </a:stretch>
                  </pic:blipFill>
                  <pic:spPr bwMode="auto">
                    <a:xfrm>
                      <a:off x="0" y="0"/>
                      <a:ext cx="4117975" cy="4728845"/>
                    </a:xfrm>
                    <a:prstGeom prst="rect">
                      <a:avLst/>
                    </a:prstGeom>
                  </pic:spPr>
                </pic:pic>
              </a:graphicData>
            </a:graphic>
          </wp:anchor>
        </w:drawing>
      </w:r>
    </w:p>
    <w:p w:rsidR="00EB674A" w:rsidRPr="00BE6FA1" w:rsidRDefault="00EB674A" w:rsidP="003A27DA">
      <w:pPr>
        <w:spacing w:after="0" w:line="360" w:lineRule="auto"/>
        <w:rPr>
          <w:rFonts w:ascii="Times New Roman" w:hAnsi="Times New Roman" w:cs="Times New Roman"/>
        </w:rPr>
      </w:pP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Na podstawie wyników pomiarów SO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ze stacji monitoringu powietrza oraz wyniki modelowania rozkładu stężeń SO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dokonano klasyfikacji stref w województwie podkarpackim ze względu na zanieczyszczenie powietrza atmosferycznego dwutlenkiem siarki w kryterium ochrony zdrowia. Strefa miasto Rzeszów i strefa podkarpacka zakwalifikowane zostały do klasy A, co oznacza, że na terenie województwa nie wystąpiło</w:t>
      </w:r>
      <w:r w:rsidR="004767E0" w:rsidRPr="00BE6FA1">
        <w:rPr>
          <w:rFonts w:ascii="Times New Roman" w:hAnsi="Times New Roman" w:cs="Times New Roman"/>
          <w:sz w:val="24"/>
        </w:rPr>
        <w:br/>
      </w:r>
      <w:r w:rsidRPr="00BE6FA1">
        <w:rPr>
          <w:rFonts w:ascii="Times New Roman" w:hAnsi="Times New Roman" w:cs="Times New Roman"/>
          <w:sz w:val="24"/>
        </w:rPr>
        <w:t>w 2014 r. zagrożenie przekroczenia dopuszczalnych stężeń dla dwutlenku siarki w powietrzu.</w:t>
      </w: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p>
    <w:p w:rsidR="00655933" w:rsidRPr="00BE6FA1" w:rsidRDefault="00655933" w:rsidP="003A27DA">
      <w:pPr>
        <w:spacing w:after="0" w:line="360" w:lineRule="auto"/>
        <w:ind w:firstLine="708"/>
        <w:jc w:val="both"/>
        <w:rPr>
          <w:rFonts w:ascii="Times New Roman" w:hAnsi="Times New Roman" w:cs="Times New Roman"/>
          <w:sz w:val="24"/>
        </w:rPr>
      </w:pPr>
    </w:p>
    <w:p w:rsidR="00655933" w:rsidRPr="00BE6FA1" w:rsidRDefault="00655933"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rPr>
          <w:rFonts w:ascii="Times New Roman" w:hAnsi="Times New Roman" w:cs="Times New Roman"/>
          <w:b/>
          <w:sz w:val="24"/>
        </w:rPr>
      </w:pPr>
      <w:r w:rsidRPr="00BE6FA1">
        <w:rPr>
          <w:rFonts w:ascii="Times New Roman" w:hAnsi="Times New Roman" w:cs="Times New Roman"/>
          <w:b/>
          <w:sz w:val="24"/>
        </w:rPr>
        <w:lastRenderedPageBreak/>
        <w:t>Dwutlenek azotu</w:t>
      </w:r>
    </w:p>
    <w:p w:rsidR="00EB674A" w:rsidRPr="00BE6FA1" w:rsidRDefault="00EB674A" w:rsidP="003A27DA">
      <w:pPr>
        <w:spacing w:after="0" w:line="360" w:lineRule="auto"/>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W województwie podkarpackim badania zanieczyszczenia powietrza dwutlenkiem azotu w kryterium ochrony zdrowia prowadzone były w 4 punktach pomiarowych metodą automatyczną z jednogodzinnym czasem uśredniania stężeń.</w:t>
      </w:r>
    </w:p>
    <w:p w:rsidR="00EB674A" w:rsidRPr="00BE6FA1" w:rsidRDefault="00EB674A" w:rsidP="003A27DA">
      <w:pPr>
        <w:keepNext/>
        <w:spacing w:after="0" w:line="360" w:lineRule="auto"/>
        <w:jc w:val="center"/>
        <w:rPr>
          <w:rFonts w:ascii="Times New Roman" w:hAnsi="Times New Roman" w:cs="Times New Roman"/>
        </w:rPr>
      </w:pPr>
    </w:p>
    <w:p w:rsidR="00EB674A" w:rsidRPr="00BE6FA1" w:rsidRDefault="00605A87" w:rsidP="003A27DA">
      <w:pPr>
        <w:spacing w:after="0" w:line="360" w:lineRule="auto"/>
        <w:ind w:firstLine="708"/>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simplePos x="0" y="0"/>
                <wp:positionH relativeFrom="column">
                  <wp:posOffset>760095</wp:posOffset>
                </wp:positionH>
                <wp:positionV relativeFrom="paragraph">
                  <wp:posOffset>5930265</wp:posOffset>
                </wp:positionV>
                <wp:extent cx="4097655" cy="258445"/>
                <wp:effectExtent l="2540" t="3175" r="0" b="0"/>
                <wp:wrapTopAndBottom/>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71" w:name="_Toc445289831"/>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18</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59.85pt;margin-top:466.95pt;width:322.65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vafgIAAAgFAAAOAAAAZHJzL2Uyb0RvYy54bWysVNuO2yAQfa/Uf0C8Z32pnY2tOKu91FWl&#10;7UXa7QcQg2NUDBRI7G3Vf++A4+xuL1JV1Q94gOEwM+cM64uxF+jAjOVKVjg5izFislGUy12FP93X&#10;ixVG1hFJiVCSVfiBWXyxefliPeiSpapTgjKDAETactAV7pzTZRTZpmM9sWdKMwmbrTI9cTA1u4ga&#10;MgB6L6I0jpfRoAzVRjXMWli9mTbxJuC3LWvch7a1zCFRYYjNhdGEcevHaLMm5c4Q3fHmGAb5hyh6&#10;wiVceoK6IY6gveG/QPW8Mcqq1p01qo9U2/KGhRwgmyT+KZu7jmgWcoHiWH0qk/1/sM37w0eDOK3w&#10;KsVIkh44umejQ1dqROkrX59B2xLc7jQ4uhHWgeeQq9W3qvlskVTXHZE7dmmMGjpGKMSX+JPRk6MT&#10;jvUg2+GdonAP2TsVgMbW9L54UA4E6MDTw4kbH0sDi1lcnC/zHKMG9tJ8lWV5uIKU82ltrHvDVI+8&#10;UWED3Ad0cri1zkdDytnFX2aV4LTmQoSJ2W2vhUEHAjqpw3dEf+YmpHeWyh+bEKcVCBLu8Hs+3MD7&#10;tyJJs/gqLRb1cnW+yOosXxTn8WoRJ8VVsYyzIrupv/sAk6zsOKVM3nLJZg0m2d9xfOyGST1BhWio&#10;cJGn+UTRH5OMw/e7JHvuoCUF70ETJydSemJfSwppk9IRLiY7eh5+qDLUYP6HqgQZeOYnDbhxOwbF&#10;Zf52L5Gtog+gC6OANiAfnhMwOmW+YjRAa1bYftkTwzASbyVoy/fxbJjZ2M4GkQ0crbDDaDKv3dTv&#10;e234rgPkWb2XoL+aB2k8RnFULbRbyOH4NPh+fjoPXo8P2OYHAAAA//8DAFBLAwQUAAYACAAAACEA&#10;GXorpeIAAAALAQAADwAAAGRycy9kb3ducmV2LnhtbEyPwU7DMBBE70j8g7VIXBB1SkLShDhVVcEB&#10;LhWhl97c2I0D8TqKnTb8PcsJjjP7NDtTrmfbs7MefedQwHIRAdPYONVhK2D/8XK/AuaDRCV7h1rA&#10;t/awrq6vSlkod8F3fa5DyygEfSEFmBCGgnPfGG2lX7hBI91ObrQykBxbrkZ5oXDb84coSrmVHdIH&#10;Iwe9Nbr5qicrYJccduZuOj2/bZJ4fN1P2/SzrYW4vZk3T8CCnsMfDL/1qTpU1OnoJlSe9aSXeUao&#10;gDyOc2BEZOkjrTuSkyUp8Krk/zdUPwAAAP//AwBQSwECLQAUAAYACAAAACEAtoM4kv4AAADhAQAA&#10;EwAAAAAAAAAAAAAAAAAAAAAAW0NvbnRlbnRfVHlwZXNdLnhtbFBLAQItABQABgAIAAAAIQA4/SH/&#10;1gAAAJQBAAALAAAAAAAAAAAAAAAAAC8BAABfcmVscy8ucmVsc1BLAQItABQABgAIAAAAIQCdAsva&#10;fgIAAAgFAAAOAAAAAAAAAAAAAAAAAC4CAABkcnMvZTJvRG9jLnhtbFBLAQItABQABgAIAAAAIQAZ&#10;eiul4gAAAAsBAAAPAAAAAAAAAAAAAAAAANgEAABkcnMvZG93bnJldi54bWxQSwUGAAAAAAQABADz&#10;AAAA5wU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72" w:name="_Toc445289831"/>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18</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2"/>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3360" behindDoc="0" locked="0" layoutInCell="1" allowOverlap="1" wp14:anchorId="265E7B1C" wp14:editId="11A5A0CA">
            <wp:simplePos x="0" y="0"/>
            <wp:positionH relativeFrom="column">
              <wp:posOffset>760095</wp:posOffset>
            </wp:positionH>
            <wp:positionV relativeFrom="paragraph">
              <wp:posOffset>1625600</wp:posOffset>
            </wp:positionV>
            <wp:extent cx="4097655" cy="4247515"/>
            <wp:effectExtent l="0" t="0" r="0" b="0"/>
            <wp:wrapTopAndBottom/>
            <wp:docPr id="25"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9"/>
                    <pic:cNvPicPr>
                      <a:picLocks noChangeAspect="1" noChangeArrowheads="1"/>
                    </pic:cNvPicPr>
                  </pic:nvPicPr>
                  <pic:blipFill>
                    <a:blip r:embed="rId35" cstate="print"/>
                    <a:stretch>
                      <a:fillRect/>
                    </a:stretch>
                  </pic:blipFill>
                  <pic:spPr bwMode="auto">
                    <a:xfrm>
                      <a:off x="0" y="0"/>
                      <a:ext cx="4097655" cy="4247515"/>
                    </a:xfrm>
                    <a:prstGeom prst="rect">
                      <a:avLst/>
                    </a:prstGeom>
                  </pic:spPr>
                </pic:pic>
              </a:graphicData>
            </a:graphic>
          </wp:anchor>
        </w:drawing>
      </w:r>
      <w:r w:rsidR="00EB674A" w:rsidRPr="00BE6FA1">
        <w:rPr>
          <w:rFonts w:ascii="Times New Roman" w:hAnsi="Times New Roman" w:cs="Times New Roman"/>
          <w:sz w:val="24"/>
        </w:rPr>
        <w:t>Dopuszczalne wartości 1-godzinnych stężeń NO</w:t>
      </w:r>
      <w:r w:rsidR="00EB674A" w:rsidRPr="00BE6FA1">
        <w:rPr>
          <w:rFonts w:ascii="Times New Roman" w:hAnsi="Times New Roman" w:cs="Times New Roman"/>
          <w:sz w:val="24"/>
          <w:vertAlign w:val="subscript"/>
        </w:rPr>
        <w:t>2</w:t>
      </w:r>
      <w:r w:rsidR="00EB674A" w:rsidRPr="00BE6FA1">
        <w:rPr>
          <w:rFonts w:ascii="Times New Roman" w:hAnsi="Times New Roman" w:cs="Times New Roman"/>
          <w:sz w:val="24"/>
        </w:rPr>
        <w:t xml:space="preserve">, ustalone na poziomie </w:t>
      </w:r>
      <w:r w:rsidR="00C4032E" w:rsidRPr="00BE6FA1">
        <w:rPr>
          <w:rFonts w:ascii="Times New Roman" w:hAnsi="Times New Roman" w:cs="Times New Roman"/>
          <w:sz w:val="24"/>
        </w:rPr>
        <w:br/>
      </w:r>
      <w:r w:rsidR="00EB674A" w:rsidRPr="00BE6FA1">
        <w:rPr>
          <w:rFonts w:ascii="Times New Roman" w:hAnsi="Times New Roman" w:cs="Times New Roman"/>
          <w:sz w:val="24"/>
        </w:rPr>
        <w:t>200 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 xml:space="preserve"> nie zostały przekroczone. W zakresie stężeń 1-godzinnych dwutlenku azotu wyniki modelowania za rok 2014 wykazały występowanie wartości w przedziale </w:t>
      </w:r>
      <w:r w:rsidR="00C4032E" w:rsidRPr="00BE6FA1">
        <w:rPr>
          <w:rFonts w:ascii="Times New Roman" w:hAnsi="Times New Roman" w:cs="Times New Roman"/>
          <w:sz w:val="24"/>
        </w:rPr>
        <w:br/>
      </w:r>
      <w:r w:rsidR="00EB674A" w:rsidRPr="00BE6FA1">
        <w:rPr>
          <w:rFonts w:ascii="Times New Roman" w:hAnsi="Times New Roman" w:cs="Times New Roman"/>
          <w:sz w:val="24"/>
        </w:rPr>
        <w:t>7-135 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.W zakresie stężeń średniorocznych dwutlenku azotu wyniki modelowania wykazały występowania wartości w przedziale 1,8-30 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w:t>
      </w: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szCs w:val="24"/>
        </w:rPr>
      </w:pPr>
    </w:p>
    <w:p w:rsidR="00EB674A" w:rsidRPr="00BE6FA1" w:rsidRDefault="00EB674A" w:rsidP="003A27DA">
      <w:pPr>
        <w:spacing w:after="0" w:line="360" w:lineRule="auto"/>
        <w:ind w:firstLine="708"/>
        <w:jc w:val="both"/>
        <w:rPr>
          <w:rFonts w:ascii="Times New Roman" w:hAnsi="Times New Roman" w:cs="Times New Roman"/>
          <w:sz w:val="24"/>
          <w:szCs w:val="24"/>
        </w:rPr>
      </w:pPr>
    </w:p>
    <w:p w:rsidR="00EB674A" w:rsidRPr="00BE6FA1" w:rsidRDefault="00EB674A" w:rsidP="003A27DA">
      <w:pPr>
        <w:spacing w:after="0" w:line="360" w:lineRule="auto"/>
        <w:ind w:firstLine="708"/>
        <w:jc w:val="both"/>
        <w:rPr>
          <w:rFonts w:ascii="Times New Roman" w:hAnsi="Times New Roman" w:cs="Times New Roman"/>
          <w:sz w:val="24"/>
          <w:szCs w:val="24"/>
        </w:rPr>
      </w:pPr>
    </w:p>
    <w:p w:rsidR="00EB674A" w:rsidRPr="00BE6FA1" w:rsidRDefault="00EB674A" w:rsidP="003A27DA">
      <w:pPr>
        <w:spacing w:after="0" w:line="360" w:lineRule="auto"/>
        <w:ind w:firstLine="708"/>
        <w:jc w:val="both"/>
        <w:rPr>
          <w:rFonts w:ascii="Times New Roman" w:hAnsi="Times New Roman" w:cs="Times New Roman"/>
          <w:sz w:val="24"/>
          <w:szCs w:val="24"/>
        </w:rPr>
      </w:pPr>
    </w:p>
    <w:p w:rsidR="00EB674A" w:rsidRPr="00BE6FA1" w:rsidRDefault="00C4032E"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szCs w:val="24"/>
        </w:rPr>
        <w:lastRenderedPageBreak/>
        <w:t xml:space="preserve">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r w:rsidR="00EB674A" w:rsidRPr="00BE6FA1">
        <w:rPr>
          <w:rFonts w:ascii="Times New Roman" w:hAnsi="Times New Roman" w:cs="Times New Roman"/>
          <w:sz w:val="24"/>
          <w:szCs w:val="24"/>
        </w:rPr>
        <w:t xml:space="preserve"> wyniki modelowania pokazują 1-godzinne stężenia NO</w:t>
      </w:r>
      <w:r w:rsidR="00EB674A"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w zakresie 21-25 </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 xml:space="preserve">. Stężenia średnioroczne w gminie wykazywały wartości </w:t>
      </w:r>
      <w:r w:rsidR="00EB674A" w:rsidRPr="00BE6FA1">
        <w:rPr>
          <w:rFonts w:ascii="Times New Roman" w:hAnsi="Times New Roman" w:cs="Times New Roman"/>
          <w:sz w:val="24"/>
        </w:rPr>
        <w:br/>
      </w:r>
      <w:r w:rsidRPr="00BE6FA1">
        <w:rPr>
          <w:rFonts w:ascii="Times New Roman" w:hAnsi="Times New Roman" w:cs="Times New Roman"/>
          <w:sz w:val="24"/>
        </w:rPr>
        <w:t>w przedziale 5-8</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w:t>
      </w:r>
    </w:p>
    <w:p w:rsidR="00EB674A" w:rsidRPr="00BE6FA1" w:rsidRDefault="00EB674A" w:rsidP="003A27DA">
      <w:pPr>
        <w:pStyle w:val="Legenda"/>
        <w:spacing w:line="360" w:lineRule="auto"/>
        <w:jc w:val="center"/>
        <w:rPr>
          <w:rFonts w:ascii="Times New Roman" w:hAnsi="Times New Roman" w:cs="Times New Roman"/>
          <w:color w:val="auto"/>
        </w:rPr>
      </w:pPr>
      <w:r w:rsidRPr="00BE6FA1">
        <w:rPr>
          <w:rFonts w:ascii="Times New Roman" w:hAnsi="Times New Roman" w:cs="Times New Roman"/>
          <w:noProof/>
          <w:color w:val="auto"/>
        </w:rPr>
        <w:drawing>
          <wp:anchor distT="0" distB="127000" distL="0" distR="0" simplePos="0" relativeHeight="251664384" behindDoc="0" locked="0" layoutInCell="1" allowOverlap="1" wp14:anchorId="1A162107" wp14:editId="5DFDD37F">
            <wp:simplePos x="0" y="0"/>
            <wp:positionH relativeFrom="column">
              <wp:posOffset>822960</wp:posOffset>
            </wp:positionH>
            <wp:positionV relativeFrom="paragraph">
              <wp:posOffset>374650</wp:posOffset>
            </wp:positionV>
            <wp:extent cx="3881755" cy="4440555"/>
            <wp:effectExtent l="0" t="0" r="0" b="0"/>
            <wp:wrapTopAndBottom/>
            <wp:docPr id="26"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10"/>
                    <pic:cNvPicPr>
                      <a:picLocks noChangeAspect="1" noChangeArrowheads="1"/>
                    </pic:cNvPicPr>
                  </pic:nvPicPr>
                  <pic:blipFill>
                    <a:blip r:embed="rId36" cstate="print"/>
                    <a:stretch>
                      <a:fillRect/>
                    </a:stretch>
                  </pic:blipFill>
                  <pic:spPr bwMode="auto">
                    <a:xfrm>
                      <a:off x="0" y="0"/>
                      <a:ext cx="3881755" cy="4440555"/>
                    </a:xfrm>
                    <a:prstGeom prst="rect">
                      <a:avLst/>
                    </a:prstGeom>
                  </pic:spPr>
                </pic:pic>
              </a:graphicData>
            </a:graphic>
          </wp:anchor>
        </w:drawing>
      </w:r>
    </w:p>
    <w:p w:rsidR="00EB674A" w:rsidRPr="00BE6FA1" w:rsidRDefault="00605A87" w:rsidP="003A27DA">
      <w:pPr>
        <w:pStyle w:val="Legenda"/>
        <w:spacing w:line="360" w:lineRule="auto"/>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6368" behindDoc="0" locked="0" layoutInCell="1" allowOverlap="1">
                <wp:simplePos x="0" y="0"/>
                <wp:positionH relativeFrom="column">
                  <wp:posOffset>620395</wp:posOffset>
                </wp:positionH>
                <wp:positionV relativeFrom="paragraph">
                  <wp:posOffset>4548505</wp:posOffset>
                </wp:positionV>
                <wp:extent cx="4412615" cy="258445"/>
                <wp:effectExtent l="0" t="0" r="1270" b="635"/>
                <wp:wrapTopAndBottom/>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73" w:name="_Toc445289832"/>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19</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1-godzinnych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48.85pt;margin-top:358.15pt;width:347.45pt;height:2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RlfAIAAAg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N1&#10;hpEiPXB0z0ePrvSI8iLUZzCuArc7A45+hHXgOebqzK2mnx1S+rojascvrdVDxwmD+LJwMnlydMJx&#10;AWQ7vNMM7iF7ryPQ2No+FA/KgQAdeHo4cRNiobBYFFm+ypYYUdjLl+uiWMYrSDWfNtb5N1z3KBg1&#10;tsB9RCeHW+dDNKSaXcJlTkvBGiFlnNjd9lpadCCgkyZ+R/RnblIFZ6XDsQlxWoEg4Y6wF8KNvH8r&#10;s7xIr/Jy0azWrxZFUywX5at0vUiz8qpcpUVZ3DTfQ4BZUXWCMa5uheKzBrPi7zg+dsOknqhCNNS4&#10;XObLiaI/JpnG73dJ9sJDS0rRgyZOTqQKxL5WDNImlSdCTnbyPPxYZajB/I9ViTIIzE8a8ON2jIqL&#10;BAaJbDV7AF1YDbQB+fCcgNFp+xWjAVqzxu7LnliOkXyrQFuhj2fDzsZ2NoiicLTGHqPJvPZTv++N&#10;FbsOkGf1XoL+GhGl8RjFUbXQbjGH49MQ+vnpPHo9PmCbHwAAAP//AwBQSwMEFAAGAAgAAAAhAFOm&#10;CSriAAAACgEAAA8AAABkcnMvZG93bnJldi54bWxMjz1PwzAQhnck/oN1SCyIOv0gpiFOVVUw0KUi&#10;7dLNja9xID5HsdOGf4+ZYLvTPXrvefPVaFt2wd43jiRMJwkwpMrphmoJh/3b4zMwHxRp1TpCCd/o&#10;YVXc3uQq0+5KH3gpQ81iCPlMSTAhdBnnvjJolZ+4Dinezq63KsS1r7nu1TWG25bPkiTlVjUUPxjV&#10;4cZg9VUOVsJucdyZh+H8ul0v5v37Ydikn3Up5f3duH4BFnAMfzD86kd1KKLTyQ2kPWslLIWIpAQx&#10;TefAIiCWsxTYKQ5PIgFe5Px/heIHAAD//wMAUEsBAi0AFAAGAAgAAAAhALaDOJL+AAAA4QEAABMA&#10;AAAAAAAAAAAAAAAAAAAAAFtDb250ZW50X1R5cGVzXS54bWxQSwECLQAUAAYACAAAACEAOP0h/9YA&#10;AACUAQAACwAAAAAAAAAAAAAAAAAvAQAAX3JlbHMvLnJlbHNQSwECLQAUAAYACAAAACEA4BykZXwC&#10;AAAIBQAADgAAAAAAAAAAAAAAAAAuAgAAZHJzL2Uyb0RvYy54bWxQSwECLQAUAAYACAAAACEAU6YJ&#10;KuIAAAAKAQAADwAAAAAAAAAAAAAAAADWBAAAZHJzL2Rvd25yZXYueG1sUEsFBgAAAAAEAAQA8wAA&#10;AOUFA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74" w:name="_Toc445289832"/>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19</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1-godzinnych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4"/>
                    </w:p>
                  </w:txbxContent>
                </v:textbox>
                <w10:wrap type="topAndBottom"/>
              </v:shape>
            </w:pict>
          </mc:Fallback>
        </mc:AlternateContent>
      </w: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BC3A23" w:rsidRPr="00BE6FA1" w:rsidRDefault="00BC3A23" w:rsidP="002B314D">
      <w:pPr>
        <w:pStyle w:val="Legenda"/>
        <w:spacing w:line="360" w:lineRule="auto"/>
        <w:rPr>
          <w:rFonts w:ascii="Times New Roman" w:hAnsi="Times New Roman" w:cs="Times New Roman"/>
          <w:color w:val="auto"/>
        </w:rPr>
      </w:pPr>
    </w:p>
    <w:p w:rsidR="00EB674A" w:rsidRPr="00BE6FA1" w:rsidRDefault="00605A87" w:rsidP="002B314D">
      <w:pPr>
        <w:pStyle w:val="Legenda"/>
        <w:spacing w:line="360" w:lineRule="auto"/>
        <w:rPr>
          <w:rFonts w:ascii="Times New Roman" w:hAnsi="Times New Roman" w:cs="Times New Roman"/>
          <w:color w:val="auto"/>
        </w:rPr>
      </w:pPr>
      <w:r>
        <w:rPr>
          <w:rFonts w:ascii="Times New Roman" w:hAnsi="Times New Roman" w:cs="Times New Roman"/>
          <w:noProof/>
          <w:color w:val="auto"/>
        </w:rPr>
        <w:lastRenderedPageBreak/>
        <mc:AlternateContent>
          <mc:Choice Requires="wps">
            <w:drawing>
              <wp:anchor distT="0" distB="0" distL="114300" distR="114300" simplePos="0" relativeHeight="251708416" behindDoc="0" locked="0" layoutInCell="1" allowOverlap="1">
                <wp:simplePos x="0" y="0"/>
                <wp:positionH relativeFrom="column">
                  <wp:posOffset>610235</wp:posOffset>
                </wp:positionH>
                <wp:positionV relativeFrom="paragraph">
                  <wp:posOffset>4753610</wp:posOffset>
                </wp:positionV>
                <wp:extent cx="4518660" cy="258445"/>
                <wp:effectExtent l="0" t="0" r="635" b="3175"/>
                <wp:wrapTopAndBottom/>
                <wp:docPr id="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75" w:name="_Toc445289833"/>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20</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średniorocznych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48.05pt;margin-top:374.3pt;width:355.8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J0fAIAAAgFAAAOAAAAZHJzL2Uyb0RvYy54bWysVG1v2yAQ/j5p/wHxPbUdOWls1amadJ4m&#10;dS9Sux9AAMdoGBiQ2N3U/74Dx23XbdI0zR/wAcfDc3fPcXE5dBIduXVCqwpnZylGXFHNhNpX+PNd&#10;PVth5DxRjEiteIXvucOX69evLnpT8rlutWTcIgBRruxNhVvvTZkkjra8I+5MG65gs9G2Ix6mdp8w&#10;S3pA72QyT9Nl0mvLjNWUOwer1+MmXkf8puHUf2waxz2SFQZuPo42jrswJusLUu4tMa2gJxrkH1h0&#10;RCi49BHqmniCDlb8AtUJarXTjT+jukt00wjKYwwQTZa+iOa2JYbHWCA5zjymyf0/WPrh+MkiwSq8&#10;gvQo0kGN7vjg0UYPaL4I+emNK8Ht1oCjH2Ad6hxjdeZG0y8OKb1tidrzK2t133LCgF8WTibPjo44&#10;LoDs+veawT3k4HUEGhrbheRBOhCgA5H7x9oELhQW80W2Wi5hi8LefLHK80guIeV02ljn33LdoWBU&#10;2ELtIzo53jgf2JBycgmXOS0Fq4WUcWL3u6206EhAJ3X8YgAv3KQKzkqHYyPiuAIk4Y6wF+jGun8v&#10;snmebubFrF6uzmd5nS9mxXm6mqVZsSmWaV7k1/VDIJjlZSsY4+pGKD5pMMv/rsanbhjVE1WI+goX&#10;CyhdjOuPQabx+12QnfDQklJ0QRPhC06kDIV9o1i0PRFytJOf6ccsQw6mf8xKlEGo/KgBP+yGqLhl&#10;AA4S2Wl2D7qwGsoGFYbnBIxW228Y9dCaFXZfD8RyjOQ7BdoCFz8ZdjJ2k0EUhaMV9hiN5taP/X4w&#10;VuxbQJ7UewX6q0WUxhOLk2qh3WIMp6ch9PPzefR6esDWPwAAAP//AwBQSwMEFAAGAAgAAAAhAGpO&#10;R4nhAAAACgEAAA8AAABkcnMvZG93bnJldi54bWxMj7FOwzAQhnck3sE6JBZEndIoSUOcqqpggKUi&#10;dGFz42sciM+R7bTh7TETjHf36b/vrzazGdgZne8tCVguEmBIrVU9dQIO78/3BTAfJCk5WEIB3+hh&#10;U19fVbJU9kJveG5Cx2II+VIK0CGMJee+1WikX9gRKd5O1hkZ4ug6rpy8xHAz8IckybiRPcUPWo64&#10;09h+NZMRsE8/9vpuOj29btOVezlMu+yza4S4vZm3j8ACzuEPhl/9qA51dDraiZRng4B1toykgDwt&#10;MmARKJI8B3aMm2K9Al5X/H+F+gcAAP//AwBQSwECLQAUAAYACAAAACEAtoM4kv4AAADhAQAAEwAA&#10;AAAAAAAAAAAAAAAAAAAAW0NvbnRlbnRfVHlwZXNdLnhtbFBLAQItABQABgAIAAAAIQA4/SH/1gAA&#10;AJQBAAALAAAAAAAAAAAAAAAAAC8BAABfcmVscy8ucmVsc1BLAQItABQABgAIAAAAIQCIWlJ0fAIA&#10;AAgFAAAOAAAAAAAAAAAAAAAAAC4CAABkcnMvZTJvRG9jLnhtbFBLAQItABQABgAIAAAAIQBqTkeJ&#10;4QAAAAoBAAAPAAAAAAAAAAAAAAAAANYEAABkcnMvZG93bnJldi54bWxQSwUGAAAAAAQABADzAAAA&#10;5AU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76" w:name="_Toc445289833"/>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20</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średniorocznych NO</w:t>
                      </w:r>
                      <w:r w:rsidRPr="002B314D">
                        <w:rPr>
                          <w:rFonts w:ascii="Times New Roman" w:hAnsi="Times New Roman" w:cs="Times New Roman"/>
                          <w:color w:val="auto"/>
                          <w:vertAlign w:val="subscript"/>
                        </w:rPr>
                        <w:t>2</w:t>
                      </w:r>
                      <w:r w:rsidRPr="002B314D">
                        <w:rPr>
                          <w:rFonts w:ascii="Times New Roman" w:hAnsi="Times New Roman" w:cs="Times New Roman"/>
                          <w:color w:val="auto"/>
                        </w:rPr>
                        <w:t xml:space="preserve"> w województwie podkarpackim w 2014 r.</w:t>
                      </w:r>
                      <w:bookmarkEnd w:id="76"/>
                    </w:p>
                  </w:txbxContent>
                </v:textbox>
                <w10:wrap type="topAndBottom"/>
              </v:shape>
            </w:pict>
          </mc:Fallback>
        </mc:AlternateContent>
      </w:r>
      <w:r w:rsidR="00EB674A" w:rsidRPr="00BE6FA1">
        <w:rPr>
          <w:rFonts w:ascii="Times New Roman" w:hAnsi="Times New Roman" w:cs="Times New Roman"/>
          <w:noProof/>
          <w:color w:val="auto"/>
        </w:rPr>
        <w:drawing>
          <wp:anchor distT="0" distB="127000" distL="0" distR="0" simplePos="0" relativeHeight="251665408" behindDoc="0" locked="0" layoutInCell="1" allowOverlap="1" wp14:anchorId="6DA793B0" wp14:editId="50D9BDFF">
            <wp:simplePos x="0" y="0"/>
            <wp:positionH relativeFrom="column">
              <wp:align>center</wp:align>
            </wp:positionH>
            <wp:positionV relativeFrom="paragraph">
              <wp:align>top</wp:align>
            </wp:positionV>
            <wp:extent cx="4070350" cy="4696460"/>
            <wp:effectExtent l="0" t="0" r="0" b="0"/>
            <wp:wrapTopAndBottom/>
            <wp:docPr id="27"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11"/>
                    <pic:cNvPicPr>
                      <a:picLocks noChangeAspect="1" noChangeArrowheads="1"/>
                    </pic:cNvPicPr>
                  </pic:nvPicPr>
                  <pic:blipFill>
                    <a:blip r:embed="rId37" cstate="print"/>
                    <a:stretch>
                      <a:fillRect/>
                    </a:stretch>
                  </pic:blipFill>
                  <pic:spPr bwMode="auto">
                    <a:xfrm>
                      <a:off x="0" y="0"/>
                      <a:ext cx="4070350" cy="4696460"/>
                    </a:xfrm>
                    <a:prstGeom prst="rect">
                      <a:avLst/>
                    </a:prstGeom>
                  </pic:spPr>
                </pic:pic>
              </a:graphicData>
            </a:graphic>
          </wp:anchor>
        </w:drawing>
      </w:r>
    </w:p>
    <w:p w:rsidR="00BC3A23" w:rsidRPr="00BE6FA1" w:rsidRDefault="00BC3A23" w:rsidP="002B314D">
      <w:pPr>
        <w:spacing w:after="0" w:line="360" w:lineRule="auto"/>
        <w:ind w:firstLine="708"/>
        <w:jc w:val="both"/>
        <w:rPr>
          <w:rFonts w:ascii="Times New Roman" w:hAnsi="Times New Roman" w:cs="Times New Roman"/>
          <w:sz w:val="24"/>
        </w:rPr>
      </w:pPr>
    </w:p>
    <w:p w:rsidR="00EB674A" w:rsidRPr="00BE6FA1" w:rsidRDefault="00EB674A" w:rsidP="002B314D">
      <w:pPr>
        <w:spacing w:after="0" w:line="360" w:lineRule="auto"/>
        <w:ind w:firstLine="708"/>
        <w:jc w:val="both"/>
        <w:rPr>
          <w:rFonts w:ascii="Times New Roman" w:hAnsi="Times New Roman" w:cs="Times New Roman"/>
        </w:rPr>
      </w:pPr>
      <w:r w:rsidRPr="00BE6FA1">
        <w:rPr>
          <w:rFonts w:ascii="Times New Roman" w:hAnsi="Times New Roman" w:cs="Times New Roman"/>
          <w:sz w:val="24"/>
        </w:rPr>
        <w:t>W oparciu o dostępne wyniki pomiarów NO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ze stacji monitoringu powietrza oraz wyniki modelowania rozkładu stężeń NO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w regionie dokonano klasyfikacji stref </w:t>
      </w:r>
      <w:r w:rsidRPr="00BE6FA1">
        <w:rPr>
          <w:rFonts w:ascii="Times New Roman" w:hAnsi="Times New Roman" w:cs="Times New Roman"/>
          <w:sz w:val="24"/>
        </w:rPr>
        <w:br/>
        <w:t xml:space="preserve">w województwie podkarpackim ze względu na zanieczyszczenie powietrza atmosferycznego dwutlenkiem azotu w kryterium ochrony zdrowia za rok  2014.  Strefy miasto Rzeszów </w:t>
      </w:r>
      <w:r w:rsidR="00807674" w:rsidRPr="00BE6FA1">
        <w:rPr>
          <w:rFonts w:ascii="Times New Roman" w:hAnsi="Times New Roman" w:cs="Times New Roman"/>
          <w:sz w:val="24"/>
        </w:rPr>
        <w:br/>
      </w:r>
      <w:r w:rsidRPr="00BE6FA1">
        <w:rPr>
          <w:rFonts w:ascii="Times New Roman" w:hAnsi="Times New Roman" w:cs="Times New Roman"/>
          <w:sz w:val="24"/>
        </w:rPr>
        <w:t xml:space="preserve">i podkarpacka zakwalifikowane zostały do klasy A co oznacza, że na terenie województwa nie wystąpiło w 2014 r. zagrożenie przekroczenia dopuszczalnych stężeń dwutlenku azotu </w:t>
      </w:r>
      <w:r w:rsidR="00807674" w:rsidRPr="00BE6FA1">
        <w:rPr>
          <w:rFonts w:ascii="Times New Roman" w:hAnsi="Times New Roman" w:cs="Times New Roman"/>
          <w:sz w:val="24"/>
        </w:rPr>
        <w:br/>
      </w:r>
      <w:r w:rsidRPr="00BE6FA1">
        <w:rPr>
          <w:rFonts w:ascii="Times New Roman" w:hAnsi="Times New Roman" w:cs="Times New Roman"/>
          <w:sz w:val="24"/>
        </w:rPr>
        <w:t>w powietrzu.</w:t>
      </w:r>
    </w:p>
    <w:p w:rsidR="00EB674A" w:rsidRPr="00BE6FA1" w:rsidRDefault="00EB674A" w:rsidP="003A27DA">
      <w:pPr>
        <w:spacing w:after="0" w:line="360" w:lineRule="auto"/>
        <w:ind w:firstLine="708"/>
        <w:jc w:val="both"/>
        <w:rPr>
          <w:rFonts w:ascii="Times New Roman" w:hAnsi="Times New Roman" w:cs="Times New Roman"/>
          <w:sz w:val="24"/>
        </w:rPr>
      </w:pPr>
    </w:p>
    <w:p w:rsidR="002B314D" w:rsidRPr="00BE6FA1" w:rsidRDefault="002B314D" w:rsidP="003A27DA">
      <w:pPr>
        <w:spacing w:after="0" w:line="360" w:lineRule="auto"/>
        <w:ind w:firstLine="708"/>
        <w:jc w:val="both"/>
        <w:rPr>
          <w:rFonts w:ascii="Times New Roman" w:hAnsi="Times New Roman" w:cs="Times New Roman"/>
          <w:sz w:val="24"/>
        </w:rPr>
      </w:pPr>
    </w:p>
    <w:p w:rsidR="002B314D" w:rsidRPr="00BE6FA1" w:rsidRDefault="002B314D" w:rsidP="003A27DA">
      <w:pPr>
        <w:spacing w:after="0" w:line="360" w:lineRule="auto"/>
        <w:ind w:firstLine="708"/>
        <w:jc w:val="both"/>
        <w:rPr>
          <w:rFonts w:ascii="Times New Roman" w:hAnsi="Times New Roman" w:cs="Times New Roman"/>
          <w:sz w:val="24"/>
        </w:rPr>
      </w:pPr>
    </w:p>
    <w:p w:rsidR="002B314D" w:rsidRPr="00BE6FA1" w:rsidRDefault="002B314D" w:rsidP="003A27DA">
      <w:pPr>
        <w:spacing w:after="0" w:line="360" w:lineRule="auto"/>
        <w:ind w:firstLine="708"/>
        <w:jc w:val="both"/>
        <w:rPr>
          <w:rFonts w:ascii="Times New Roman" w:hAnsi="Times New Roman" w:cs="Times New Roman"/>
          <w:sz w:val="24"/>
        </w:rPr>
      </w:pPr>
    </w:p>
    <w:p w:rsidR="002B314D" w:rsidRPr="00BE6FA1" w:rsidRDefault="002B314D" w:rsidP="003A27DA">
      <w:pPr>
        <w:spacing w:after="0" w:line="360" w:lineRule="auto"/>
        <w:ind w:firstLine="708"/>
        <w:jc w:val="both"/>
        <w:rPr>
          <w:rFonts w:ascii="Times New Roman" w:hAnsi="Times New Roman" w:cs="Times New Roman"/>
          <w:sz w:val="24"/>
        </w:rPr>
      </w:pPr>
    </w:p>
    <w:p w:rsidR="00EB674A" w:rsidRPr="00BE6FA1" w:rsidRDefault="002B314D" w:rsidP="003A27DA">
      <w:pPr>
        <w:spacing w:after="0" w:line="360" w:lineRule="auto"/>
        <w:rPr>
          <w:rFonts w:ascii="Times New Roman" w:hAnsi="Times New Roman" w:cs="Times New Roman"/>
          <w:b/>
          <w:sz w:val="24"/>
        </w:rPr>
      </w:pPr>
      <w:r w:rsidRPr="00BE6FA1">
        <w:rPr>
          <w:rFonts w:ascii="Times New Roman" w:hAnsi="Times New Roman" w:cs="Times New Roman"/>
          <w:b/>
          <w:sz w:val="24"/>
        </w:rPr>
        <w:lastRenderedPageBreak/>
        <w:t>Tlenek węgla</w:t>
      </w:r>
    </w:p>
    <w:p w:rsidR="002B314D" w:rsidRPr="00BE6FA1" w:rsidRDefault="002B314D" w:rsidP="003A27DA">
      <w:pPr>
        <w:spacing w:after="0" w:line="360" w:lineRule="auto"/>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W 2014 r. na terenie województwa podkarpackiego pomiary zanieczyszczenia powietrza tlenkiem węgla prowadzone były na dwóch stacjach pomiarowych </w:t>
      </w:r>
      <w:r w:rsidRPr="00BE6FA1">
        <w:rPr>
          <w:rFonts w:ascii="Times New Roman" w:hAnsi="Times New Roman" w:cs="Times New Roman"/>
          <w:sz w:val="24"/>
        </w:rPr>
        <w:br/>
        <w:t>w Rzeszowie i w Nisku. Obliczone maksymalne 8-godzinne kroczące stężenia tlenku węgla na stacjach pomiarowych w województwie podkarpackim nie przekraczały dopuszczalnej normy wynoszącej 10 000</w:t>
      </w:r>
      <w:r w:rsidRPr="00BE6FA1">
        <w:rPr>
          <w:rFonts w:ascii="Times New Roman" w:hAnsi="Times New Roman" w:cs="Times New Roman"/>
        </w:rPr>
        <w:t>μg/m</w:t>
      </w:r>
      <w:r w:rsidRPr="00BE6FA1">
        <w:rPr>
          <w:rFonts w:ascii="Times New Roman" w:hAnsi="Times New Roman" w:cs="Times New Roman"/>
          <w:vertAlign w:val="superscript"/>
        </w:rPr>
        <w:t>3</w:t>
      </w:r>
      <w:r w:rsidRPr="00BE6FA1">
        <w:rPr>
          <w:rFonts w:ascii="Times New Roman" w:hAnsi="Times New Roman" w:cs="Times New Roman"/>
          <w:sz w:val="24"/>
        </w:rPr>
        <w:t xml:space="preserve"> w żadnej dobie pomiarowej.</w:t>
      </w:r>
    </w:p>
    <w:p w:rsidR="005D23F7" w:rsidRPr="00BE6FA1" w:rsidRDefault="00C4032E" w:rsidP="005D23F7">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szCs w:val="24"/>
        </w:rPr>
        <w:t xml:space="preserve">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r w:rsidR="00EB674A" w:rsidRPr="00BE6FA1">
        <w:rPr>
          <w:rFonts w:ascii="Times New Roman" w:hAnsi="Times New Roman" w:cs="Times New Roman"/>
          <w:sz w:val="24"/>
          <w:szCs w:val="24"/>
        </w:rPr>
        <w:t xml:space="preserve"> wyniki modelowania pokazują 8-god</w:t>
      </w:r>
      <w:r w:rsidR="001F0217" w:rsidRPr="00BE6FA1">
        <w:rPr>
          <w:rFonts w:ascii="Times New Roman" w:hAnsi="Times New Roman" w:cs="Times New Roman"/>
          <w:sz w:val="24"/>
          <w:szCs w:val="24"/>
        </w:rPr>
        <w:t xml:space="preserve">zinne stężenia CO </w:t>
      </w:r>
      <w:r w:rsidRPr="00BE6FA1">
        <w:rPr>
          <w:rFonts w:ascii="Times New Roman" w:hAnsi="Times New Roman" w:cs="Times New Roman"/>
          <w:sz w:val="24"/>
          <w:szCs w:val="24"/>
        </w:rPr>
        <w:t>w zakresie 801-1</w:t>
      </w:r>
      <w:r w:rsidR="007747CF" w:rsidRPr="00BE6FA1">
        <w:rPr>
          <w:rFonts w:ascii="Times New Roman" w:hAnsi="Times New Roman" w:cs="Times New Roman"/>
          <w:sz w:val="24"/>
          <w:szCs w:val="24"/>
        </w:rPr>
        <w:t>5</w:t>
      </w:r>
      <w:r w:rsidR="00EB674A" w:rsidRPr="00BE6FA1">
        <w:rPr>
          <w:rFonts w:ascii="Times New Roman" w:hAnsi="Times New Roman" w:cs="Times New Roman"/>
          <w:sz w:val="24"/>
          <w:szCs w:val="24"/>
        </w:rPr>
        <w:t>00</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007747CF" w:rsidRPr="00BE6FA1">
        <w:rPr>
          <w:rFonts w:ascii="Times New Roman" w:hAnsi="Times New Roman" w:cs="Times New Roman"/>
          <w:sz w:val="24"/>
        </w:rPr>
        <w:t>.</w:t>
      </w:r>
    </w:p>
    <w:p w:rsidR="002B314D" w:rsidRPr="00BE6FA1" w:rsidRDefault="00605A87" w:rsidP="005D23F7">
      <w:pPr>
        <w:spacing w:after="0" w:line="360" w:lineRule="auto"/>
        <w:ind w:firstLine="708"/>
        <w:jc w:val="both"/>
        <w:rPr>
          <w:rFonts w:ascii="Times New Roman" w:hAnsi="Times New Roman" w:cs="Times New Roman"/>
          <w:sz w:val="24"/>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777875</wp:posOffset>
                </wp:positionH>
                <wp:positionV relativeFrom="paragraph">
                  <wp:posOffset>5299710</wp:posOffset>
                </wp:positionV>
                <wp:extent cx="4044950" cy="389890"/>
                <wp:effectExtent l="1270" t="2540" r="1905" b="0"/>
                <wp:wrapTopAndBottom/>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jc w:val="center"/>
                              <w:rPr>
                                <w:rFonts w:ascii="Times New Roman" w:hAnsi="Times New Roman" w:cs="Times New Roman"/>
                                <w:noProof/>
                                <w:color w:val="auto"/>
                              </w:rPr>
                            </w:pPr>
                            <w:bookmarkStart w:id="77" w:name="_Toc445289834"/>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21</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maksymalnych stężeń 8-godzinnych CO w województwie podkarpackim w 2014 r.</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61.25pt;margin-top:417.3pt;width:318.5pt;height:3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PHfQ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XP&#10;C4wU6YCjez54dKUHNF+G+vTGleB2Z8DRD7AOPMdcnbnV9LNDSl+3RO34pbW6bzlhEF8WTiZPjo44&#10;LoBs+3eawT1k73UEGhrbheJBORCgA08PJ25CLBQW8zTPiwVsUdh7tSpWRSQvIeV02ljn33DdoWBU&#10;2AL3EZ0cbp0P0ZBycgmXOS0Fq4WUcWJ322tp0YGATur4xQSeuUkVnJUOx0bEcQWChDvCXgg38v5Y&#10;ZPM8vZoXs3q5Op/ldb6YFefpapZmxVWxTPMiv6m/hQCzvGwFY1zdCsUnDWb533F87IZRPVGFqK9w&#10;sZgvRor+mGQav98l2QkPLSlFV+HVyYmUgdjXikHapPREyNFOfg4/VhlqMP1jVaIMAvOjBvywHUbF&#10;TeraavYAurAaaAOG4TkBo9X2K0Y9tGaF3Zc9sRwj+VaBtkIfT4adjO1kEEXhaIU9RqN57cd+3xsr&#10;di0gT+q9BP3VIkojCHWM4qhaaLeYw/FpCP38dB69fjxgm+8AAAD//wMAUEsDBBQABgAIAAAAIQB5&#10;B8ci4QAAAAsBAAAPAAAAZHJzL2Rvd25yZXYueG1sTI/BTsMwEETvSPyDtUhcEHVI09CGOFVVwYFe&#10;KkIv3NzYjQPxOrKdNvw9ywmOM/s0O1OuJ9uzs/ahcyjgYZYA09g41WEr4PD+cr8EFqJEJXuHWsC3&#10;DrCurq9KWSh3wTd9rmPLKARDIQWYGIeC89AYbWWYuUEj3U7OWxlJ+pYrLy8UbnueJknOreyQPhg5&#10;6K3RzVc9WgH77GNv7sbT826Tzf3rYdzmn20txO3NtHkCFvUU/2D4rU/VoaJORzeiCqwnnaYLQgUs&#10;51kOjIjHxYqcIzmrPAFelfz/huoHAAD//wMAUEsBAi0AFAAGAAgAAAAhALaDOJL+AAAA4QEAABMA&#10;AAAAAAAAAAAAAAAAAAAAAFtDb250ZW50X1R5cGVzXS54bWxQSwECLQAUAAYACAAAACEAOP0h/9YA&#10;AACUAQAACwAAAAAAAAAAAAAAAAAvAQAAX3JlbHMvLnJlbHNQSwECLQAUAAYACAAAACEAStzTx30C&#10;AAAIBQAADgAAAAAAAAAAAAAAAAAuAgAAZHJzL2Uyb0RvYy54bWxQSwECLQAUAAYACAAAACEAeQfH&#10;IuEAAAALAQAADwAAAAAAAAAAAAAAAADXBAAAZHJzL2Rvd25yZXYueG1sUEsFBgAAAAAEAAQA8wAA&#10;AOUFAAAAAA==&#10;" stroked="f">
                <v:textbox style="mso-fit-shape-to-text:t" inset="0,0,0,0">
                  <w:txbxContent>
                    <w:p w:rsidR="000D713D" w:rsidRPr="002B314D" w:rsidRDefault="000D713D" w:rsidP="002B314D">
                      <w:pPr>
                        <w:pStyle w:val="Legenda"/>
                        <w:jc w:val="center"/>
                        <w:rPr>
                          <w:rFonts w:ascii="Times New Roman" w:hAnsi="Times New Roman" w:cs="Times New Roman"/>
                          <w:noProof/>
                          <w:color w:val="auto"/>
                        </w:rPr>
                      </w:pPr>
                      <w:bookmarkStart w:id="78" w:name="_Toc445289834"/>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21</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maksymalnych stężeń 8-godzinnych CO w województwie podkarpackim w 2014 r.</w:t>
                      </w:r>
                      <w:bookmarkEnd w:id="78"/>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6432" behindDoc="0" locked="0" layoutInCell="1" allowOverlap="1" wp14:anchorId="4C5AD19A" wp14:editId="5327E559">
            <wp:simplePos x="0" y="0"/>
            <wp:positionH relativeFrom="column">
              <wp:posOffset>777875</wp:posOffset>
            </wp:positionH>
            <wp:positionV relativeFrom="paragraph">
              <wp:posOffset>530860</wp:posOffset>
            </wp:positionV>
            <wp:extent cx="4044950" cy="4711700"/>
            <wp:effectExtent l="19050" t="0" r="0" b="0"/>
            <wp:wrapTopAndBottom/>
            <wp:docPr id="28"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12"/>
                    <pic:cNvPicPr>
                      <a:picLocks noChangeAspect="1" noChangeArrowheads="1"/>
                    </pic:cNvPicPr>
                  </pic:nvPicPr>
                  <pic:blipFill>
                    <a:blip r:embed="rId38" cstate="print"/>
                    <a:stretch>
                      <a:fillRect/>
                    </a:stretch>
                  </pic:blipFill>
                  <pic:spPr bwMode="auto">
                    <a:xfrm>
                      <a:off x="0" y="0"/>
                      <a:ext cx="4044950" cy="4711700"/>
                    </a:xfrm>
                    <a:prstGeom prst="rect">
                      <a:avLst/>
                    </a:prstGeom>
                  </pic:spPr>
                </pic:pic>
              </a:graphicData>
            </a:graphic>
            <wp14:sizeRelH relativeFrom="margin">
              <wp14:pctWidth>0</wp14:pctWidth>
            </wp14:sizeRelH>
            <wp14:sizeRelV relativeFrom="margin">
              <wp14:pctHeight>0</wp14:pctHeight>
            </wp14:sizeRelV>
          </wp:anchor>
        </w:drawing>
      </w:r>
    </w:p>
    <w:p w:rsidR="001F0217" w:rsidRPr="00BE6FA1" w:rsidRDefault="001F0217" w:rsidP="00425222">
      <w:pPr>
        <w:spacing w:after="0" w:line="360" w:lineRule="auto"/>
        <w:ind w:firstLine="708"/>
        <w:jc w:val="both"/>
        <w:rPr>
          <w:rFonts w:ascii="Times New Roman" w:hAnsi="Times New Roman" w:cs="Times New Roman"/>
          <w:sz w:val="24"/>
        </w:rPr>
      </w:pPr>
    </w:p>
    <w:p w:rsidR="001F0217" w:rsidRPr="00BE6FA1" w:rsidRDefault="001F0217" w:rsidP="00425222">
      <w:pPr>
        <w:spacing w:after="0" w:line="360" w:lineRule="auto"/>
        <w:ind w:firstLine="708"/>
        <w:jc w:val="both"/>
        <w:rPr>
          <w:rFonts w:ascii="Times New Roman" w:hAnsi="Times New Roman" w:cs="Times New Roman"/>
          <w:sz w:val="24"/>
        </w:rPr>
      </w:pPr>
    </w:p>
    <w:p w:rsidR="005D23F7" w:rsidRPr="00BE6FA1" w:rsidRDefault="00EB674A" w:rsidP="005D23F7">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W ocenie jakości powietrza w woje</w:t>
      </w:r>
      <w:r w:rsidR="002B314D" w:rsidRPr="00BE6FA1">
        <w:rPr>
          <w:rFonts w:ascii="Times New Roman" w:hAnsi="Times New Roman" w:cs="Times New Roman"/>
          <w:sz w:val="24"/>
        </w:rPr>
        <w:t>wództwie podkarpackim za 2014r.</w:t>
      </w:r>
      <w:r w:rsidRPr="00BE6FA1">
        <w:rPr>
          <w:rFonts w:ascii="Times New Roman" w:hAnsi="Times New Roman" w:cs="Times New Roman"/>
          <w:sz w:val="24"/>
        </w:rPr>
        <w:t>w zakresie tlenku węgla strefy miasto Rzeszów i podkarpacka zaliczone zostały do klasy A.</w:t>
      </w: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lastRenderedPageBreak/>
        <w:t>Benzen</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Pomiary stopnia zanieczyszczenia powietrza atmosferycznego benzenem prowadzone były w 2014 r. w województwie podkarpackim w 8 punktach pomiarowych. W 7 punktach pomiarowych w strefie podkarpackiej badania prowadzone były metodą pasywną. Wykonano dwanaście miesięcznych serii pomiarowych równo rozłożonych w ciągu roku. W strefie miasto Rzeszów wykonywano automatyczne pomiary benzenu z 1-godzinnym czasem uśredniania stężeń.</w:t>
      </w:r>
    </w:p>
    <w:p w:rsidR="00EB674A" w:rsidRPr="00BE6FA1" w:rsidRDefault="00605A87" w:rsidP="002B314D">
      <w:pPr>
        <w:keepNext/>
        <w:spacing w:after="0"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662940</wp:posOffset>
                </wp:positionH>
                <wp:positionV relativeFrom="paragraph">
                  <wp:posOffset>4468495</wp:posOffset>
                </wp:positionV>
                <wp:extent cx="4391660" cy="258445"/>
                <wp:effectExtent l="635" t="3810" r="0" b="4445"/>
                <wp:wrapTopAndBottom/>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rPr>
                                <w:rFonts w:ascii="Times New Roman" w:hAnsi="Times New Roman" w:cs="Times New Roman"/>
                                <w:noProof/>
                                <w:color w:val="auto"/>
                              </w:rPr>
                            </w:pPr>
                            <w:bookmarkStart w:id="79" w:name="_Toc445289835"/>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22</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benzenu w województwie podkarpackim w 2014 r.</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52.2pt;margin-top:351.85pt;width:345.8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2fQIAAAgFAAAOAAAAZHJzL2Uyb0RvYy54bWysVNtu3CAQfa/Uf0C8b3yp92Ir3ijZratK&#10;6UVK+gEs4DWqDRTYtdOq/94BrzdJL1JV1Q94gOEwM+cMl1dD16IjN1YoWeLkIsaIS6qYkPsSf7qv&#10;ZiuMrCOSkVZJXuIHbvHV+uWLy14XPFWNahk3CECkLXpd4sY5XUSRpQ3viL1QmkvYrJXpiIOp2UfM&#10;kB7QuzZK43gR9cowbRTl1sLqdtzE64Bf15y6D3VtuUNtiSE2F0YTxp0fo/UlKfaG6EbQUxjkH6Lo&#10;iJBw6RlqSxxBByN+geoENcqq2l1Q1UWqrgXlIQfIJol/yuauIZqHXKA4Vp/LZP8fLH1//GiQYCVe&#10;AlOSdMDRPR8culEDSpe+Pr22BbjdaXB0A6wDzyFXq28V/WyRVJuGyD2/Nkb1DScM4kv8yejJ0RHH&#10;epBd/04xuIccnApAQ206XzwoBwJ04OnhzI2PhcJi9ipPFgvYorCXzldZNg9XkGI6rY11b7jqkDdK&#10;bID7gE6Ot9b5aEgxufjLrGoFq0TbhonZ7zatQUcCOqnCd0J/5tZK7yyVPzYijisQJNzh93y4gfdv&#10;eZJm8U2az6rFajnLqmw+y5fxahYn+U2+iLM821bffYBJVjSCMS5vheSTBpPs7zg+dcOonqBC1Jc4&#10;n6fzkaI/JhmH73dJdsJBS7aiK/Hq7EQKT+xrySBtUjgi2tGOnocfqgw1mP6hKkEGnvlRA27YDUFx&#10;K3+7l8hOsQfQhVFAGzAMzwkYjTJfMeqhNUtsvxyI4Ri1byVoy/fxZJjJ2E0GkRSOlthhNJobN/b7&#10;QRuxbwB5Uu816K8SQRqPUZxUC+0Wcjg9Db6fn86D1+MDtv4BAAD//wMAUEsDBBQABgAIAAAAIQAH&#10;RreK4AAAAAsBAAAPAAAAZHJzL2Rvd25yZXYueG1sTI/BTsMwEETvSPyDtUhcELWhUQIhTlVVcIBL&#10;ReiFmxu7cSBeR7bThr9nOZXbjuZpdqZazW5gRxNi71HC3UIAM9h63WMnYffxcvsALCaFWg0ejYQf&#10;E2FVX15UqtT+hO/m2KSOUQjGUkmwKY0l57G1xqm48KNB8g4+OJVIho7roE4U7gZ+L0TOneqRPlg1&#10;mo017XczOQnb7HNrb6bD89s6W4bX3bTJv7pGyuuref0ELJk5nWH4q0/VoaZOez+hjmwgLbKMUAmF&#10;WBbAiCgec1q3pyMji9cV/7+h/gUAAP//AwBQSwECLQAUAAYACAAAACEAtoM4kv4AAADhAQAAEwAA&#10;AAAAAAAAAAAAAAAAAAAAW0NvbnRlbnRfVHlwZXNdLnhtbFBLAQItABQABgAIAAAAIQA4/SH/1gAA&#10;AJQBAAALAAAAAAAAAAAAAAAAAC8BAABfcmVscy8ucmVsc1BLAQItABQABgAIAAAAIQAAHwH2fQIA&#10;AAgFAAAOAAAAAAAAAAAAAAAAAC4CAABkcnMvZTJvRG9jLnhtbFBLAQItABQABgAIAAAAIQAHRreK&#10;4AAAAAsBAAAPAAAAAAAAAAAAAAAAANcEAABkcnMvZG93bnJldi54bWxQSwUGAAAAAAQABADzAAAA&#10;5AUAAAAA&#10;" stroked="f">
                <v:textbox style="mso-fit-shape-to-text:t" inset="0,0,0,0">
                  <w:txbxContent>
                    <w:p w:rsidR="000D713D" w:rsidRPr="002B314D" w:rsidRDefault="000D713D" w:rsidP="002B314D">
                      <w:pPr>
                        <w:pStyle w:val="Legenda"/>
                        <w:rPr>
                          <w:rFonts w:ascii="Times New Roman" w:hAnsi="Times New Roman" w:cs="Times New Roman"/>
                          <w:noProof/>
                          <w:color w:val="auto"/>
                        </w:rPr>
                      </w:pPr>
                      <w:bookmarkStart w:id="80" w:name="_Toc445289835"/>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22</w:t>
                      </w:r>
                      <w:r w:rsidRPr="002B314D">
                        <w:rPr>
                          <w:rFonts w:ascii="Times New Roman" w:hAnsi="Times New Roman" w:cs="Times New Roman"/>
                          <w:color w:val="auto"/>
                        </w:rPr>
                        <w:fldChar w:fldCharType="end"/>
                      </w:r>
                      <w:r w:rsidRPr="002B314D">
                        <w:rPr>
                          <w:rFonts w:ascii="Times New Roman" w:hAnsi="Times New Roman" w:cs="Times New Roman"/>
                          <w:color w:val="auto"/>
                        </w:rPr>
                        <w:t>. Stanowiska pomiarowe benzenu w województwie podkarpackim w 2014 r.</w:t>
                      </w:r>
                      <w:bookmarkEnd w:id="80"/>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67456" behindDoc="0" locked="0" layoutInCell="1" allowOverlap="1" wp14:anchorId="3C967075" wp14:editId="72650C45">
            <wp:simplePos x="0" y="0"/>
            <wp:positionH relativeFrom="column">
              <wp:align>center</wp:align>
            </wp:positionH>
            <wp:positionV relativeFrom="paragraph">
              <wp:align>top</wp:align>
            </wp:positionV>
            <wp:extent cx="3930650" cy="4411345"/>
            <wp:effectExtent l="0" t="0" r="0" b="0"/>
            <wp:wrapTopAndBottom/>
            <wp:docPr id="29"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13"/>
                    <pic:cNvPicPr>
                      <a:picLocks noChangeAspect="1" noChangeArrowheads="1"/>
                    </pic:cNvPicPr>
                  </pic:nvPicPr>
                  <pic:blipFill>
                    <a:blip r:embed="rId39" cstate="print"/>
                    <a:stretch>
                      <a:fillRect/>
                    </a:stretch>
                  </pic:blipFill>
                  <pic:spPr bwMode="auto">
                    <a:xfrm>
                      <a:off x="0" y="0"/>
                      <a:ext cx="3930650" cy="4411345"/>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Wyniki modelowania zanieczyszczenia powietrza benzenem przeprowadzone </w:t>
      </w:r>
      <w:r w:rsidRPr="00BE6FA1">
        <w:rPr>
          <w:rFonts w:ascii="Times New Roman" w:hAnsi="Times New Roman" w:cs="Times New Roman"/>
          <w:sz w:val="24"/>
        </w:rPr>
        <w:br/>
        <w:t xml:space="preserve">w 2014r. dla województwa podkarpackiego nie wykazały przekroczenia obowiązującego poziomu dopuszczalnego ustalonego dla tego zanieczyszczenia. Dla stężenia średniorocznego benzenu wyniki modelowania za rok 2014 wykazały występowanie wartości w przedziale 0,003-1,5 μg/m3. Stężenia średnioroczne nie przekroczyły 30% normy, która wynosi </w:t>
      </w:r>
      <w:r w:rsidR="002B314D" w:rsidRPr="00BE6FA1">
        <w:rPr>
          <w:rFonts w:ascii="Times New Roman" w:hAnsi="Times New Roman" w:cs="Times New Roman"/>
          <w:sz w:val="24"/>
        </w:rPr>
        <w:br/>
      </w:r>
      <w:r w:rsidRPr="00BE6FA1">
        <w:rPr>
          <w:rFonts w:ascii="Times New Roman" w:hAnsi="Times New Roman" w:cs="Times New Roman"/>
          <w:sz w:val="24"/>
        </w:rPr>
        <w:t>5 μg/m3. Wyższe stężenia benzenu zlokalizowane zostały na terenach miejskich.</w:t>
      </w:r>
    </w:p>
    <w:p w:rsidR="00EB674A" w:rsidRPr="00BE6FA1" w:rsidRDefault="007747CF" w:rsidP="002B314D">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szCs w:val="24"/>
        </w:rPr>
        <w:lastRenderedPageBreak/>
        <w:t xml:space="preserve">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r w:rsidR="00EB674A" w:rsidRPr="00BE6FA1">
        <w:rPr>
          <w:rFonts w:ascii="Times New Roman" w:hAnsi="Times New Roman" w:cs="Times New Roman"/>
          <w:sz w:val="24"/>
          <w:szCs w:val="24"/>
        </w:rPr>
        <w:t xml:space="preserve"> wyniki modelowania pokazują średnioroczne stężenia benzenu w przedziale 0</w:t>
      </w:r>
      <w:r w:rsidRPr="00BE6FA1">
        <w:rPr>
          <w:rFonts w:ascii="Times New Roman" w:hAnsi="Times New Roman" w:cs="Times New Roman"/>
          <w:sz w:val="24"/>
          <w:szCs w:val="24"/>
        </w:rPr>
        <w:t xml:space="preserve">,02-0,07 </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Pr="00BE6FA1">
        <w:rPr>
          <w:rFonts w:ascii="Times New Roman" w:hAnsi="Times New Roman" w:cs="Times New Roman"/>
          <w:sz w:val="24"/>
        </w:rPr>
        <w:t>.</w:t>
      </w:r>
    </w:p>
    <w:p w:rsidR="00425222" w:rsidRPr="00BE6FA1" w:rsidRDefault="00425222" w:rsidP="002B314D">
      <w:pPr>
        <w:spacing w:after="0" w:line="360" w:lineRule="auto"/>
        <w:ind w:firstLine="708"/>
        <w:jc w:val="both"/>
        <w:rPr>
          <w:rFonts w:ascii="Times New Roman" w:hAnsi="Times New Roman" w:cs="Times New Roman"/>
        </w:rPr>
      </w:pPr>
    </w:p>
    <w:p w:rsidR="00807674" w:rsidRPr="00BE6FA1" w:rsidRDefault="00605A87" w:rsidP="003A27DA">
      <w:pPr>
        <w:pStyle w:val="Legenda"/>
        <w:spacing w:line="360" w:lineRule="auto"/>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4560" behindDoc="0" locked="0" layoutInCell="1" allowOverlap="1">
                <wp:simplePos x="0" y="0"/>
                <wp:positionH relativeFrom="column">
                  <wp:posOffset>556895</wp:posOffset>
                </wp:positionH>
                <wp:positionV relativeFrom="paragraph">
                  <wp:posOffset>5097145</wp:posOffset>
                </wp:positionV>
                <wp:extent cx="4784725" cy="258445"/>
                <wp:effectExtent l="0" t="635" r="0" b="0"/>
                <wp:wrapTopAndBottom/>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B314D" w:rsidRDefault="000D713D" w:rsidP="002B314D">
                            <w:pPr>
                              <w:pStyle w:val="Legenda"/>
                              <w:jc w:val="center"/>
                              <w:rPr>
                                <w:rFonts w:ascii="Times New Roman" w:hAnsi="Times New Roman" w:cs="Times New Roman"/>
                                <w:noProof/>
                                <w:color w:val="auto"/>
                              </w:rPr>
                            </w:pPr>
                            <w:bookmarkStart w:id="81" w:name="_Toc445289836"/>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23</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średniorocznych benzenu w województwie podkarpackim w 2014 r.</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43.85pt;margin-top:401.35pt;width:376.75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fQIAAAgFAAAOAAAAZHJzL2Uyb0RvYy54bWysVNtu3CAQfa/Uf0C8b3yRN2tb641yqatK&#10;6UVK+gGswWtUDBTYtdMq/94BrzdJL1JV1Q94gJkztzOsL8ZeoAMzlitZ4eQsxojJRlEudxX+fF8v&#10;coysI5ISoSSr8AOz+GLz+tV60CVLVacEZQYBiLTloCvcOafLKLJNx3piz5RmEi5bZXriYGt2ETVk&#10;APReRGkcn0eDMlQb1TBr4fRmusSbgN+2rHEf29Yyh0SFITYXVhPWrV+jzZqUO0N0x5tjGOQfougJ&#10;l+D0BHVDHEF7w3+B6nljlFWtO2tUH6m25Q0LOUA2SfxTNncd0SzkAsWx+lQm+/9gmw+HTwZxWuHV&#10;CiNJeujRPRsdulIjSnNfn0HbEtTuNCi6Ec6hzyFXq29V88Uiqa47Infs0hg1dIxQiC/xltEz0wnH&#10;epDt8F5R8EP2TgWgsTW9Lx6UAwE69Onh1BsfSwOH2SrPVukSowbu0mWeZcvggpSztTbWvWWqR16o&#10;sIHeB3RyuLXOR0PKWcU7s0pwWnMhwsbsttfCoAMBntThO6K/UBPSK0vlzSbE6QSCBB/+zocb+v69&#10;SNIsvkqLRX2erxZZnS0XxSrOF3FSXBXncVZkN/WjDzDJyo5TyuQtl2zmYJL9XY+P0zCxJ7AQDRUu&#10;llCpkNcfk4zD97ske+5gJAXvK5yflEjpG/tGUkiblI5wMcnRy/BDlaEG8z9UJdDAd37igBu3Y2Bc&#10;4b17imwVfQBeGAVtg+bDcwJCp8w3jAYYzQrbr3tiGEbinQRu+TmeBTML21kgsgHTCjuMJvHaTfO+&#10;14bvOkCe2XsJ/Kt5oMZTFEfWwriFHI5Pg5/n5/ug9fSAbX4AAAD//wMAUEsDBBQABgAIAAAAIQCR&#10;15sB4QAAAAoBAAAPAAAAZHJzL2Rvd25yZXYueG1sTI8xT8MwEIX3SvwH65BYKuo0jdooxKmqCgZY&#10;KkIXNje+xoHYjmynDf+e6wTTvdM9vfteuZ1Mzy7oQ+esgOUiAYa2caqzrYDjx8tjDixEaZXsnUUB&#10;PxhgW93NSlkod7XveKljyyjEhkIK0DEOBeeh0WhkWLgBLd3OzhsZafUtV15eKdz0PE2SNTeys/RB&#10;ywH3GpvvejQCDtnnQc/H8/PbLlv51+O4X3+1tRAP99PuCVjEKf6Z4YZP6FAR08mNVgXWC8g3G3LS&#10;TFISZMizZQrsdBOrDHhV8v8Vql8AAAD//wMAUEsBAi0AFAAGAAgAAAAhALaDOJL+AAAA4QEAABMA&#10;AAAAAAAAAAAAAAAAAAAAAFtDb250ZW50X1R5cGVzXS54bWxQSwECLQAUAAYACAAAACEAOP0h/9YA&#10;AACUAQAACwAAAAAAAAAAAAAAAAAvAQAAX3JlbHMvLnJlbHNQSwECLQAUAAYACAAAACEAPwpsvn0C&#10;AAAIBQAADgAAAAAAAAAAAAAAAAAuAgAAZHJzL2Uyb0RvYy54bWxQSwECLQAUAAYACAAAACEAkdeb&#10;AeEAAAAKAQAADwAAAAAAAAAAAAAAAADXBAAAZHJzL2Rvd25yZXYueG1sUEsFBgAAAAAEAAQA8wAA&#10;AOUFAAAAAA==&#10;" stroked="f">
                <v:textbox style="mso-fit-shape-to-text:t" inset="0,0,0,0">
                  <w:txbxContent>
                    <w:p w:rsidR="000D713D" w:rsidRPr="002B314D" w:rsidRDefault="000D713D" w:rsidP="002B314D">
                      <w:pPr>
                        <w:pStyle w:val="Legenda"/>
                        <w:jc w:val="center"/>
                        <w:rPr>
                          <w:rFonts w:ascii="Times New Roman" w:hAnsi="Times New Roman" w:cs="Times New Roman"/>
                          <w:noProof/>
                          <w:color w:val="auto"/>
                        </w:rPr>
                      </w:pPr>
                      <w:bookmarkStart w:id="82" w:name="_Toc445289836"/>
                      <w:r w:rsidRPr="002B314D">
                        <w:rPr>
                          <w:rFonts w:ascii="Times New Roman" w:hAnsi="Times New Roman" w:cs="Times New Roman"/>
                          <w:color w:val="auto"/>
                        </w:rPr>
                        <w:t xml:space="preserve">Rysunek </w:t>
                      </w:r>
                      <w:r w:rsidRPr="002B314D">
                        <w:rPr>
                          <w:rFonts w:ascii="Times New Roman" w:hAnsi="Times New Roman" w:cs="Times New Roman"/>
                          <w:color w:val="auto"/>
                        </w:rPr>
                        <w:fldChar w:fldCharType="begin"/>
                      </w:r>
                      <w:r w:rsidRPr="002B314D">
                        <w:rPr>
                          <w:rFonts w:ascii="Times New Roman" w:hAnsi="Times New Roman" w:cs="Times New Roman"/>
                          <w:color w:val="auto"/>
                        </w:rPr>
                        <w:instrText xml:space="preserve"> SEQ Rysunek \* ARABIC </w:instrText>
                      </w:r>
                      <w:r w:rsidRPr="002B314D">
                        <w:rPr>
                          <w:rFonts w:ascii="Times New Roman" w:hAnsi="Times New Roman" w:cs="Times New Roman"/>
                          <w:color w:val="auto"/>
                        </w:rPr>
                        <w:fldChar w:fldCharType="separate"/>
                      </w:r>
                      <w:r>
                        <w:rPr>
                          <w:rFonts w:ascii="Times New Roman" w:hAnsi="Times New Roman" w:cs="Times New Roman"/>
                          <w:noProof/>
                          <w:color w:val="auto"/>
                        </w:rPr>
                        <w:t>23</w:t>
                      </w:r>
                      <w:r w:rsidRPr="002B314D">
                        <w:rPr>
                          <w:rFonts w:ascii="Times New Roman" w:hAnsi="Times New Roman" w:cs="Times New Roman"/>
                          <w:color w:val="auto"/>
                        </w:rPr>
                        <w:fldChar w:fldCharType="end"/>
                      </w:r>
                      <w:r w:rsidRPr="002B314D">
                        <w:rPr>
                          <w:rFonts w:ascii="Times New Roman" w:hAnsi="Times New Roman" w:cs="Times New Roman"/>
                          <w:color w:val="auto"/>
                        </w:rPr>
                        <w:t>. Rozkład stężeń średniorocznych benzenu w województwie podkarpackim w 2014 r.</w:t>
                      </w:r>
                      <w:bookmarkEnd w:id="82"/>
                    </w:p>
                  </w:txbxContent>
                </v:textbox>
                <w10:wrap type="topAndBottom"/>
              </v:shape>
            </w:pict>
          </mc:Fallback>
        </mc:AlternateContent>
      </w:r>
    </w:p>
    <w:p w:rsidR="00EB674A" w:rsidRPr="00BE6FA1" w:rsidRDefault="00EB674A" w:rsidP="003A27DA">
      <w:pPr>
        <w:pStyle w:val="Legenda"/>
        <w:spacing w:line="360" w:lineRule="auto"/>
        <w:rPr>
          <w:rFonts w:ascii="Times New Roman" w:hAnsi="Times New Roman" w:cs="Times New Roman"/>
          <w:color w:val="auto"/>
        </w:rPr>
      </w:pPr>
      <w:r w:rsidRPr="00BE6FA1">
        <w:rPr>
          <w:rFonts w:ascii="Times New Roman" w:hAnsi="Times New Roman" w:cs="Times New Roman"/>
          <w:noProof/>
          <w:color w:val="auto"/>
        </w:rPr>
        <w:drawing>
          <wp:anchor distT="0" distB="127000" distL="0" distR="0" simplePos="0" relativeHeight="251668480" behindDoc="0" locked="0" layoutInCell="1" allowOverlap="1" wp14:anchorId="2994B61E" wp14:editId="491B6AE6">
            <wp:simplePos x="0" y="0"/>
            <wp:positionH relativeFrom="column">
              <wp:align>center</wp:align>
            </wp:positionH>
            <wp:positionV relativeFrom="paragraph">
              <wp:align>top</wp:align>
            </wp:positionV>
            <wp:extent cx="4290060" cy="4716145"/>
            <wp:effectExtent l="0" t="0" r="0" b="0"/>
            <wp:wrapTopAndBottom/>
            <wp:docPr id="30" name="Obra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20"/>
                    <pic:cNvPicPr>
                      <a:picLocks noChangeAspect="1" noChangeArrowheads="1"/>
                    </pic:cNvPicPr>
                  </pic:nvPicPr>
                  <pic:blipFill>
                    <a:blip r:embed="rId40" cstate="print"/>
                    <a:stretch>
                      <a:fillRect/>
                    </a:stretch>
                  </pic:blipFill>
                  <pic:spPr bwMode="auto">
                    <a:xfrm>
                      <a:off x="0" y="0"/>
                      <a:ext cx="4290060" cy="4716145"/>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Na podstawie wyników badań oraz wyników modelowania rozkładu stężeń benzenu dokonano klasyfikacji stref w województwie podkarpackim ze względu na zanieczyszczenie powietrza atmosferycznego benzenem w kryterium ochrony zdrowia.  Strefy miasto Rzeszów i podkarpacka zaliczono do klasy A (dotrzymany roczny standard imisyjny dla benzenu).</w:t>
      </w:r>
    </w:p>
    <w:p w:rsidR="00EB674A" w:rsidRPr="00BE6FA1" w:rsidRDefault="00EB674A" w:rsidP="003A27DA">
      <w:pPr>
        <w:spacing w:after="0" w:line="360" w:lineRule="auto"/>
        <w:jc w:val="both"/>
        <w:rPr>
          <w:rFonts w:ascii="Times New Roman" w:hAnsi="Times New Roman" w:cs="Times New Roman"/>
          <w:b/>
          <w:sz w:val="24"/>
        </w:rPr>
      </w:pPr>
    </w:p>
    <w:p w:rsidR="002B314D" w:rsidRPr="00BE6FA1" w:rsidRDefault="002B314D" w:rsidP="003A27DA">
      <w:pPr>
        <w:spacing w:after="0" w:line="360" w:lineRule="auto"/>
        <w:jc w:val="both"/>
        <w:rPr>
          <w:rFonts w:ascii="Times New Roman" w:hAnsi="Times New Roman" w:cs="Times New Roman"/>
          <w:b/>
          <w:sz w:val="24"/>
        </w:rPr>
      </w:pPr>
    </w:p>
    <w:p w:rsidR="005D23F7" w:rsidRPr="00BE6FA1" w:rsidRDefault="005D23F7" w:rsidP="003A27DA">
      <w:pPr>
        <w:spacing w:after="0" w:line="360" w:lineRule="auto"/>
        <w:jc w:val="both"/>
        <w:rPr>
          <w:rFonts w:ascii="Times New Roman" w:hAnsi="Times New Roman" w:cs="Times New Roman"/>
          <w:b/>
          <w:sz w:val="24"/>
        </w:rPr>
      </w:pPr>
    </w:p>
    <w:p w:rsidR="002B314D" w:rsidRPr="00BE6FA1" w:rsidRDefault="002B314D" w:rsidP="003A27DA">
      <w:pPr>
        <w:spacing w:after="0" w:line="360" w:lineRule="auto"/>
        <w:jc w:val="both"/>
        <w:rPr>
          <w:rFonts w:ascii="Times New Roman" w:hAnsi="Times New Roman" w:cs="Times New Roman"/>
          <w:b/>
          <w:sz w:val="24"/>
        </w:rPr>
      </w:pPr>
    </w:p>
    <w:p w:rsidR="002B314D" w:rsidRPr="00BE6FA1" w:rsidRDefault="002B314D"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lastRenderedPageBreak/>
        <w:t xml:space="preserve">Pył zawieszony PM10 </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W 2014 r. badania zanieczyszczenia powietrza pyłem zawieszonym o średnicy ziaren poniżej 10 μm prowadzone były w województwie podkarpackim na 9 stanowiskach pomiarowych. Badania wykonywane były z wykorzystaniem referencyjnej metodyki grawimetrycznej.</w:t>
      </w:r>
    </w:p>
    <w:p w:rsidR="00EB674A" w:rsidRPr="00BE6FA1" w:rsidRDefault="00EB674A" w:rsidP="003A27DA">
      <w:pPr>
        <w:pStyle w:val="Legenda"/>
        <w:spacing w:line="360" w:lineRule="auto"/>
        <w:rPr>
          <w:rFonts w:ascii="Times New Roman" w:hAnsi="Times New Roman" w:cs="Times New Roman"/>
          <w:color w:val="auto"/>
        </w:rPr>
      </w:pPr>
      <w:r w:rsidRPr="00BE6FA1">
        <w:rPr>
          <w:rFonts w:ascii="Times New Roman" w:hAnsi="Times New Roman" w:cs="Times New Roman"/>
          <w:noProof/>
          <w:color w:val="auto"/>
        </w:rPr>
        <w:drawing>
          <wp:anchor distT="0" distB="127000" distL="0" distR="0" simplePos="0" relativeHeight="251669504" behindDoc="0" locked="0" layoutInCell="1" allowOverlap="1" wp14:anchorId="3BE0D6C4" wp14:editId="3B9BF58B">
            <wp:simplePos x="0" y="0"/>
            <wp:positionH relativeFrom="column">
              <wp:posOffset>668020</wp:posOffset>
            </wp:positionH>
            <wp:positionV relativeFrom="paragraph">
              <wp:posOffset>358140</wp:posOffset>
            </wp:positionV>
            <wp:extent cx="4224020" cy="4717415"/>
            <wp:effectExtent l="0" t="0" r="0" b="0"/>
            <wp:wrapTopAndBottom/>
            <wp:docPr id="31" name="Obra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21"/>
                    <pic:cNvPicPr>
                      <a:picLocks noChangeAspect="1" noChangeArrowheads="1"/>
                    </pic:cNvPicPr>
                  </pic:nvPicPr>
                  <pic:blipFill>
                    <a:blip r:embed="rId41" cstate="print"/>
                    <a:stretch>
                      <a:fillRect/>
                    </a:stretch>
                  </pic:blipFill>
                  <pic:spPr bwMode="auto">
                    <a:xfrm>
                      <a:off x="0" y="0"/>
                      <a:ext cx="4224020" cy="4717415"/>
                    </a:xfrm>
                    <a:prstGeom prst="rect">
                      <a:avLst/>
                    </a:prstGeom>
                  </pic:spPr>
                </pic:pic>
              </a:graphicData>
            </a:graphic>
          </wp:anchor>
        </w:drawing>
      </w:r>
    </w:p>
    <w:p w:rsidR="00EB674A" w:rsidRPr="00BE6FA1" w:rsidRDefault="00605A87" w:rsidP="003A27DA">
      <w:pPr>
        <w:spacing w:after="0" w:line="360" w:lineRule="auto"/>
        <w:ind w:firstLine="708"/>
        <w:jc w:val="both"/>
        <w:rPr>
          <w:rFonts w:ascii="Times New Roman" w:hAnsi="Times New Roman" w:cs="Times New Roman"/>
          <w:sz w:val="24"/>
        </w:rPr>
      </w:pPr>
      <w:r>
        <w:rPr>
          <w:rFonts w:ascii="Times New Roman"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375920</wp:posOffset>
                </wp:positionH>
                <wp:positionV relativeFrom="paragraph">
                  <wp:posOffset>4808855</wp:posOffset>
                </wp:positionV>
                <wp:extent cx="5093335" cy="258445"/>
                <wp:effectExtent l="0" t="0" r="3175" b="0"/>
                <wp:wrapTopAndBottom/>
                <wp:docPr id="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83" w:name="_Toc445289837"/>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24</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pyłu zawieszonego PM10 w województwie podkarpackim</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29.6pt;margin-top:378.65pt;width:401.05pt;height:2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5QfgIAAAkFAAAOAAAAZHJzL2Uyb0RvYy54bWysVNtu3CAQfa/Uf0C8b3yJnayt9Ua51FWl&#10;9CIl/QAW8BoVgwvs2mnUf++A15ukF6mq6gc8wHCYmXOG1cXYSbTnxgqtKpycxBhxRTUTalvhz/f1&#10;YomRdUQxIrXiFX7gFl+sX79aDX3JU91qybhBAKJsOfQVbp3ryyiytOUdsSe65wo2G2064mBqthEz&#10;ZAD0TkZpHJ9FgzasN5pya2H1ZtrE64DfNJy6j01juUOywhCbC6MJ48aP0XpFyq0hfSvoIQzyD1F0&#10;RCi49Ah1QxxBOyN+geoENdrqxp1Q3UW6aQTlIQfIJol/yuauJT0PuUBxbH8sk/1/sPTD/pNBglX4&#10;PMVIkQ44uuejQ1d6RGnh6zP0tgS3ux4c3QjrwHPI1fa3mn6xSOnrlqgtvzRGDy0nDOJL/Mno2dEJ&#10;x3qQzfBeM7iH7JwOQGNjOl88KAcCdODp4ciNj4XCYh4Xp6enOUYU9tJ8mWV5uIKU8+neWPeW6w55&#10;o8IGuA/oZH9rnY+GlLOLv8xqKVgtpAwTs91cS4P2BHRSh++A/sJNKu+stD82IU4rECTc4fd8uIH3&#10;xyJJs/gqLRb12fJ8kdVZvijO4+UiToqr4izOiuym/u4DTLKyFYxxdSsUnzWYZH/H8aEbJvUEFaKh&#10;wkWe5hNFf0wyDt/vkuyEg5aUoqvw8uhESk/sG8UgbVI6IuRkRy/DD1WGGsz/UJUgA8/8pAE3bsag&#10;uCS0n9fIRrMHEIbRwBuwD+8JGK023zAaoDcrbL/uiOEYyXcKxOUbeTbMbGxmgygKRyvsMJrMazc1&#10;/K43YtsC8izfSxBgLYI2nqI4yBb6LSRxeBt8Qz+fB6+nF2z9AwAA//8DAFBLAwQUAAYACAAAACEA&#10;wU0ct+EAAAAKAQAADwAAAGRycy9kb3ducmV2LnhtbEyPPU/DMBCGdyT+g3VILIg6/UrTEKeqKhjo&#10;UhG6sLmxGwfic2Q7bfj3HBNs9/HoveeKzWg7dtE+tA4FTCcJMI21Uy02Ao7vL48ZsBAlKtk51AK+&#10;dYBNeXtTyFy5K77pSxUbRiEYcinAxNjnnIfaaCvDxPUaaXd23spIrW+48vJK4bbjsyRJuZUt0gUj&#10;e70zuv6qBivgsPg4mIfh/LzfLub+9Tjs0s+mEuL+btw+AYt6jH8w/OqTOpTkdHIDqsA6Acv1jEgB&#10;q+VqDoyALJ1ScaLJOkuAlwX//0L5AwAA//8DAFBLAQItABQABgAIAAAAIQC2gziS/gAAAOEBAAAT&#10;AAAAAAAAAAAAAAAAAAAAAABbQ29udGVudF9UeXBlc10ueG1sUEsBAi0AFAAGAAgAAAAhADj9If/W&#10;AAAAlAEAAAsAAAAAAAAAAAAAAAAALwEAAF9yZWxzLy5yZWxzUEsBAi0AFAAGAAgAAAAhAGyFTlB+&#10;AgAACQUAAA4AAAAAAAAAAAAAAAAALgIAAGRycy9lMm9Eb2MueG1sUEsBAi0AFAAGAAgAAAAhAMFN&#10;HLfhAAAACgEAAA8AAAAAAAAAAAAAAAAA2AQAAGRycy9kb3ducmV2LnhtbFBLBQYAAAAABAAEAPMA&#10;AADmBQ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84" w:name="_Toc445289837"/>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24</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pyłu zawieszonego PM10 w województwie podkarpackim</w:t>
                      </w:r>
                      <w:bookmarkEnd w:id="84"/>
                    </w:p>
                  </w:txbxContent>
                </v:textbox>
                <w10:wrap type="topAndBottom"/>
              </v:shape>
            </w:pict>
          </mc:Fallback>
        </mc:AlternateContent>
      </w:r>
    </w:p>
    <w:p w:rsidR="00EB674A" w:rsidRPr="00BE6FA1" w:rsidRDefault="00EB674A" w:rsidP="00807674">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 2014 r. monitorowanie poziomu zanieczyszczenia powietrza pyłem PM10 </w:t>
      </w:r>
      <w:r w:rsidRPr="00BE6FA1">
        <w:rPr>
          <w:rFonts w:ascii="Times New Roman" w:hAnsi="Times New Roman" w:cs="Times New Roman"/>
          <w:sz w:val="24"/>
        </w:rPr>
        <w:br/>
        <w:t>w strefie podkarpackiej prowadzone było w ośmiu punktach pomiarowych. Stężenia średnioroczne pyłu PM10 na stacjach pomiarowych nie przekroczyły w 2014 r. ustalonej na poziomie 40 μg/m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normy średniorocznej. Stężenia średnioroczne</w:t>
      </w:r>
      <w:r w:rsidR="00807674" w:rsidRPr="00BE6FA1">
        <w:rPr>
          <w:rFonts w:ascii="Times New Roman" w:hAnsi="Times New Roman" w:cs="Times New Roman"/>
          <w:sz w:val="24"/>
        </w:rPr>
        <w:t xml:space="preserve"> stanowiły od 78 do 95 % normy.</w:t>
      </w:r>
    </w:p>
    <w:p w:rsidR="00EB674A" w:rsidRPr="00BE6FA1" w:rsidRDefault="00EB674A" w:rsidP="00807674">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 xml:space="preserve">Liczba przekroczeń dobowych pyłu PM10 zawierała się w przedziale </w:t>
      </w:r>
      <w:r w:rsidR="00425222" w:rsidRPr="00BE6FA1">
        <w:rPr>
          <w:rFonts w:ascii="Times New Roman" w:hAnsi="Times New Roman" w:cs="Times New Roman"/>
          <w:sz w:val="24"/>
        </w:rPr>
        <w:br/>
      </w:r>
      <w:r w:rsidRPr="00BE6FA1">
        <w:rPr>
          <w:rFonts w:ascii="Times New Roman" w:hAnsi="Times New Roman" w:cs="Times New Roman"/>
          <w:sz w:val="24"/>
        </w:rPr>
        <w:t>28-79 przypadków. Na stanowiskach pomiarowych przekroczenia normy dobowej pyłu PM10 notowane by</w:t>
      </w:r>
      <w:r w:rsidR="00807674" w:rsidRPr="00BE6FA1">
        <w:rPr>
          <w:rFonts w:ascii="Times New Roman" w:hAnsi="Times New Roman" w:cs="Times New Roman"/>
          <w:sz w:val="24"/>
        </w:rPr>
        <w:t>ły głównie w okresie grzewczym.</w:t>
      </w:r>
    </w:p>
    <w:p w:rsidR="00EB674A" w:rsidRPr="00BE6FA1" w:rsidRDefault="00EB674A" w:rsidP="00807674">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Wyniki modelowania zanieczyszczenia powietrza pyłem PM10, przeprowadzone dla 2014r. dla województwa podkarpackiego wykazały przekroczenia obowiązujących poziomów dopuszczalnych określonych dla tego zanieczyszczenia. Wartości stężeń średniorocznych pyłu PM10 określone w modelowaniu zawierały się w przedziale 4-63 μg/m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(1</w:t>
      </w:r>
      <w:r w:rsidR="00807674" w:rsidRPr="00BE6FA1">
        <w:rPr>
          <w:rFonts w:ascii="Times New Roman" w:hAnsi="Times New Roman" w:cs="Times New Roman"/>
          <w:sz w:val="24"/>
        </w:rPr>
        <w:t>0-158% poziomu dopuszczalnego).</w:t>
      </w:r>
    </w:p>
    <w:p w:rsidR="00EB674A" w:rsidRPr="00BE6FA1" w:rsidRDefault="007747CF"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szCs w:val="24"/>
        </w:rPr>
        <w:t xml:space="preserve">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r w:rsidR="00EB674A" w:rsidRPr="00BE6FA1">
        <w:rPr>
          <w:rFonts w:ascii="Times New Roman" w:hAnsi="Times New Roman" w:cs="Times New Roman"/>
          <w:sz w:val="24"/>
          <w:szCs w:val="24"/>
        </w:rPr>
        <w:t xml:space="preserve"> wyniki modelowania pokazują średnioroczne stęże</w:t>
      </w:r>
      <w:r w:rsidRPr="00BE6FA1">
        <w:rPr>
          <w:rFonts w:ascii="Times New Roman" w:hAnsi="Times New Roman" w:cs="Times New Roman"/>
          <w:sz w:val="24"/>
          <w:szCs w:val="24"/>
        </w:rPr>
        <w:t>nia pyłu PM10 w przedziale 11-20</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 które mieszczą się w granicach poziomu dopuszczalnego.</w:t>
      </w: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605A87" w:rsidP="003A27DA">
      <w:pPr>
        <w:pStyle w:val="Legenda"/>
        <w:spacing w:line="360" w:lineRule="auto"/>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8656" behindDoc="0" locked="0" layoutInCell="1" allowOverlap="1">
                <wp:simplePos x="0" y="0"/>
                <wp:positionH relativeFrom="column">
                  <wp:posOffset>514350</wp:posOffset>
                </wp:positionH>
                <wp:positionV relativeFrom="paragraph">
                  <wp:posOffset>4836160</wp:posOffset>
                </wp:positionV>
                <wp:extent cx="5072380" cy="258445"/>
                <wp:effectExtent l="4445" t="3810" r="0" b="4445"/>
                <wp:wrapTopAndBottom/>
                <wp:docPr id="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85" w:name="_Toc445289838"/>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25</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średniorocznych stężeń pyłu PM10 w województwie podkarpackim w 2014 r.</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40.5pt;margin-top:380.8pt;width:399.4pt;height:2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DfgIAAAkFAAAOAAAAZHJzL2Uyb0RvYy54bWysVG1v2yAQ/j5p/wHxPfVLnTS24lRNO0+T&#10;uhep3Q8gGMdoGBiQ2F21/74Dx2m7F2ma5g/4gOPh7p7nWF0OnUAHZixXssTJWYwRk1TVXO5K/Pm+&#10;mi0xso7ImgglWYkfmMWX69evVr0uWKpaJWpmEIBIW/S6xK1zuogiS1vWEXumNJOw2SjTEQdTs4tq&#10;Q3pA70SUxvEi6pWptVGUWQurN+MmXgf8pmHUfWwayxwSJYbYXBhNGLd+jNYrUuwM0S2nxzDIP0TR&#10;ES7h0hPUDXEE7Q3/Barj1CirGndGVReppuGUhRwgmyT+KZu7lmgWcoHiWH0qk/1/sPTD4ZNBvC7x&#10;IsdIkg44umeDQxs1oPNQn17bAtzuNDi6AdaB55Cr1beKfrFIquuWyB27Mkb1LSM1xJf4ykbPjnpG&#10;bGE9yLZ/r2q4h+ydCkBDYzpfPCgHAnTg6eHEjY+FwuI8vkjPl7BFYS+dL7NsHq4gxXRaG+veMtUh&#10;b5TYAPcBnRxurfPRkGJy8ZdZJXhdcSHCxOy218KgAwGdVOE7or9wE9I7S+WPjYjjCgQJd/g9H27g&#10;/TFP0izepPmsWiwvZlmVzWf5RbycxUm+yRdxlmc31XcfYJIVLa9rJm+5ZJMGk+zvOD52w6ieoELU&#10;lzifp/ORoj8mGYfvd0l23EFLCt6VeHlyIoUn9o2sQ8M4wsVoRy/DD1WGGkz/UJUgA8/8qAE3bIeg&#10;uCSIxMtiq+oHEIZRwBtQDO8JGK0y3zDqoTdLbL/uiWEYiXcSxOUbeTLMZGwng0gKR0vsMBrNazc2&#10;/F4bvmsBeZLvFQiw4kEbT1EcZQv9FpI4vg2+oZ/Pg9fTC7b+AQAA//8DAFBLAwQUAAYACAAAACEA&#10;jzL54eIAAAAKAQAADwAAAGRycy9kb3ducmV2LnhtbEyPsU7DMBCGdyTewTokFtQ6aas0hDhVVcEA&#10;S0Xo0s2N3TgQnyPbacPbc0yw3el+/fd95WayPbtoHzqHAtJ5Akxj41SHrYDDx8ssBxaiRCV7h1rA&#10;tw6wqW5vSlkod8V3faljy6gEQyEFmBiHgvPQGG1lmLtBI93OzlsZafUtV15eqdz2fJEkGbeyQ/pg&#10;5KB3Rjdf9WgF7FfHvXkYz89v29XSvx7GXfbZ1kLc303bJ2BRT/EvDL/4hA4VMZ3ciCqwXkCekkoU&#10;sM7SDBgF8vUjuZxoSBZL4FXJ/ytUPwAAAP//AwBQSwECLQAUAAYACAAAACEAtoM4kv4AAADhAQAA&#10;EwAAAAAAAAAAAAAAAAAAAAAAW0NvbnRlbnRfVHlwZXNdLnhtbFBLAQItABQABgAIAAAAIQA4/SH/&#10;1gAAAJQBAAALAAAAAAAAAAAAAAAAAC8BAABfcmVscy8ucmVsc1BLAQItABQABgAIAAAAIQA/BplD&#10;fgIAAAkFAAAOAAAAAAAAAAAAAAAAAC4CAABkcnMvZTJvRG9jLnhtbFBLAQItABQABgAIAAAAIQCP&#10;Mvnh4gAAAAoBAAAPAAAAAAAAAAAAAAAAANgEAABkcnMvZG93bnJldi54bWxQSwUGAAAAAAQABADz&#10;AAAA5wU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86" w:name="_Toc445289838"/>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25</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średniorocznych stężeń pyłu PM10 w województwie podkarpackim w 2014 r.</w:t>
                      </w:r>
                      <w:bookmarkEnd w:id="86"/>
                    </w:p>
                  </w:txbxContent>
                </v:textbox>
                <w10:wrap type="topAndBottom"/>
              </v:shape>
            </w:pict>
          </mc:Fallback>
        </mc:AlternateContent>
      </w:r>
      <w:r w:rsidR="00EB674A" w:rsidRPr="00BE6FA1">
        <w:rPr>
          <w:rFonts w:ascii="Times New Roman" w:hAnsi="Times New Roman" w:cs="Times New Roman"/>
          <w:noProof/>
          <w:color w:val="auto"/>
        </w:rPr>
        <w:drawing>
          <wp:anchor distT="0" distB="127000" distL="0" distR="0" simplePos="0" relativeHeight="251670528" behindDoc="0" locked="0" layoutInCell="1" allowOverlap="1" wp14:anchorId="6927B541" wp14:editId="33615DB3">
            <wp:simplePos x="0" y="0"/>
            <wp:positionH relativeFrom="column">
              <wp:align>center</wp:align>
            </wp:positionH>
            <wp:positionV relativeFrom="paragraph">
              <wp:align>top</wp:align>
            </wp:positionV>
            <wp:extent cx="4008755" cy="4779010"/>
            <wp:effectExtent l="0" t="0" r="0" b="0"/>
            <wp:wrapTopAndBottom/>
            <wp:docPr id="32"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22"/>
                    <pic:cNvPicPr>
                      <a:picLocks noChangeAspect="1" noChangeArrowheads="1"/>
                    </pic:cNvPicPr>
                  </pic:nvPicPr>
                  <pic:blipFill>
                    <a:blip r:embed="rId42" cstate="print"/>
                    <a:stretch>
                      <a:fillRect/>
                    </a:stretch>
                  </pic:blipFill>
                  <pic:spPr bwMode="auto">
                    <a:xfrm>
                      <a:off x="0" y="0"/>
                      <a:ext cx="4008755" cy="4779010"/>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W zakresie stężeń dobowych określono liczbę dni z przekroczeniem dobowego poziomu dopuszczalnego wynoszącego 50 μg/m</w:t>
      </w:r>
      <w:r w:rsidRPr="00BE6FA1">
        <w:rPr>
          <w:rFonts w:ascii="Times New Roman" w:hAnsi="Times New Roman" w:cs="Times New Roman"/>
          <w:sz w:val="24"/>
          <w:vertAlign w:val="superscript"/>
        </w:rPr>
        <w:t>3</w:t>
      </w:r>
      <w:r w:rsidRPr="00BE6FA1">
        <w:rPr>
          <w:rFonts w:ascii="Times New Roman" w:hAnsi="Times New Roman" w:cs="Times New Roman"/>
          <w:sz w:val="24"/>
        </w:rPr>
        <w:t>. Na terenie województwa podkarpackiego liczba dni z przekroczeniami zawierała się w przedziale 0-167 przypadków (przy dopuszczonej ilości 35 dni).</w:t>
      </w:r>
    </w:p>
    <w:p w:rsidR="00EB674A" w:rsidRPr="00BE6FA1" w:rsidRDefault="00EB674A" w:rsidP="003A27DA">
      <w:pPr>
        <w:spacing w:after="0" w:line="360" w:lineRule="auto"/>
        <w:ind w:firstLine="708"/>
        <w:jc w:val="both"/>
        <w:rPr>
          <w:rFonts w:ascii="Times New Roman" w:hAnsi="Times New Roman" w:cs="Times New Roman"/>
        </w:rPr>
      </w:pPr>
    </w:p>
    <w:p w:rsidR="00EB674A" w:rsidRPr="00BE6FA1" w:rsidRDefault="00EB674A" w:rsidP="00203890">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Wyniki modelowania dla</w:t>
      </w:r>
      <w:r w:rsidR="001F0217" w:rsidRPr="00BE6FA1">
        <w:rPr>
          <w:rFonts w:ascii="Times New Roman" w:hAnsi="Times New Roman" w:cs="Times New Roman"/>
          <w:sz w:val="24"/>
          <w:szCs w:val="24"/>
        </w:rPr>
        <w:t xml:space="preserve"> Miasta i</w:t>
      </w:r>
      <w:r w:rsidRPr="00BE6FA1">
        <w:rPr>
          <w:rFonts w:ascii="Times New Roman" w:hAnsi="Times New Roman" w:cs="Times New Roman"/>
          <w:sz w:val="24"/>
          <w:szCs w:val="24"/>
        </w:rPr>
        <w:t xml:space="preserve"> Gminy </w:t>
      </w:r>
      <w:r w:rsidR="00807674" w:rsidRPr="00BE6FA1">
        <w:rPr>
          <w:rFonts w:ascii="Times New Roman" w:hAnsi="Times New Roman" w:cs="Times New Roman"/>
          <w:sz w:val="24"/>
          <w:szCs w:val="24"/>
        </w:rPr>
        <w:t>Kańczuga</w:t>
      </w:r>
      <w:r w:rsidRPr="00BE6FA1">
        <w:rPr>
          <w:rFonts w:ascii="Times New Roman" w:hAnsi="Times New Roman" w:cs="Times New Roman"/>
          <w:sz w:val="24"/>
          <w:szCs w:val="24"/>
        </w:rPr>
        <w:t xml:space="preserve"> wykazały </w:t>
      </w:r>
      <w:r w:rsidR="00D13980" w:rsidRPr="00BE6FA1">
        <w:rPr>
          <w:rFonts w:ascii="Times New Roman" w:hAnsi="Times New Roman" w:cs="Times New Roman"/>
          <w:sz w:val="24"/>
          <w:szCs w:val="24"/>
        </w:rPr>
        <w:t>p</w:t>
      </w:r>
      <w:r w:rsidRPr="00BE6FA1">
        <w:rPr>
          <w:rFonts w:ascii="Times New Roman" w:hAnsi="Times New Roman" w:cs="Times New Roman"/>
          <w:sz w:val="24"/>
          <w:szCs w:val="24"/>
        </w:rPr>
        <w:t>rzekrocz</w:t>
      </w:r>
      <w:r w:rsidR="00203890" w:rsidRPr="00BE6FA1">
        <w:rPr>
          <w:rFonts w:ascii="Times New Roman" w:hAnsi="Times New Roman" w:cs="Times New Roman"/>
          <w:sz w:val="24"/>
          <w:szCs w:val="24"/>
        </w:rPr>
        <w:t xml:space="preserve">enia, które oscylowały </w:t>
      </w:r>
      <w:r w:rsidR="00D13980" w:rsidRPr="00BE6FA1">
        <w:rPr>
          <w:rFonts w:ascii="Times New Roman" w:hAnsi="Times New Roman" w:cs="Times New Roman"/>
          <w:sz w:val="24"/>
          <w:szCs w:val="24"/>
        </w:rPr>
        <w:t>w granicach 5-20</w:t>
      </w:r>
      <w:r w:rsidR="00203890" w:rsidRPr="00BE6FA1">
        <w:rPr>
          <w:rFonts w:ascii="Times New Roman" w:hAnsi="Times New Roman" w:cs="Times New Roman"/>
          <w:sz w:val="24"/>
          <w:szCs w:val="24"/>
        </w:rPr>
        <w:t xml:space="preserve"> dni. </w:t>
      </w:r>
    </w:p>
    <w:p w:rsidR="00203890" w:rsidRPr="00BE6FA1" w:rsidRDefault="00203890" w:rsidP="003A27DA">
      <w:pPr>
        <w:spacing w:after="0" w:line="360" w:lineRule="auto"/>
        <w:ind w:firstLine="708"/>
        <w:jc w:val="both"/>
        <w:rPr>
          <w:rFonts w:ascii="Times New Roman" w:hAnsi="Times New Roman" w:cs="Times New Roman"/>
          <w:sz w:val="24"/>
        </w:rPr>
      </w:pPr>
    </w:p>
    <w:p w:rsidR="005D23F7" w:rsidRPr="00BE6FA1" w:rsidRDefault="005D23F7" w:rsidP="003A27DA">
      <w:pPr>
        <w:spacing w:after="0" w:line="360" w:lineRule="auto"/>
        <w:ind w:firstLine="708"/>
        <w:jc w:val="both"/>
        <w:rPr>
          <w:rFonts w:ascii="Times New Roman" w:hAnsi="Times New Roman" w:cs="Times New Roman"/>
          <w:sz w:val="24"/>
        </w:rPr>
      </w:pPr>
    </w:p>
    <w:p w:rsidR="005D23F7" w:rsidRPr="00BE6FA1" w:rsidRDefault="005D23F7" w:rsidP="003A27DA">
      <w:pPr>
        <w:spacing w:after="0" w:line="360" w:lineRule="auto"/>
        <w:ind w:firstLine="708"/>
        <w:jc w:val="both"/>
        <w:rPr>
          <w:rFonts w:ascii="Times New Roman" w:hAnsi="Times New Roman" w:cs="Times New Roman"/>
          <w:sz w:val="24"/>
        </w:rPr>
      </w:pPr>
    </w:p>
    <w:p w:rsidR="005D23F7" w:rsidRPr="00BE6FA1" w:rsidRDefault="00203890"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br/>
      </w:r>
      <w:r w:rsidR="00605A87">
        <w:rPr>
          <w:rFonts w:ascii="Times New Roman" w:hAnsi="Times New Roman" w:cs="Times New Roman"/>
          <w:noProof/>
        </w:rPr>
        <mc:AlternateContent>
          <mc:Choice Requires="wps">
            <w:drawing>
              <wp:anchor distT="0" distB="0" distL="114300" distR="114300" simplePos="0" relativeHeight="251720704" behindDoc="0" locked="0" layoutInCell="1" allowOverlap="1">
                <wp:simplePos x="0" y="0"/>
                <wp:positionH relativeFrom="column">
                  <wp:posOffset>725170</wp:posOffset>
                </wp:positionH>
                <wp:positionV relativeFrom="paragraph">
                  <wp:posOffset>4994910</wp:posOffset>
                </wp:positionV>
                <wp:extent cx="4160520" cy="389890"/>
                <wp:effectExtent l="0" t="0" r="0" b="0"/>
                <wp:wrapTopAndBottom/>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87" w:name="_Toc445289839"/>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26</w:t>
                            </w:r>
                            <w:r w:rsidRPr="00203890">
                              <w:rPr>
                                <w:rFonts w:ascii="Times New Roman" w:hAnsi="Times New Roman" w:cs="Times New Roman"/>
                                <w:color w:val="auto"/>
                              </w:rPr>
                              <w:fldChar w:fldCharType="end"/>
                            </w:r>
                            <w:r w:rsidRPr="00203890">
                              <w:rPr>
                                <w:rFonts w:ascii="Times New Roman" w:hAnsi="Times New Roman" w:cs="Times New Roman"/>
                                <w:color w:val="auto"/>
                              </w:rPr>
                              <w:t>. Liczba dni z przekroczeniem dobowego poziomu dopuszczalnego pyłu PM10 w województwie podkarpackim w 2014 r</w:t>
                            </w:r>
                            <w:bookmarkEnd w:id="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57.1pt;margin-top:393.3pt;width:327.6pt;height:3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OlfwIAAAkFAAAOAAAAZHJzL2Uyb0RvYy54bWysVNtu3CAQfa/Uf0C8b3yJd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WI1X&#10;gJQiPWB0z0ePrvSITrPQn8G4CszuDBj6Ec4B51irM7eafnJI6euOqB2/tFYPHScM8oueyRPXKY4L&#10;QbbDW83gHrL3OgYaW9uH5kE7EEQHnB6O2IRcKBwW2Spd5qCioDtdl+sygpeQavY21vnXXPcoCDW2&#10;gH2MTg63zkMdYDqbhMucloI1Qsq4sbvttbToQIAnTfxC6eDyzEyqYKx0cJvU0wkkCXcEXUg34v61&#10;zPIivcrLRbNany2KplguyrN0vUiz8qpcpUVZ3DTfQoJZUXWCMa5uheIzB7Pi7zB+nIaJPZGFaKhx&#10;ucyXE0R/LDKN3++K7IWHkZSir/H6aESqAOwrxaBsUnki5CQnz9OPLYMezP/YlUiDgPzEAT9ux8i4&#10;LJ/ptdXsAYhhNeAGEMN7AkKn7ReMBpjNGrvPe2I5RvKNAnKFQZ4FOwvbWSCKgmuNPUaTeO2ngd8b&#10;K3YdRJ7pewkEbETkRmDqlAWkHjYwb7GIx7chDPTTfbT68YJtvgMAAP//AwBQSwMEFAAGAAgAAAAh&#10;ANYSLBLiAAAACwEAAA8AAABkcnMvZG93bnJldi54bWxMj7FOwzAURXck/sF6SCyIOi2Wm4Y4VVXB&#10;AEtF6NLNjd04ED9HttOGv8dMZbx6R/eeV64n25Oz9qFzKGA+y4BobJzqsBWw/3x9zIGEKFHJ3qEW&#10;8KMDrKvbm1IWyl3wQ5/r2JJUgqGQAkyMQ0FpaIy2MszcoDHdTs5bGVP0LVVeXlK57ekiyzi1ssO0&#10;YOSgt0Y33/VoBezYYWcextPL+4Y9+bf9uOVfbS3E/d20eQYS9RSvMPzpJ3WoktPRjagC6VOes0VC&#10;BSxzzoEkYslXDMhRQM7yDGhV0v8/VL8AAAD//wMAUEsBAi0AFAAGAAgAAAAhALaDOJL+AAAA4QEA&#10;ABMAAAAAAAAAAAAAAAAAAAAAAFtDb250ZW50X1R5cGVzXS54bWxQSwECLQAUAAYACAAAACEAOP0h&#10;/9YAAACUAQAACwAAAAAAAAAAAAAAAAAvAQAAX3JlbHMvLnJlbHNQSwECLQAUAAYACAAAACEAm+RT&#10;pX8CAAAJBQAADgAAAAAAAAAAAAAAAAAuAgAAZHJzL2Uyb0RvYy54bWxQSwECLQAUAAYACAAAACEA&#10;1hIsEuIAAAALAQAADwAAAAAAAAAAAAAAAADZBAAAZHJzL2Rvd25yZXYueG1sUEsFBgAAAAAEAAQA&#10;8wAAAOgFA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88" w:name="_Toc445289839"/>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26</w:t>
                      </w:r>
                      <w:r w:rsidRPr="00203890">
                        <w:rPr>
                          <w:rFonts w:ascii="Times New Roman" w:hAnsi="Times New Roman" w:cs="Times New Roman"/>
                          <w:color w:val="auto"/>
                        </w:rPr>
                        <w:fldChar w:fldCharType="end"/>
                      </w:r>
                      <w:r w:rsidRPr="00203890">
                        <w:rPr>
                          <w:rFonts w:ascii="Times New Roman" w:hAnsi="Times New Roman" w:cs="Times New Roman"/>
                          <w:color w:val="auto"/>
                        </w:rPr>
                        <w:t>. Liczba dni z przekroczeniem dobowego poziomu dopuszczalnego pyłu PM10 w województwie podkarpackim w 2014 r</w:t>
                      </w:r>
                      <w:bookmarkEnd w:id="88"/>
                    </w:p>
                  </w:txbxContent>
                </v:textbox>
                <w10:wrap type="topAndBottom"/>
              </v:shape>
            </w:pict>
          </mc:Fallback>
        </mc:AlternateContent>
      </w:r>
      <w:r w:rsidRPr="00BE6FA1">
        <w:rPr>
          <w:rFonts w:ascii="Times New Roman" w:hAnsi="Times New Roman" w:cs="Times New Roman"/>
          <w:noProof/>
        </w:rPr>
        <w:drawing>
          <wp:anchor distT="0" distB="127000" distL="0" distR="0" simplePos="0" relativeHeight="251671552" behindDoc="0" locked="0" layoutInCell="1" allowOverlap="1" wp14:anchorId="395462C3" wp14:editId="755D984C">
            <wp:simplePos x="0" y="0"/>
            <wp:positionH relativeFrom="column">
              <wp:posOffset>725170</wp:posOffset>
            </wp:positionH>
            <wp:positionV relativeFrom="paragraph">
              <wp:posOffset>88900</wp:posOffset>
            </wp:positionV>
            <wp:extent cx="4160520" cy="4848860"/>
            <wp:effectExtent l="0" t="0" r="0" b="0"/>
            <wp:wrapTopAndBottom/>
            <wp:docPr id="33" name="Obraz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23"/>
                    <pic:cNvPicPr>
                      <a:picLocks noChangeAspect="1" noChangeArrowheads="1"/>
                    </pic:cNvPicPr>
                  </pic:nvPicPr>
                  <pic:blipFill>
                    <a:blip r:embed="rId43" cstate="print"/>
                    <a:stretch>
                      <a:fillRect/>
                    </a:stretch>
                  </pic:blipFill>
                  <pic:spPr bwMode="auto">
                    <a:xfrm>
                      <a:off x="0" y="0"/>
                      <a:ext cx="4160520" cy="4848860"/>
                    </a:xfrm>
                    <a:prstGeom prst="rect">
                      <a:avLst/>
                    </a:prstGeom>
                  </pic:spPr>
                </pic:pic>
              </a:graphicData>
            </a:graphic>
          </wp:anchor>
        </w:drawing>
      </w:r>
      <w:r w:rsidRPr="00BE6FA1">
        <w:rPr>
          <w:rFonts w:ascii="Times New Roman" w:hAnsi="Times New Roman" w:cs="Times New Roman"/>
          <w:sz w:val="24"/>
        </w:rPr>
        <w:tab/>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lastRenderedPageBreak/>
        <w:t>Na podstawie wyników pomiarów stężeń pyłu PM10 oraz wyników modelowania dokonano klasyfikacji stref w województwie podkarpackim ze względu na zanieczyszczenie powietrza atmosferycznego pyłem PM10 w kryterium ochrony zdrowia w zakresie stężeń dobowych i średniorocznych. Na terenie strefy podkarpackiej przekroczony został zarówno średnioroczny poziom dopuszczalny PM10 jak również dopuszczona liczba dni ze stężeniem wyższym od 50 μg/m</w:t>
      </w:r>
      <w:r w:rsidRPr="00BE6FA1">
        <w:rPr>
          <w:rFonts w:ascii="Times New Roman" w:hAnsi="Times New Roman" w:cs="Times New Roman"/>
          <w:sz w:val="24"/>
          <w:vertAlign w:val="superscript"/>
        </w:rPr>
        <w:t>3</w:t>
      </w:r>
      <w:r w:rsidRPr="00BE6FA1">
        <w:rPr>
          <w:rFonts w:ascii="Times New Roman" w:hAnsi="Times New Roman" w:cs="Times New Roman"/>
          <w:sz w:val="24"/>
        </w:rPr>
        <w:t>. W zakresie obu parametrów, oraz w klasyfikacji końcowej w zakresie pyłu PM10 strefa podkarpacka otrzymała klasę C.</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W roku 2014 w województwie podkarpackim wyznaczono 1 obszar przekroczeń </w:t>
      </w:r>
      <w:r w:rsidRPr="00BE6FA1">
        <w:rPr>
          <w:rFonts w:ascii="Times New Roman" w:hAnsi="Times New Roman" w:cs="Times New Roman"/>
          <w:sz w:val="24"/>
        </w:rPr>
        <w:br/>
        <w:t>w zakresie dopuszczalnego stężenia średniorocznego pyłu PM10.  Obszar ten umiejscowiony jest na terenie miasta Przemyśla i zajmuje 2 km</w:t>
      </w:r>
      <w:r w:rsidRPr="00BE6FA1">
        <w:rPr>
          <w:rFonts w:ascii="Times New Roman" w:hAnsi="Times New Roman" w:cs="Times New Roman"/>
          <w:sz w:val="24"/>
          <w:vertAlign w:val="superscript"/>
        </w:rPr>
        <w:t>2</w:t>
      </w:r>
      <w:r w:rsidRPr="00BE6FA1">
        <w:rPr>
          <w:rFonts w:ascii="Times New Roman" w:hAnsi="Times New Roman" w:cs="Times New Roman"/>
          <w:sz w:val="24"/>
        </w:rPr>
        <w:t xml:space="preserve"> (0,01% województwa podkarpackiego). Wyznaczono również 18 obszarów przekroczeń w zakresie dopuszczalnego stężenia dobowego pyłu PM10 obejmujących swoim zasięgiem 184 km</w:t>
      </w:r>
      <w:r w:rsidRPr="00BE6FA1">
        <w:rPr>
          <w:rFonts w:ascii="Times New Roman" w:hAnsi="Times New Roman" w:cs="Times New Roman"/>
          <w:sz w:val="24"/>
          <w:vertAlign w:val="superscript"/>
        </w:rPr>
        <w:t>2</w:t>
      </w:r>
      <w:r w:rsidRPr="00BE6FA1">
        <w:rPr>
          <w:rFonts w:ascii="Times New Roman" w:hAnsi="Times New Roman" w:cs="Times New Roman"/>
          <w:sz w:val="24"/>
        </w:rPr>
        <w:t xml:space="preserve"> (1% województwa podkarpackiego). </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Modelowanie rozkładu stężeń średniorocznych pyłu PM10 wyróżniło dwa dominujące typy emisji: powierzchniową i napływową. Na większości obszarów miejskich i w pobliżu miast dom</w:t>
      </w:r>
      <w:r w:rsidR="00807674" w:rsidRPr="00BE6FA1">
        <w:rPr>
          <w:rFonts w:ascii="Times New Roman" w:hAnsi="Times New Roman" w:cs="Times New Roman"/>
          <w:sz w:val="24"/>
        </w:rPr>
        <w:t xml:space="preserve">inowała emisja powierzchniowa. </w:t>
      </w:r>
      <w:r w:rsidRPr="00BE6FA1">
        <w:rPr>
          <w:rFonts w:ascii="Times New Roman" w:hAnsi="Times New Roman" w:cs="Times New Roman"/>
          <w:sz w:val="24"/>
        </w:rPr>
        <w:t xml:space="preserve">W przypadku stężeń średniorocznych PM10 największy udział miała emisja napływowa. W przypadku stężeń dobowych dominujący wpływ miała emisja powierzchniowa.  </w:t>
      </w:r>
    </w:p>
    <w:p w:rsidR="00EB674A" w:rsidRPr="00BE6FA1" w:rsidRDefault="00EB674A" w:rsidP="003A27DA">
      <w:pPr>
        <w:spacing w:after="0" w:line="360" w:lineRule="auto"/>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5D23F7" w:rsidRPr="00BE6FA1" w:rsidRDefault="005D23F7" w:rsidP="003A27DA">
      <w:pPr>
        <w:spacing w:after="0" w:line="360" w:lineRule="auto"/>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t>Pył zawieszony PM2.5</w:t>
      </w:r>
    </w:p>
    <w:p w:rsidR="00D13980" w:rsidRPr="00BE6FA1" w:rsidRDefault="00D13980" w:rsidP="003A27DA">
      <w:pPr>
        <w:spacing w:after="0" w:line="360" w:lineRule="auto"/>
        <w:jc w:val="both"/>
        <w:rPr>
          <w:rFonts w:ascii="Times New Roman" w:hAnsi="Times New Roman" w:cs="Times New Roman"/>
          <w:b/>
          <w:sz w:val="24"/>
        </w:rPr>
      </w:pPr>
    </w:p>
    <w:p w:rsidR="00D13980" w:rsidRPr="00BE6FA1" w:rsidRDefault="00D13980" w:rsidP="003A27DA">
      <w:pPr>
        <w:spacing w:after="0" w:line="360" w:lineRule="auto"/>
        <w:ind w:firstLine="708"/>
        <w:jc w:val="both"/>
        <w:rPr>
          <w:rFonts w:ascii="Times New Roman" w:hAnsi="Times New Roman" w:cs="Times New Roman"/>
          <w:b/>
          <w:sz w:val="24"/>
        </w:rPr>
      </w:pPr>
      <w:r w:rsidRPr="00BE6FA1">
        <w:rPr>
          <w:rFonts w:ascii="Times New Roman" w:hAnsi="Times New Roman" w:cs="Times New Roman"/>
          <w:sz w:val="24"/>
        </w:rPr>
        <w:t>W województwie podkarpackim w 2014 r. badania zanieczyszczenia powietrza  pyłem zawieszonym PM2.5 prowadzone były na 5 stanowiskach pomiarowych.</w:t>
      </w:r>
    </w:p>
    <w:p w:rsidR="00EB674A" w:rsidRPr="00BE6FA1" w:rsidRDefault="00605A87" w:rsidP="003A27DA">
      <w:pPr>
        <w:spacing w:after="0" w:line="360" w:lineRule="auto"/>
        <w:jc w:val="both"/>
        <w:rPr>
          <w:rFonts w:ascii="Times New Roman" w:hAnsi="Times New Roman" w:cs="Times New Roman"/>
          <w:sz w:val="24"/>
        </w:rPr>
      </w:pPr>
      <w:r>
        <w:rPr>
          <w:rFonts w:ascii="Times New Roman" w:hAnsi="Times New Roman" w:cs="Times New Roman"/>
          <w:noProof/>
        </w:rPr>
        <mc:AlternateContent>
          <mc:Choice Requires="wps">
            <w:drawing>
              <wp:anchor distT="0" distB="0" distL="114300" distR="114300" simplePos="0" relativeHeight="251722752" behindDoc="0" locked="0" layoutInCell="1" allowOverlap="1">
                <wp:simplePos x="0" y="0"/>
                <wp:positionH relativeFrom="column">
                  <wp:posOffset>903605</wp:posOffset>
                </wp:positionH>
                <wp:positionV relativeFrom="paragraph">
                  <wp:posOffset>4578985</wp:posOffset>
                </wp:positionV>
                <wp:extent cx="3953510" cy="389890"/>
                <wp:effectExtent l="3175" t="0" r="0" b="4445"/>
                <wp:wrapTopAndBottom/>
                <wp:docPr id="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89" w:name="_Toc445289840"/>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27</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pyłu zawieszonego PM2.5 w województwie podkarpackim w 2014 r.</w:t>
                            </w:r>
                            <w:bookmarkEnd w:id="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71.15pt;margin-top:360.55pt;width:311.3pt;height:3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MpfwIAAAkFAAAOAAAAZHJzL2Uyb0RvYy54bWysVNuO2yAQfa/Uf0C8Z20nTja21lntpa4q&#10;bS/Sbj+AAI5RMVAgsbdV/70DjtPttpWqqn7AAwyHmTlnuLgcOokO3DqhVYWzsxQjrqhmQu0q/PGh&#10;nq0xcp4oRqRWvMKP3OHLzcsXF70p+Vy3WjJuEYAoV/amwq33pkwSR1veEXemDVew2WjbEQ9Tu0uY&#10;JT2gdzKZp+kq6bVlxmrKnYPV23ETbyJ+03Dq3zeN4x7JCkNsPo42jtswJpsLUu4sMa2gxzDIP0TR&#10;EaHg0hPULfEE7a34BaoT1GqnG39GdZfophGUxxwgmyx9ls19SwyPuUBxnDmVyf0/WPru8MEiwSq8&#10;OsdIkQ44euCDR9d6QIt5qE9vXAlu9wYc/QDrwHPM1Zk7TT85pPRNS9SOX1mr+5YTBvFl4WTy5OiI&#10;4wLItn+rGdxD9l5HoKGxXSgelAMBOvD0eOImxEJhcVEsF8sMtijsLdbFuojkJaScThvr/GuuOxSM&#10;ClvgPqKTw53zIRpSTi7hMqelYLWQMk7sbnsjLToQ0Ekdv5jAMzepgrPS4diIOK5AkHBH2AvhRt6/&#10;Ftk8T6/nxaxerc9neZ0vZ8V5up6lWXFdrNK8yG/rbyHALC9bwRhXd0LxSYNZ/nccH7thVE9UIeor&#10;XCzny5GiPyaZxu93SXbCQ0tK0VV4fXIiZSD2lWKQNik9EXK0k5/Dj1WGGkz/WJUog8D8qAE/bIeo&#10;uGwxyWur2SMIw2rgDSiG9wSMVtsvGPXQmxV2n/fEcozkGwXiCo08GXYytpNBFIWjFfYYjeaNHxt+&#10;b6zYtYA8yfcKBFiLqI2g1DGKo2yh32ISx7chNPTTefT68YJtvgMAAP//AwBQSwMEFAAGAAgAAAAh&#10;AAOYIb7iAAAACwEAAA8AAABkcnMvZG93bnJldi54bWxMj7FOwzAQhnck3sE6JBZEnaQhLSFOVVUw&#10;0KUi7dLNjd04EJ+j2GnD23NMsN2v+/Tfd8Vqsh276MG3DgXEswiYxtqpFhsBh/3b4xKYDxKV7Bxq&#10;Ad/aw6q8vSlkrtwVP/SlCg2jEvS5FGBC6HPOfW20lX7meo20O7vBykBxaLga5JXKbceTKMq4lS3S&#10;BSN7vTG6/qpGK2CXHnfmYTy/btfpfHg/jJvss6mEuL+b1i/Agp7CHwy/+qQOJTmd3IjKs45ymswJ&#10;FbBI4hgYEYssfQZ2omGZPAEvC/7/h/IHAAD//wMAUEsBAi0AFAAGAAgAAAAhALaDOJL+AAAA4QEA&#10;ABMAAAAAAAAAAAAAAAAAAAAAAFtDb250ZW50X1R5cGVzXS54bWxQSwECLQAUAAYACAAAACEAOP0h&#10;/9YAAACUAQAACwAAAAAAAAAAAAAAAAAvAQAAX3JlbHMvLnJlbHNQSwECLQAUAAYACAAAACEAQrHT&#10;KX8CAAAJBQAADgAAAAAAAAAAAAAAAAAuAgAAZHJzL2Uyb0RvYy54bWxQSwECLQAUAAYACAAAACEA&#10;A5ghvuIAAAALAQAADwAAAAAAAAAAAAAAAADZBAAAZHJzL2Rvd25yZXYueG1sUEsFBgAAAAAEAAQA&#10;8wAAAOgFA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90" w:name="_Toc445289840"/>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27</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pyłu zawieszonego PM2.5 w województwie podkarpackim w 2014 r.</w:t>
                      </w:r>
                      <w:bookmarkEnd w:id="90"/>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72576" behindDoc="0" locked="0" layoutInCell="1" allowOverlap="1" wp14:anchorId="22A88410" wp14:editId="35DF153B">
            <wp:simplePos x="0" y="0"/>
            <wp:positionH relativeFrom="column">
              <wp:align>center</wp:align>
            </wp:positionH>
            <wp:positionV relativeFrom="paragraph">
              <wp:align>top</wp:align>
            </wp:positionV>
            <wp:extent cx="3953510" cy="4521835"/>
            <wp:effectExtent l="19050" t="0" r="8890" b="0"/>
            <wp:wrapTopAndBottom/>
            <wp:docPr id="34"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15"/>
                    <pic:cNvPicPr>
                      <a:picLocks noChangeAspect="1" noChangeArrowheads="1"/>
                    </pic:cNvPicPr>
                  </pic:nvPicPr>
                  <pic:blipFill>
                    <a:blip r:embed="rId44" cstate="print"/>
                    <a:stretch>
                      <a:fillRect/>
                    </a:stretch>
                  </pic:blipFill>
                  <pic:spPr bwMode="auto">
                    <a:xfrm>
                      <a:off x="0" y="0"/>
                      <a:ext cx="3953510" cy="4521835"/>
                    </a:xfrm>
                    <a:prstGeom prst="rect">
                      <a:avLst/>
                    </a:prstGeom>
                  </pic:spPr>
                </pic:pic>
              </a:graphicData>
            </a:graphic>
          </wp:anchor>
        </w:drawing>
      </w:r>
    </w:p>
    <w:p w:rsidR="00EB674A" w:rsidRPr="00BE6FA1" w:rsidRDefault="00605A87" w:rsidP="003A27DA">
      <w:pPr>
        <w:spacing w:after="0" w:line="360" w:lineRule="auto"/>
        <w:ind w:firstLine="708"/>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24800" behindDoc="0" locked="0" layoutInCell="1" allowOverlap="1">
                <wp:simplePos x="0" y="0"/>
                <wp:positionH relativeFrom="column">
                  <wp:posOffset>915670</wp:posOffset>
                </wp:positionH>
                <wp:positionV relativeFrom="paragraph">
                  <wp:posOffset>7242810</wp:posOffset>
                </wp:positionV>
                <wp:extent cx="3930015" cy="389890"/>
                <wp:effectExtent l="0" t="0" r="0" b="1905"/>
                <wp:wrapTopAndBottom/>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91" w:name="_Toc445289841"/>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28</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stężeń średniorocznych pyłu PM2.5 w województwie podkarpackim w 2014 r.</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left:0;text-align:left;margin-left:72.1pt;margin-top:570.3pt;width:309.45pt;height:3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NnfwIAAAkFAAAOAAAAZHJzL2Uyb0RvYy54bWysVNuO2yAQfa/Uf0C8Z20nTja21lntpa4q&#10;bS/Sbj+AAI5RMVAgsbdV/70DjtPttpWqqn7AAwyHmTlnuLgcOokO3DqhVYWzsxQjrqhmQu0q/PGh&#10;nq0xcp4oRqRWvMKP3OHLzcsXF70p+Vy3WjJuEYAoV/amwq33pkwSR1veEXemDVew2WjbEQ9Tu0uY&#10;JT2gdzKZp+kq6bVlxmrKnYPV23ETbyJ+03Dq3zeN4x7JCkNsPo42jtswJpsLUu4sMa2gxzDIP0TR&#10;EaHg0hPULfEE7a34BaoT1GqnG39GdZfophGUxxwgmyx9ls19SwyPuUBxnDmVyf0/WPru8MEiwSq8&#10;WmGkSAccPfDBo2s9oMUi1Kc3rgS3ewOOfoB14Dnm6sydpp8cUvqmJWrHr6zVfcsJg/iycDJ5cnTE&#10;cQFk27/VDO4he68j0NDYLhQPyoEAHXh6PHETYqGwuCgWaZotMaKwt1gX6yKSl5ByOm2s86+57lAw&#10;KmyB+4hODnfOh2hIObmEy5yWgtVCyjixu+2NtOhAQCd1/GICz9ykCs5Kh2Mj4rgCQcIdYS+EG3n/&#10;WmTzPL2eF7N6tT6f5XW+nBXn6XqWZsV1sUrzIr+tv4UAs7xsBWNc3QnFJw1m+d9xfOyGUT1Rhaiv&#10;cLGcL0eK/phkGr/fJdkJDy0pRVfh9cmJlIHYV4pB2qT0RMjRTn4OP1YZajD9Y1WiDALzowb8sB2i&#10;4rJ8ktdWs0cQhtXAG7AP7wkYrbZfMOqhNyvsPu+J5RjJNwrEFRp5MuxkbCeDKApHK+wxGs0bPzb8&#10;3lixawF5ku8VCLAWURtBqWMUR9lCv8Ukjm9DaOin8+j14wXbfAcAAP//AwBQSwMEFAAGAAgAAAAh&#10;AMj3kg7iAAAADQEAAA8AAABkcnMvZG93bnJldi54bWxMjzFPwzAQhXck/oN1SCyI2kmtUIU4VVXB&#10;AEtF6NLNjd04ENuR7bTh33NMdLt39/Tue9V6tgM56xB77wRkCwZEu9ar3nUC9p+vjysgMUmn5OCd&#10;FvCjI6zr25tKlspf3Ic+N6kjGOJiKQWYlMaS0tgabWVc+FE7vJ18sDKhDB1VQV4w3A40Z6ygVvYO&#10;Pxg56q3R7XczWQE7ftiZh+n08r7hy/C2n7bFV9cIcX83b56BJD2nfzP84SM61Mh09JNTkQyoOc/R&#10;ikPGWQEELU/FMgNyxFXOcga0ruh1i/oXAAD//wMAUEsBAi0AFAAGAAgAAAAhALaDOJL+AAAA4QEA&#10;ABMAAAAAAAAAAAAAAAAAAAAAAFtDb250ZW50X1R5cGVzXS54bWxQSwECLQAUAAYACAAAACEAOP0h&#10;/9YAAACUAQAACwAAAAAAAAAAAAAAAAAvAQAAX3JlbHMvLnJlbHNQSwECLQAUAAYACAAAACEApjzT&#10;Z38CAAAJBQAADgAAAAAAAAAAAAAAAAAuAgAAZHJzL2Uyb0RvYy54bWxQSwECLQAUAAYACAAAACEA&#10;yPeSDuIAAAANAQAADwAAAAAAAAAAAAAAAADZBAAAZHJzL2Rvd25yZXYueG1sUEsFBgAAAAAEAAQA&#10;8wAAAOgFA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92" w:name="_Toc445289841"/>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28</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stężeń średniorocznych pyłu PM2.5 w województwie podkarpackim w 2014 r.</w:t>
                      </w:r>
                      <w:bookmarkEnd w:id="92"/>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73600" behindDoc="0" locked="0" layoutInCell="1" allowOverlap="1" wp14:anchorId="4A3E53D9" wp14:editId="54237663">
            <wp:simplePos x="0" y="0"/>
            <wp:positionH relativeFrom="column">
              <wp:align>center</wp:align>
            </wp:positionH>
            <wp:positionV relativeFrom="paragraph">
              <wp:posOffset>2531036</wp:posOffset>
            </wp:positionV>
            <wp:extent cx="3930015" cy="4655185"/>
            <wp:effectExtent l="19050" t="0" r="0" b="0"/>
            <wp:wrapTopAndBottom/>
            <wp:docPr id="35"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16"/>
                    <pic:cNvPicPr>
                      <a:picLocks noChangeAspect="1" noChangeArrowheads="1"/>
                    </pic:cNvPicPr>
                  </pic:nvPicPr>
                  <pic:blipFill>
                    <a:blip r:embed="rId45" cstate="print"/>
                    <a:stretch>
                      <a:fillRect/>
                    </a:stretch>
                  </pic:blipFill>
                  <pic:spPr bwMode="auto">
                    <a:xfrm>
                      <a:off x="0" y="0"/>
                      <a:ext cx="3930015" cy="4655185"/>
                    </a:xfrm>
                    <a:prstGeom prst="rect">
                      <a:avLst/>
                    </a:prstGeom>
                  </pic:spPr>
                </pic:pic>
              </a:graphicData>
            </a:graphic>
          </wp:anchor>
        </w:drawing>
      </w:r>
      <w:r w:rsidR="00EB674A" w:rsidRPr="00BE6FA1">
        <w:rPr>
          <w:rFonts w:ascii="Times New Roman" w:hAnsi="Times New Roman" w:cs="Times New Roman"/>
          <w:sz w:val="24"/>
        </w:rPr>
        <w:t>Wyniki pomiarów przeprowadzonych w województwie podkarpackim w 2014r. wykazały zanieczyszczenie powietrza pyłem o wielkości ziaren poniżej 2,5 μm</w:t>
      </w:r>
      <w:r w:rsidR="00EB674A" w:rsidRPr="00BE6FA1">
        <w:rPr>
          <w:rFonts w:ascii="Times New Roman" w:hAnsi="Times New Roman" w:cs="Times New Roman"/>
          <w:sz w:val="24"/>
        </w:rPr>
        <w:br/>
        <w:t>na poziomie ustalonej normy. Na obszarach miejskich wyniki modelowania zanieczyszczenia powietrza pyłem PM2.5 wykazały przekroczenia obowiązującego poziomu dopuszczalnego powiększonego o margines tolerancji (26 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 Wartości stężeń średniorocznych pyłu PM2.5 określone w modelowaniu zawierały się w przedziale 4-42 μg/m</w:t>
      </w:r>
      <w:r w:rsidR="00EB674A" w:rsidRPr="00BE6FA1">
        <w:rPr>
          <w:rFonts w:ascii="Times New Roman" w:hAnsi="Times New Roman" w:cs="Times New Roman"/>
          <w:sz w:val="24"/>
          <w:vertAlign w:val="superscript"/>
        </w:rPr>
        <w:t>3</w:t>
      </w:r>
      <w:r w:rsidR="008F12B5" w:rsidRPr="00BE6FA1">
        <w:rPr>
          <w:rFonts w:ascii="Times New Roman" w:hAnsi="Times New Roman" w:cs="Times New Roman"/>
          <w:sz w:val="24"/>
          <w:vertAlign w:val="superscript"/>
        </w:rPr>
        <w:t xml:space="preserve"> </w:t>
      </w:r>
      <w:r w:rsidR="00EB674A" w:rsidRPr="00BE6FA1">
        <w:rPr>
          <w:rFonts w:ascii="Times New Roman" w:hAnsi="Times New Roman" w:cs="Times New Roman"/>
          <w:sz w:val="24"/>
        </w:rPr>
        <w:t xml:space="preserve">(16-168 % poziomu dopuszczalnego).  </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Na ter</w:t>
      </w:r>
      <w:r w:rsidR="00D13980" w:rsidRPr="00BE6FA1">
        <w:rPr>
          <w:rFonts w:ascii="Times New Roman" w:hAnsi="Times New Roman" w:cs="Times New Roman"/>
          <w:sz w:val="24"/>
        </w:rPr>
        <w:t xml:space="preserve">enie </w:t>
      </w:r>
      <w:r w:rsidR="001F0217" w:rsidRPr="00BE6FA1">
        <w:rPr>
          <w:rFonts w:ascii="Times New Roman" w:hAnsi="Times New Roman" w:cs="Times New Roman"/>
          <w:sz w:val="24"/>
        </w:rPr>
        <w:t xml:space="preserve">Miasta i </w:t>
      </w:r>
      <w:r w:rsidR="00D13980" w:rsidRPr="00BE6FA1">
        <w:rPr>
          <w:rFonts w:ascii="Times New Roman" w:hAnsi="Times New Roman" w:cs="Times New Roman"/>
          <w:sz w:val="24"/>
        </w:rPr>
        <w:t>Gminy Kańczuga</w:t>
      </w:r>
      <w:r w:rsidRPr="00BE6FA1">
        <w:rPr>
          <w:rFonts w:ascii="Times New Roman" w:hAnsi="Times New Roman" w:cs="Times New Roman"/>
          <w:sz w:val="24"/>
        </w:rPr>
        <w:t xml:space="preserve"> wyniki modelowania stężeń średnioroczny</w:t>
      </w:r>
      <w:r w:rsidR="00E76E63" w:rsidRPr="00BE6FA1">
        <w:rPr>
          <w:rFonts w:ascii="Times New Roman" w:hAnsi="Times New Roman" w:cs="Times New Roman"/>
          <w:sz w:val="24"/>
        </w:rPr>
        <w:t>ch mieściły się w granicach 8-15</w:t>
      </w:r>
      <w:r w:rsidRPr="00BE6FA1">
        <w:rPr>
          <w:rFonts w:ascii="Times New Roman" w:hAnsi="Times New Roman" w:cs="Times New Roman"/>
          <w:sz w:val="24"/>
        </w:rPr>
        <w:t>μg/m</w:t>
      </w:r>
      <w:r w:rsidRPr="00BE6FA1">
        <w:rPr>
          <w:rFonts w:ascii="Times New Roman" w:hAnsi="Times New Roman" w:cs="Times New Roman"/>
          <w:sz w:val="24"/>
          <w:vertAlign w:val="superscript"/>
        </w:rPr>
        <w:t>3</w:t>
      </w:r>
      <w:r w:rsidRPr="00BE6FA1">
        <w:rPr>
          <w:rFonts w:ascii="Times New Roman" w:hAnsi="Times New Roman" w:cs="Times New Roman"/>
          <w:sz w:val="24"/>
        </w:rPr>
        <w:t>.</w:t>
      </w:r>
    </w:p>
    <w:p w:rsidR="00425222" w:rsidRPr="00BE6FA1" w:rsidRDefault="00425222" w:rsidP="003A27DA">
      <w:pPr>
        <w:spacing w:after="0" w:line="360" w:lineRule="auto"/>
        <w:ind w:firstLine="708"/>
        <w:jc w:val="both"/>
        <w:rPr>
          <w:rFonts w:ascii="Times New Roman" w:hAnsi="Times New Roman" w:cs="Times New Roman"/>
        </w:rPr>
      </w:pPr>
    </w:p>
    <w:p w:rsidR="00EB674A" w:rsidRPr="00BE6FA1" w:rsidRDefault="00EB674A" w:rsidP="003A27DA">
      <w:pPr>
        <w:spacing w:after="0" w:line="360" w:lineRule="auto"/>
        <w:ind w:firstLine="708"/>
        <w:jc w:val="both"/>
        <w:rPr>
          <w:rFonts w:ascii="Times New Roman" w:hAnsi="Times New Roman" w:cs="Times New Roman"/>
          <w:sz w:val="24"/>
        </w:rPr>
      </w:pPr>
    </w:p>
    <w:p w:rsidR="005D23F7" w:rsidRPr="00BE6FA1" w:rsidRDefault="005D23F7" w:rsidP="003A27DA">
      <w:pPr>
        <w:spacing w:after="0" w:line="360" w:lineRule="auto"/>
        <w:ind w:firstLine="708"/>
        <w:jc w:val="both"/>
        <w:rPr>
          <w:rFonts w:ascii="Times New Roman" w:hAnsi="Times New Roman" w:cs="Times New Roman"/>
          <w:sz w:val="24"/>
        </w:rPr>
      </w:pPr>
    </w:p>
    <w:p w:rsidR="005D23F7" w:rsidRPr="00BE6FA1" w:rsidRDefault="005D23F7"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Po przeanalizowaniu wyników pomiarów ze stacji monitoringu powietrza oraz wyników modelowania dokonano klasyfikacji stref w województwie podkarpackim </w:t>
      </w:r>
      <w:r w:rsidR="00563D06" w:rsidRPr="00BE6FA1">
        <w:rPr>
          <w:rFonts w:ascii="Times New Roman" w:hAnsi="Times New Roman" w:cs="Times New Roman"/>
          <w:sz w:val="24"/>
        </w:rPr>
        <w:br/>
      </w:r>
      <w:r w:rsidRPr="00BE6FA1">
        <w:rPr>
          <w:rFonts w:ascii="Times New Roman" w:hAnsi="Times New Roman" w:cs="Times New Roman"/>
          <w:sz w:val="24"/>
        </w:rPr>
        <w:lastRenderedPageBreak/>
        <w:t>ze względu na zanieczyszczenie powietrza atmosferycznego pyłem PM2.5 w kryterium ochrony zdrowia. Strefy miasto Rzeszów i podkarpacka zakwalifikowane zostały do klasy C, co oznacza, że na terenie województwa wystąpiło przekroczenie wartości dopuszczalnej powiększonej o margines toler</w:t>
      </w:r>
      <w:r w:rsidR="00807674" w:rsidRPr="00BE6FA1">
        <w:rPr>
          <w:rFonts w:ascii="Times New Roman" w:hAnsi="Times New Roman" w:cs="Times New Roman"/>
          <w:sz w:val="24"/>
        </w:rPr>
        <w:t xml:space="preserve">ancji ustalonej dla pyłu PM 2.5 </w:t>
      </w:r>
      <w:r w:rsidRPr="00BE6FA1">
        <w:rPr>
          <w:rFonts w:ascii="Times New Roman" w:hAnsi="Times New Roman" w:cs="Times New Roman"/>
          <w:sz w:val="24"/>
        </w:rPr>
        <w:t xml:space="preserve">w powietrzu. </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Wyniki pomiarów i modelowania </w:t>
      </w:r>
      <w:r w:rsidRPr="00BE6FA1">
        <w:rPr>
          <w:rFonts w:ascii="Times New Roman" w:hAnsi="Times New Roman" w:cs="Times New Roman"/>
          <w:sz w:val="24"/>
          <w:szCs w:val="24"/>
        </w:rPr>
        <w:t xml:space="preserve">były podstawą do wyznaczenia obszarów przekroczeń pyłu PM2.5. Wyznaczono 4 obszary przekroczeń w zakresie dopuszczalnego stężenia średniorocznego pyłu PM2.5 powiększonego o margines tolerancji </w:t>
      </w:r>
      <w:r w:rsidRPr="00BE6FA1">
        <w:rPr>
          <w:rFonts w:ascii="Times New Roman" w:hAnsi="Times New Roman" w:cs="Times New Roman"/>
          <w:sz w:val="24"/>
        </w:rPr>
        <w:t>(26 μg/m</w:t>
      </w:r>
      <w:r w:rsidRPr="00BE6FA1">
        <w:rPr>
          <w:rFonts w:ascii="Times New Roman" w:hAnsi="Times New Roman" w:cs="Times New Roman"/>
          <w:sz w:val="24"/>
          <w:vertAlign w:val="superscript"/>
        </w:rPr>
        <w:t>3</w:t>
      </w:r>
      <w:r w:rsidRPr="00BE6FA1">
        <w:rPr>
          <w:rFonts w:ascii="Times New Roman" w:hAnsi="Times New Roman" w:cs="Times New Roman"/>
          <w:sz w:val="24"/>
        </w:rPr>
        <w:t>)</w:t>
      </w:r>
      <w:r w:rsidRPr="00BE6FA1">
        <w:rPr>
          <w:rFonts w:ascii="Times New Roman" w:hAnsi="Times New Roman" w:cs="Times New Roman"/>
          <w:sz w:val="24"/>
          <w:szCs w:val="24"/>
        </w:rPr>
        <w:t>, obejmujące 12,4 km</w:t>
      </w:r>
      <w:r w:rsidRPr="00BE6FA1">
        <w:rPr>
          <w:rFonts w:ascii="Times New Roman" w:hAnsi="Times New Roman" w:cs="Times New Roman"/>
          <w:sz w:val="24"/>
          <w:szCs w:val="24"/>
          <w:vertAlign w:val="superscript"/>
        </w:rPr>
        <w:t>2</w:t>
      </w:r>
      <w:r w:rsidRPr="00BE6FA1">
        <w:rPr>
          <w:rFonts w:ascii="Times New Roman" w:hAnsi="Times New Roman" w:cs="Times New Roman"/>
          <w:sz w:val="24"/>
          <w:szCs w:val="24"/>
        </w:rPr>
        <w:t xml:space="preserve"> (0,07% województwa). W przypadku przekroczenia poziomu dopuszczalnego pyłu PM2.5 </w:t>
      </w:r>
      <w:r w:rsidRPr="00BE6FA1">
        <w:rPr>
          <w:rFonts w:ascii="Times New Roman" w:hAnsi="Times New Roman" w:cs="Times New Roman"/>
          <w:sz w:val="24"/>
        </w:rPr>
        <w:t>(25 μg/m</w:t>
      </w:r>
      <w:r w:rsidRPr="00BE6FA1">
        <w:rPr>
          <w:rFonts w:ascii="Times New Roman" w:hAnsi="Times New Roman" w:cs="Times New Roman"/>
          <w:sz w:val="24"/>
          <w:vertAlign w:val="superscript"/>
        </w:rPr>
        <w:t>3</w:t>
      </w:r>
      <w:r w:rsidRPr="00BE6FA1">
        <w:rPr>
          <w:rFonts w:ascii="Times New Roman" w:hAnsi="Times New Roman" w:cs="Times New Roman"/>
          <w:sz w:val="24"/>
        </w:rPr>
        <w:t>)</w:t>
      </w:r>
      <w:r w:rsidR="00807674" w:rsidRPr="00BE6FA1">
        <w:rPr>
          <w:rFonts w:ascii="Times New Roman" w:hAnsi="Times New Roman" w:cs="Times New Roman"/>
          <w:sz w:val="24"/>
          <w:szCs w:val="24"/>
        </w:rPr>
        <w:t xml:space="preserve"> zdiagnozowano </w:t>
      </w:r>
      <w:r w:rsidRPr="00BE6FA1">
        <w:rPr>
          <w:rFonts w:ascii="Times New Roman" w:hAnsi="Times New Roman" w:cs="Times New Roman"/>
          <w:sz w:val="24"/>
          <w:szCs w:val="24"/>
        </w:rPr>
        <w:t>7 obszarów przekroczeń o łącznej powierzchni 25,5km</w:t>
      </w:r>
      <w:r w:rsidRPr="00BE6FA1">
        <w:rPr>
          <w:rFonts w:ascii="Times New Roman" w:hAnsi="Times New Roman" w:cs="Times New Roman"/>
          <w:sz w:val="24"/>
          <w:szCs w:val="24"/>
          <w:vertAlign w:val="superscript"/>
        </w:rPr>
        <w:t>2</w:t>
      </w:r>
      <w:r w:rsidRPr="00BE6FA1">
        <w:rPr>
          <w:rFonts w:ascii="Times New Roman" w:hAnsi="Times New Roman" w:cs="Times New Roman"/>
          <w:sz w:val="24"/>
          <w:szCs w:val="24"/>
        </w:rPr>
        <w:t xml:space="preserve">. Żaden z powyższych obszarów przekroczeń nie mieści się na terenie Gminy </w:t>
      </w:r>
      <w:r w:rsidR="00E76E63" w:rsidRPr="00BE6FA1">
        <w:rPr>
          <w:rFonts w:ascii="Times New Roman" w:hAnsi="Times New Roman" w:cs="Times New Roman"/>
          <w:sz w:val="24"/>
          <w:szCs w:val="24"/>
        </w:rPr>
        <w:t>Kańczuga.</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szCs w:val="24"/>
        </w:rPr>
        <w:t>W zakresie poziomu docelowego PM2.5 (wynoszącego 25 μg/m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xml:space="preserve">) dla stężeń średniorocznych (równy wartości obecnego poziomu dopuszczalnego), dla którego termin osiągnięcia upłynął 1 stycznia 2010 r. strefy miasto Rzeszów i podkarpacka zaliczone zostały do klasy C. W zakresie poziomu dopuszczalnego określonego dla tzw. </w:t>
      </w:r>
      <w:r w:rsidR="008A241B" w:rsidRPr="00BE6FA1">
        <w:rPr>
          <w:rFonts w:ascii="Times New Roman" w:hAnsi="Times New Roman" w:cs="Times New Roman"/>
          <w:sz w:val="24"/>
          <w:szCs w:val="24"/>
        </w:rPr>
        <w:t>F</w:t>
      </w:r>
      <w:r w:rsidRPr="00BE6FA1">
        <w:rPr>
          <w:rFonts w:ascii="Times New Roman" w:hAnsi="Times New Roman" w:cs="Times New Roman"/>
          <w:sz w:val="24"/>
          <w:szCs w:val="24"/>
        </w:rPr>
        <w:t xml:space="preserve">azy II, równego </w:t>
      </w:r>
      <w:r w:rsidR="008F12B5" w:rsidRPr="00BE6FA1">
        <w:rPr>
          <w:rFonts w:ascii="Times New Roman" w:hAnsi="Times New Roman" w:cs="Times New Roman"/>
          <w:sz w:val="24"/>
          <w:szCs w:val="24"/>
        </w:rPr>
        <w:br/>
      </w:r>
      <w:r w:rsidRPr="00BE6FA1">
        <w:rPr>
          <w:rFonts w:ascii="Times New Roman" w:hAnsi="Times New Roman" w:cs="Times New Roman"/>
          <w:sz w:val="24"/>
          <w:szCs w:val="24"/>
        </w:rPr>
        <w:t>20 μg/m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xml:space="preserve">, z terminem osiągnięcia do 1 stycznia 2020 r. strefy miasto Rzeszów i podkarpacka zaliczone zostały do klasy C.  </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Modelowanie rozkładu stężeń średniorocznych pyłu PM2.5 wyróżniło dwa dominujące typy emisji: powierzchniową i napływową. Największy udział w stężeniach średniorocznych pyłu PM2.5 miała emisja napływowa. Na większości obszarów miejskich dominowała emisja powierzchniowa. Największy wpływ na obszarach przekroczeń </w:t>
      </w:r>
      <w:r w:rsidR="00807674" w:rsidRPr="00BE6FA1">
        <w:rPr>
          <w:rFonts w:ascii="Times New Roman" w:hAnsi="Times New Roman" w:cs="Times New Roman"/>
          <w:sz w:val="24"/>
        </w:rPr>
        <w:br/>
      </w:r>
      <w:r w:rsidRPr="00BE6FA1">
        <w:rPr>
          <w:rFonts w:ascii="Times New Roman" w:hAnsi="Times New Roman" w:cs="Times New Roman"/>
          <w:sz w:val="24"/>
        </w:rPr>
        <w:t>w zakresie pyłu PM2.5 miała emisja powierzchniowa.</w:t>
      </w:r>
    </w:p>
    <w:p w:rsidR="00425222" w:rsidRPr="00BE6FA1" w:rsidRDefault="00425222"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t>Zanieczyszczenia w pyle PM10</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W 2014 r. WIOŚ w Rzeszowie prowadził badania zawartości arsenu, kadmu, niklu, ołowiu w pyle PM10 na 4 stanowiskach pomiarowych, a benzo(a)</w:t>
      </w:r>
      <w:r w:rsidR="008F12B5" w:rsidRPr="00BE6FA1">
        <w:rPr>
          <w:rFonts w:ascii="Times New Roman" w:hAnsi="Times New Roman" w:cs="Times New Roman"/>
          <w:sz w:val="24"/>
        </w:rPr>
        <w:t xml:space="preserve">pirenu </w:t>
      </w:r>
      <w:r w:rsidRPr="00BE6FA1">
        <w:rPr>
          <w:rFonts w:ascii="Times New Roman" w:hAnsi="Times New Roman" w:cs="Times New Roman"/>
          <w:sz w:val="24"/>
        </w:rPr>
        <w:t xml:space="preserve">w pyle PM10 na </w:t>
      </w:r>
      <w:r w:rsidR="00563D06" w:rsidRPr="00BE6FA1">
        <w:rPr>
          <w:rFonts w:ascii="Times New Roman" w:hAnsi="Times New Roman" w:cs="Times New Roman"/>
          <w:sz w:val="24"/>
        </w:rPr>
        <w:br/>
      </w:r>
      <w:r w:rsidRPr="00BE6FA1">
        <w:rPr>
          <w:rFonts w:ascii="Times New Roman" w:hAnsi="Times New Roman" w:cs="Times New Roman"/>
          <w:sz w:val="24"/>
        </w:rPr>
        <w:t>9 stanowiskach pomiarowych.</w:t>
      </w:r>
    </w:p>
    <w:p w:rsidR="00EB674A" w:rsidRPr="00BE6FA1" w:rsidRDefault="00605A87" w:rsidP="003A27DA">
      <w:pPr>
        <w:pStyle w:val="Legenda"/>
        <w:spacing w:line="360" w:lineRule="auto"/>
        <w:rPr>
          <w:rFonts w:ascii="Times New Roman" w:hAnsi="Times New Roman" w:cs="Times New Roman"/>
          <w:color w:val="auto"/>
        </w:rPr>
      </w:pPr>
      <w:r>
        <w:rPr>
          <w:rFonts w:ascii="Times New Roman" w:hAnsi="Times New Roman" w:cs="Times New Roman"/>
          <w:noProof/>
          <w:color w:val="auto"/>
        </w:rPr>
        <w:lastRenderedPageBreak/>
        <mc:AlternateContent>
          <mc:Choice Requires="wps">
            <w:drawing>
              <wp:anchor distT="0" distB="0" distL="114300" distR="114300" simplePos="0" relativeHeight="251726848" behindDoc="0" locked="0" layoutInCell="1" allowOverlap="1">
                <wp:simplePos x="0" y="0"/>
                <wp:positionH relativeFrom="column">
                  <wp:posOffset>850900</wp:posOffset>
                </wp:positionH>
                <wp:positionV relativeFrom="paragraph">
                  <wp:posOffset>4640580</wp:posOffset>
                </wp:positionV>
                <wp:extent cx="4059555" cy="389890"/>
                <wp:effectExtent l="0" t="0" r="0" b="3810"/>
                <wp:wrapTopAndBottom/>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jc w:val="center"/>
                              <w:rPr>
                                <w:rFonts w:ascii="Times New Roman" w:hAnsi="Times New Roman" w:cs="Times New Roman"/>
                                <w:noProof/>
                                <w:color w:val="auto"/>
                              </w:rPr>
                            </w:pPr>
                            <w:bookmarkStart w:id="93" w:name="_Toc445289842"/>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29</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metali i benzo(a)pirenu w województwie podkarpackim w 2014r.</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67pt;margin-top:365.4pt;width:319.65pt;height:3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3qhfwIAAAkFAAAOAAAAZHJzL2Uyb0RvYy54bWysVG1v2yAQ/j5p/wHxPbWd2mlsxamadJ4m&#10;dS9Sux9ADI7RMDAgsbtp/30HjrOu26Rpmj/gA46Hu3ueY3U9dAIdmbFcyRInFzFGTNaKcrkv8ceH&#10;arbEyDoiKRFKshI/Mouv1y9frHpdsLlqlaDMIACRtuh1iVvndBFFtm5ZR+yF0kzCZqNMRxxMzT6i&#10;hvSA3oloHseLqFeGaqNqZi2s3o6beB3wm4bV7n3TWOaQKDHE5sJowrjzY7RekWJviG55fQqD/EMU&#10;HeESLj1D3RJH0MHwX6A6XhtlVeMuatVFqml4zUIOkE0SP8vmviWahVygOFafy2T/H2z97vjBIE5L&#10;vEgxkqQDjh7Y4NBGDegy9fXptS3A7V6DoxtgHXgOuVp9p+pPFkm1bYncsxtjVN8yQiG+xJ+Mnhwd&#10;cawH2fVvFYV7yMGpADQ0pvPFg3IgQAeeHs/c+FhqWEzjLM+yDKMa9i6X+TIP5EWkmE5rY91rpjrk&#10;jRIb4D6gk+OddT4aUkwu/jKrBKcVFyJMzH63FQYdCeikCl9I4JmbkN5ZKn9sRBxXIEi4w+/5cAPv&#10;X/NknsabeT6rFsurWVql2Sy/ipezOMk3+SJO8/S2+uYDTNKi5ZQyecclmzSYpH/H8akbRvUEFaK+&#10;xHk2z0aK/phkHL7fJdlxBy0peFfi5dmJFJ7YV5JC2qRwhIvRjn4OP1QZajD9Q1WCDDzzowbcsBuC&#10;4pJsktdO0UcQhlHAG7AP7wkYrTJfMOqhN0tsPx+IYRiJNxLE5Rt5Msxk7CaDyBqOlthhNJpbNzb8&#10;QRu+bwF5ku8NCLDiQRteqWMUJ9lCv4UkTm+Db+in8+D14wVbfwcAAP//AwBQSwMEFAAGAAgAAAAh&#10;ACUzeKjiAAAACwEAAA8AAABkcnMvZG93bnJldi54bWxMj8FOwzAQRO9I/IO1SFwQdYijpg1xqqqC&#10;A1wqQi/c3HgbB2I7ip02/D3LCW472tHMvHIz256dcQyddxIeFgkwdI3XnWslHN6f71fAQlROq947&#10;lPCNATbV9VWpCu0v7g3PdWwZhbhQKAkmxqHgPDQGrQoLP6Cj38mPVkWSY8v1qC4UbnueJsmSW9U5&#10;ajBqwJ3B5querIR99rE3d9Pp6XWbifHlMO2Wn20t5e3NvH0EFnGOf2b4nU/ToaJNRz85HVhPWmTE&#10;EiXkIiEGcuS5EMCOdKzTFHhV8v8M1Q8AAAD//wMAUEsBAi0AFAAGAAgAAAAhALaDOJL+AAAA4QEA&#10;ABMAAAAAAAAAAAAAAAAAAAAAAFtDb250ZW50X1R5cGVzXS54bWxQSwECLQAUAAYACAAAACEAOP0h&#10;/9YAAACUAQAACwAAAAAAAAAAAAAAAAAvAQAAX3JlbHMvLnJlbHNQSwECLQAUAAYACAAAACEA/Lt6&#10;oX8CAAAJBQAADgAAAAAAAAAAAAAAAAAuAgAAZHJzL2Uyb0RvYy54bWxQSwECLQAUAAYACAAAACEA&#10;JTN4qOIAAAALAQAADwAAAAAAAAAAAAAAAADZBAAAZHJzL2Rvd25yZXYueG1sUEsFBgAAAAAEAAQA&#10;8wAAAOgFAAAAAA==&#10;" stroked="f">
                <v:textbox style="mso-fit-shape-to-text:t" inset="0,0,0,0">
                  <w:txbxContent>
                    <w:p w:rsidR="000D713D" w:rsidRPr="00203890" w:rsidRDefault="000D713D" w:rsidP="00203890">
                      <w:pPr>
                        <w:pStyle w:val="Legenda"/>
                        <w:jc w:val="center"/>
                        <w:rPr>
                          <w:rFonts w:ascii="Times New Roman" w:hAnsi="Times New Roman" w:cs="Times New Roman"/>
                          <w:noProof/>
                          <w:color w:val="auto"/>
                        </w:rPr>
                      </w:pPr>
                      <w:bookmarkStart w:id="94" w:name="_Toc445289842"/>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29</w:t>
                      </w:r>
                      <w:r w:rsidRPr="00203890">
                        <w:rPr>
                          <w:rFonts w:ascii="Times New Roman" w:hAnsi="Times New Roman" w:cs="Times New Roman"/>
                          <w:color w:val="auto"/>
                        </w:rPr>
                        <w:fldChar w:fldCharType="end"/>
                      </w:r>
                      <w:r w:rsidRPr="00203890">
                        <w:rPr>
                          <w:rFonts w:ascii="Times New Roman" w:hAnsi="Times New Roman" w:cs="Times New Roman"/>
                          <w:color w:val="auto"/>
                        </w:rPr>
                        <w:t>.  Stanowiska pomiarowe metali i benzo(a)pirenu w województwie podkarpackim w 2014r.</w:t>
                      </w:r>
                      <w:bookmarkEnd w:id="94"/>
                    </w:p>
                  </w:txbxContent>
                </v:textbox>
                <w10:wrap type="topAndBottom"/>
              </v:shape>
            </w:pict>
          </mc:Fallback>
        </mc:AlternateContent>
      </w:r>
      <w:r w:rsidR="00EB674A" w:rsidRPr="00BE6FA1">
        <w:rPr>
          <w:rFonts w:ascii="Times New Roman" w:hAnsi="Times New Roman" w:cs="Times New Roman"/>
          <w:noProof/>
          <w:color w:val="auto"/>
        </w:rPr>
        <w:drawing>
          <wp:anchor distT="0" distB="127000" distL="0" distR="0" simplePos="0" relativeHeight="251674624" behindDoc="0" locked="0" layoutInCell="1" allowOverlap="1" wp14:anchorId="6F818389" wp14:editId="56A01B39">
            <wp:simplePos x="0" y="0"/>
            <wp:positionH relativeFrom="column">
              <wp:align>center</wp:align>
            </wp:positionH>
            <wp:positionV relativeFrom="paragraph">
              <wp:align>top</wp:align>
            </wp:positionV>
            <wp:extent cx="4059555" cy="4583430"/>
            <wp:effectExtent l="0" t="0" r="0" b="0"/>
            <wp:wrapTopAndBottom/>
            <wp:docPr id="36" name="Obra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17"/>
                    <pic:cNvPicPr>
                      <a:picLocks noChangeAspect="1" noChangeArrowheads="1"/>
                    </pic:cNvPicPr>
                  </pic:nvPicPr>
                  <pic:blipFill>
                    <a:blip r:embed="rId46" cstate="print"/>
                    <a:stretch>
                      <a:fillRect/>
                    </a:stretch>
                  </pic:blipFill>
                  <pic:spPr bwMode="auto">
                    <a:xfrm>
                      <a:off x="0" y="0"/>
                      <a:ext cx="4059555" cy="4583430"/>
                    </a:xfrm>
                    <a:prstGeom prst="rect">
                      <a:avLst/>
                    </a:prstGeom>
                  </pic:spPr>
                </pic:pic>
              </a:graphicData>
            </a:graphic>
          </wp:anchor>
        </w:drawing>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t>Arsen</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Z badań prowadzonych w 2014 r. w wojewódzkiej sieci monitoringu jakości powietrza wynika, że stężenia arsenu na całym obszarze województwa podkarpackiego utrzymywały </w:t>
      </w:r>
      <w:r w:rsidR="00563D06" w:rsidRPr="00BE6FA1">
        <w:rPr>
          <w:rFonts w:ascii="Times New Roman" w:hAnsi="Times New Roman" w:cs="Times New Roman"/>
          <w:sz w:val="24"/>
        </w:rPr>
        <w:br/>
      </w:r>
      <w:r w:rsidRPr="00BE6FA1">
        <w:rPr>
          <w:rFonts w:ascii="Times New Roman" w:hAnsi="Times New Roman" w:cs="Times New Roman"/>
          <w:sz w:val="24"/>
        </w:rPr>
        <w:t>się na niskim poziomie.</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W strefie podkarpackiej stężenia średniotygodniowe arsenu zawierały się </w:t>
      </w:r>
      <w:r w:rsidRPr="00BE6FA1">
        <w:rPr>
          <w:rFonts w:ascii="Times New Roman" w:hAnsi="Times New Roman" w:cs="Times New Roman"/>
          <w:sz w:val="24"/>
        </w:rPr>
        <w:br/>
        <w:t>w przedziale 0,5-4,3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Podwyższone stężenia arsenu zanotowane zostały głównie </w:t>
      </w:r>
      <w:r w:rsidR="00807674" w:rsidRPr="00BE6FA1">
        <w:rPr>
          <w:rFonts w:ascii="Times New Roman" w:hAnsi="Times New Roman" w:cs="Times New Roman"/>
          <w:sz w:val="24"/>
        </w:rPr>
        <w:br/>
      </w:r>
      <w:r w:rsidRPr="00BE6FA1">
        <w:rPr>
          <w:rFonts w:ascii="Times New Roman" w:hAnsi="Times New Roman" w:cs="Times New Roman"/>
          <w:sz w:val="24"/>
        </w:rPr>
        <w:t xml:space="preserve">w sezonie zimowym. Wyniki modelowania zanieczyszczenia powietrza arsenem, przeprowadzone dla województwa podkarpackiego nie wykazały przekroczenia poziomu docelowego. Dla stężenia średniorocznego arsenu wyniki modelowania wykazały wartości </w:t>
      </w:r>
      <w:r w:rsidR="00807674" w:rsidRPr="00BE6FA1">
        <w:rPr>
          <w:rFonts w:ascii="Times New Roman" w:hAnsi="Times New Roman" w:cs="Times New Roman"/>
          <w:sz w:val="24"/>
        </w:rPr>
        <w:br/>
      </w:r>
      <w:r w:rsidRPr="00BE6FA1">
        <w:rPr>
          <w:rFonts w:ascii="Times New Roman" w:hAnsi="Times New Roman" w:cs="Times New Roman"/>
          <w:sz w:val="24"/>
        </w:rPr>
        <w:t>w przedziale 0,006-3,3 ng/m</w:t>
      </w:r>
      <w:r w:rsidRPr="00BE6FA1">
        <w:rPr>
          <w:rFonts w:ascii="Times New Roman" w:hAnsi="Times New Roman" w:cs="Times New Roman"/>
          <w:sz w:val="24"/>
          <w:vertAlign w:val="superscript"/>
        </w:rPr>
        <w:t>3</w:t>
      </w:r>
      <w:r w:rsidRPr="00BE6FA1">
        <w:rPr>
          <w:rFonts w:ascii="Times New Roman" w:hAnsi="Times New Roman" w:cs="Times New Roman"/>
          <w:sz w:val="24"/>
        </w:rPr>
        <w:t>. Na terenie województwa (z wyjątkiem Przemyśla) stężenia arsenu nie przekroczyły 50 % poziomu docelowego (poziom docelowy wynosi 6 ng/m</w:t>
      </w:r>
      <w:r w:rsidRPr="00BE6FA1">
        <w:rPr>
          <w:rFonts w:ascii="Times New Roman" w:hAnsi="Times New Roman" w:cs="Times New Roman"/>
          <w:sz w:val="24"/>
          <w:vertAlign w:val="superscript"/>
        </w:rPr>
        <w:t>3)</w:t>
      </w:r>
      <w:r w:rsidRPr="00BE6FA1">
        <w:rPr>
          <w:rFonts w:ascii="Times New Roman" w:hAnsi="Times New Roman" w:cs="Times New Roman"/>
          <w:sz w:val="24"/>
        </w:rPr>
        <w:t>.</w:t>
      </w:r>
    </w:p>
    <w:p w:rsidR="00EB674A" w:rsidRPr="00BE6FA1" w:rsidRDefault="00E76E63"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Dla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w:t>
      </w:r>
      <w:r w:rsidR="00EB674A" w:rsidRPr="00BE6FA1">
        <w:rPr>
          <w:rFonts w:ascii="Times New Roman" w:hAnsi="Times New Roman" w:cs="Times New Roman"/>
          <w:sz w:val="24"/>
          <w:szCs w:val="24"/>
        </w:rPr>
        <w:t xml:space="preserve"> wyniki modelowania za rok 2014 wykazały występowanie wartości</w:t>
      </w:r>
      <w:r w:rsidRPr="00BE6FA1">
        <w:rPr>
          <w:rFonts w:ascii="Times New Roman" w:hAnsi="Times New Roman" w:cs="Times New Roman"/>
          <w:sz w:val="24"/>
          <w:szCs w:val="24"/>
        </w:rPr>
        <w:t xml:space="preserve"> stężeń arsenu w przedziale 0,55 – 0,5</w:t>
      </w:r>
      <w:r w:rsidR="00EB674A" w:rsidRPr="00BE6FA1">
        <w:rPr>
          <w:rFonts w:ascii="Times New Roman" w:hAnsi="Times New Roman" w:cs="Times New Roman"/>
          <w:sz w:val="24"/>
          <w:szCs w:val="24"/>
        </w:rPr>
        <w:t>ng/m</w:t>
      </w:r>
      <w:r w:rsidR="00EB674A" w:rsidRPr="00BE6FA1">
        <w:rPr>
          <w:rFonts w:ascii="Times New Roman" w:hAnsi="Times New Roman" w:cs="Times New Roman"/>
          <w:sz w:val="24"/>
          <w:szCs w:val="24"/>
          <w:vertAlign w:val="superscript"/>
        </w:rPr>
        <w:t>3</w:t>
      </w:r>
    </w:p>
    <w:p w:rsidR="00EB674A" w:rsidRPr="00BE6FA1" w:rsidRDefault="00EB674A" w:rsidP="003A27DA">
      <w:pPr>
        <w:spacing w:after="0" w:line="360" w:lineRule="auto"/>
        <w:ind w:firstLine="708"/>
        <w:jc w:val="both"/>
        <w:rPr>
          <w:rFonts w:ascii="Times New Roman" w:hAnsi="Times New Roman" w:cs="Times New Roman"/>
          <w:sz w:val="24"/>
          <w:szCs w:val="24"/>
        </w:rPr>
      </w:pPr>
    </w:p>
    <w:p w:rsidR="00EB674A" w:rsidRPr="00BE6FA1" w:rsidRDefault="00605A87" w:rsidP="003A27DA">
      <w:pPr>
        <w:keepNext/>
        <w:spacing w:after="0"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simplePos x="0" y="0"/>
                <wp:positionH relativeFrom="column">
                  <wp:posOffset>584200</wp:posOffset>
                </wp:positionH>
                <wp:positionV relativeFrom="paragraph">
                  <wp:posOffset>4822190</wp:posOffset>
                </wp:positionV>
                <wp:extent cx="4714875" cy="258445"/>
                <wp:effectExtent l="0" t="0" r="1905" b="3175"/>
                <wp:wrapTopAndBottom/>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203890" w:rsidRDefault="000D713D" w:rsidP="00203890">
                            <w:pPr>
                              <w:pStyle w:val="Legenda"/>
                              <w:rPr>
                                <w:rFonts w:ascii="Times New Roman" w:hAnsi="Times New Roman" w:cs="Times New Roman"/>
                                <w:noProof/>
                                <w:color w:val="auto"/>
                              </w:rPr>
                            </w:pPr>
                            <w:bookmarkStart w:id="95" w:name="_Toc445289843"/>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30</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stężeń średniorocznych arsenu w województwie podkarpackim w 2014 r.</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left:0;text-align:left;margin-left:46pt;margin-top:379.7pt;width:371.2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FPfgIAAAkFAAAOAAAAZHJzL2Uyb0RvYy54bWysVNtu3CAQfa/Uf0C8b2xvvRdb8Ua51FWl&#10;9CIl/QAW8BoVAwV27TTqv3fA622atlJV1Q94gOFwZuYM5xdDJ9GBWye0qnB2lmLEFdVMqF2FP93X&#10;szVGzhPFiNSKV/iBO3yxefnivDcln+tWS8YtAhDlyt5UuPXelEniaMs74s604Qo2G2074mFqdwmz&#10;pAf0TibzNF0mvbbMWE25c7B6M27iTcRvGk79h6Zx3CNZYeDm42jjuA1jsjkn5c4S0wp6pEH+gUVH&#10;hIJLT1A3xBO0t+IXqE5Qq51u/BnVXaKbRlAeY4BosvRZNHctMTzGAslx5pQm9/9g6fvDR4sEq/AS&#10;0qNIBzW654NHV3pArxYhP71xJbjdGXD0A6xDnWOsztxq+tkhpa9bonb80lrdt5ww4JeFk8mToyOO&#10;CyDb/p1mcA/Zex2BhsZ2IXmQDgToQOThVJvAhcJivsry9WqBEYW9+WKd55FcQsrptLHOv+G6Q8Go&#10;sIXaR3RyuHU+sCHl5BIuc1oKVgsp48TuttfSogMBndTxiwE8c5MqOCsdjo2I4wqQhDvCXqAb6/5Y&#10;ZPM8vZoXs3q5Xs3yOl/MilW6nqVZcVUs07zIb+pvgWCWl61gjKtbofikwSz/uxofu2FUT1Qh6itc&#10;LOaLsUR/DDKN3++C7ISHlpSiq/D65ETKUNjXikHYpPREyNFOfqYfsww5mP4xK1EGofKjBvywHaLi&#10;suUkr61mDyAMq6FuUH14T8Botf2KUQ+9WWH3ZU8sx0i+VSCu0MiTYSdjOxlEUThaYY/RaF77seH3&#10;xopdC8iTfC9BgLWI2ghKHVkcZQv9FoM4vg2hoZ/Oo9ePF2zzHQAA//8DAFBLAwQUAAYACAAAACEA&#10;ZW4pBuIAAAAKAQAADwAAAGRycy9kb3ducmV2LnhtbEyPwU7DMBBE70j8g7VIXBC126alDXGqqoID&#10;XCpCL9zceBsHYjuynTb8PcsJbrOa0eybYjPajp0xxNY7CdOJAIau9rp1jYTD+/P9ClhMymnVeYcS&#10;vjHCpry+KlSu/cW94blKDaMSF3MlwaTU55zH2qBVceJ7dOSdfLAq0RkaroO6ULnt+EyIJbeqdfTB&#10;qB53BuuvarAS9tnH3twNp6fXbTYPL4dht/xsKilvb8btI7CEY/oLwy8+oUNJTEc/OB1ZJ2E9oylJ&#10;wsNinQGjwGqeLYAdSQgxBV4W/P+E8gcAAP//AwBQSwECLQAUAAYACAAAACEAtoM4kv4AAADhAQAA&#10;EwAAAAAAAAAAAAAAAAAAAAAAW0NvbnRlbnRfVHlwZXNdLnhtbFBLAQItABQABgAIAAAAIQA4/SH/&#10;1gAAAJQBAAALAAAAAAAAAAAAAAAAAC8BAABfcmVscy8ucmVsc1BLAQItABQABgAIAAAAIQDFcKFP&#10;fgIAAAkFAAAOAAAAAAAAAAAAAAAAAC4CAABkcnMvZTJvRG9jLnhtbFBLAQItABQABgAIAAAAIQBl&#10;bikG4gAAAAoBAAAPAAAAAAAAAAAAAAAAANgEAABkcnMvZG93bnJldi54bWxQSwUGAAAAAAQABADz&#10;AAAA5wUAAAAA&#10;" stroked="f">
                <v:textbox style="mso-fit-shape-to-text:t" inset="0,0,0,0">
                  <w:txbxContent>
                    <w:p w:rsidR="000D713D" w:rsidRPr="00203890" w:rsidRDefault="000D713D" w:rsidP="00203890">
                      <w:pPr>
                        <w:pStyle w:val="Legenda"/>
                        <w:rPr>
                          <w:rFonts w:ascii="Times New Roman" w:hAnsi="Times New Roman" w:cs="Times New Roman"/>
                          <w:noProof/>
                          <w:color w:val="auto"/>
                        </w:rPr>
                      </w:pPr>
                      <w:bookmarkStart w:id="96" w:name="_Toc445289843"/>
                      <w:r w:rsidRPr="00203890">
                        <w:rPr>
                          <w:rFonts w:ascii="Times New Roman" w:hAnsi="Times New Roman" w:cs="Times New Roman"/>
                          <w:color w:val="auto"/>
                        </w:rPr>
                        <w:t xml:space="preserve">Rysunek </w:t>
                      </w:r>
                      <w:r w:rsidRPr="00203890">
                        <w:rPr>
                          <w:rFonts w:ascii="Times New Roman" w:hAnsi="Times New Roman" w:cs="Times New Roman"/>
                          <w:color w:val="auto"/>
                        </w:rPr>
                        <w:fldChar w:fldCharType="begin"/>
                      </w:r>
                      <w:r w:rsidRPr="00203890">
                        <w:rPr>
                          <w:rFonts w:ascii="Times New Roman" w:hAnsi="Times New Roman" w:cs="Times New Roman"/>
                          <w:color w:val="auto"/>
                        </w:rPr>
                        <w:instrText xml:space="preserve"> SEQ Rysunek \* ARABIC </w:instrText>
                      </w:r>
                      <w:r w:rsidRPr="00203890">
                        <w:rPr>
                          <w:rFonts w:ascii="Times New Roman" w:hAnsi="Times New Roman" w:cs="Times New Roman"/>
                          <w:color w:val="auto"/>
                        </w:rPr>
                        <w:fldChar w:fldCharType="separate"/>
                      </w:r>
                      <w:r>
                        <w:rPr>
                          <w:rFonts w:ascii="Times New Roman" w:hAnsi="Times New Roman" w:cs="Times New Roman"/>
                          <w:noProof/>
                          <w:color w:val="auto"/>
                        </w:rPr>
                        <w:t>30</w:t>
                      </w:r>
                      <w:r w:rsidRPr="00203890">
                        <w:rPr>
                          <w:rFonts w:ascii="Times New Roman" w:hAnsi="Times New Roman" w:cs="Times New Roman"/>
                          <w:color w:val="auto"/>
                        </w:rPr>
                        <w:fldChar w:fldCharType="end"/>
                      </w:r>
                      <w:r w:rsidRPr="00203890">
                        <w:rPr>
                          <w:rFonts w:ascii="Times New Roman" w:hAnsi="Times New Roman" w:cs="Times New Roman"/>
                          <w:color w:val="auto"/>
                        </w:rPr>
                        <w:t>. Rozkład stężeń średniorocznych arsenu w województwie podkarpackim w 2014 r.</w:t>
                      </w:r>
                      <w:bookmarkEnd w:id="96"/>
                    </w:p>
                  </w:txbxContent>
                </v:textbox>
                <w10:wrap type="topAndBottom"/>
              </v:shape>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849630</wp:posOffset>
                </wp:positionH>
                <wp:positionV relativeFrom="paragraph">
                  <wp:posOffset>4822190</wp:posOffset>
                </wp:positionV>
                <wp:extent cx="4062095" cy="389890"/>
                <wp:effectExtent l="0" t="0" r="0" b="0"/>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209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807674" w:rsidRDefault="000D713D" w:rsidP="00EB674A">
                            <w:pPr>
                              <w:pStyle w:val="Legenda"/>
                              <w:jc w:val="center"/>
                              <w:rPr>
                                <w:rFonts w:ascii="Times New Roman" w:hAnsi="Times New Roman" w:cs="Times New Roman"/>
                                <w:noProof/>
                                <w:color w:val="auto"/>
                              </w:rPr>
                            </w:pPr>
                            <w:bookmarkStart w:id="97" w:name="_Toc441132261"/>
                            <w:r w:rsidRPr="00807674">
                              <w:rPr>
                                <w:rFonts w:ascii="Times New Roman" w:hAnsi="Times New Roman" w:cs="Times New Roman"/>
                                <w:color w:val="auto"/>
                              </w:rPr>
                              <w:t>Rysunek 30. Rozkład stężeń średniorocznych arsenu w województwie podkarpackim w 2014 r.</w:t>
                            </w:r>
                            <w:bookmarkEnd w:id="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left:0;text-align:left;margin-left:66.9pt;margin-top:379.7pt;width:319.85pt;height:3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kdcgIAAPIEAAAOAAAAZHJzL2Uyb0RvYy54bWysVG1v2yAQ/j5p/wHxPbGdOWls1anWZp4m&#10;dS9Sux9AAMdoGBiQ2N20/74Dx1m7F2ma5g/4OO6Ou3ue4/Jq6CQ6cuuEVhXO5ilGXFHNhNpX+ON9&#10;PVtj5DxRjEiteIUfuMNXm+fPLntT8oVutWTcIgiiXNmbCrfemzJJHG15R9xcG67gsNG2Ix62dp8w&#10;S3qI3slkkaarpNeWGaspdw602/EQb2L8puHUv28axz2SFYbcfFxtXHdhTTaXpNxbYlpBT2mQf8ii&#10;I0LBpedQW+IJOljxS6hOUKudbvyc6i7RTSMojzVANVn6UzV3LTE81gLNcebcJvf/wtJ3xw8WCVbh&#10;5QVGinSA0T0fPLrWAwIV9Kc3rgSzOwOGfgA94BxrdeZW008OTJJHNqODC9a7/q1mEJAcvI4eQ2O7&#10;0CWoG0EYAOThDEK4lIIyT1eLtFhiROHsxbpYFxGlhJSTt7HOv+a6Q0GosAWQY3RyvHU+ZEPKySRc&#10;5rQUrBZSxo3d726kRUcChKjjF2oElydmUgVjpYPbeDxqIEm4I5yFdCPAX4tskafXi2JWr9YXs7zO&#10;l7PiIl3P0qy4LlZpXuTb+ltIMMvLVjDG1a1QfCJblv8dmCfajzSJdEN9hYvlYjli8cci0/j9rshO&#10;eJg9KboKr89GpGw5Ya8Ug7JJ6YmQo5w8TT+2DHow/WNXIg0C8iMH/LAbIrWyM492mj0AMawG3AB9&#10;eDhAaLX9glEPQ1hh9/lALMdIvlHA8jCxk2AnYTcJRFFwrbDHaBRv/DjZB2PFvoXIE09fAgFrEbkR&#10;mDpmAamHDQxWLOL0CITJfbyPVj+eqs13AAAA//8DAFBLAwQUAAYACAAAACEAKOE+WOEAAAALAQAA&#10;DwAAAGRycy9kb3ducmV2LnhtbEyPQU+DQBCF7yb+h82YeLNLQQSRpdEmJo3GqGg8b2EKKDtLdrct&#10;/nvHkx5f5uV735Sr2YzigM4PlhQsFxEIpMa2A3UK3t/uL3IQPmhq9WgJFXyjh1V1elLqorVHesVD&#10;HTrBEPKFVtCHMBVS+qZHo/3CTkh821lndODoOtk6fWS4GWUcRVfS6IF4odcTrntsvuq9UZANj8vU&#10;rR8+4014edp87O50/TwrdX42396ACDiHvzL86rM6VOy0tXtqvRg5JwmrB4al15cguJFlSQpiqyCP&#10;oxxkVcr/P1Q/AAAA//8DAFBLAQItABQABgAIAAAAIQC2gziS/gAAAOEBAAATAAAAAAAAAAAAAAAA&#10;AAAAAABbQ29udGVudF9UeXBlc10ueG1sUEsBAi0AFAAGAAgAAAAhADj9If/WAAAAlAEAAAsAAAAA&#10;AAAAAAAAAAAALwEAAF9yZWxzLy5yZWxzUEsBAi0AFAAGAAgAAAAhACaViR1yAgAA8gQAAA4AAAAA&#10;AAAAAAAAAAAALgIAAGRycy9lMm9Eb2MueG1sUEsBAi0AFAAGAAgAAAAhACjhPljhAAAACwEAAA8A&#10;AAAAAAAAAAAAAAAAzAQAAGRycy9kb3ducmV2LnhtbFBLBQYAAAAABAAEAPMAAADaBQAAAAA=&#10;" stroked="f">
                <v:path arrowok="t"/>
                <v:textbox style="mso-fit-shape-to-text:t" inset="0,0,0,0">
                  <w:txbxContent>
                    <w:p w:rsidR="000D713D" w:rsidRPr="00807674" w:rsidRDefault="000D713D" w:rsidP="00EB674A">
                      <w:pPr>
                        <w:pStyle w:val="Legenda"/>
                        <w:jc w:val="center"/>
                        <w:rPr>
                          <w:rFonts w:ascii="Times New Roman" w:hAnsi="Times New Roman" w:cs="Times New Roman"/>
                          <w:noProof/>
                          <w:color w:val="auto"/>
                        </w:rPr>
                      </w:pPr>
                      <w:bookmarkStart w:id="98" w:name="_Toc441132261"/>
                      <w:r w:rsidRPr="00807674">
                        <w:rPr>
                          <w:rFonts w:ascii="Times New Roman" w:hAnsi="Times New Roman" w:cs="Times New Roman"/>
                          <w:color w:val="auto"/>
                        </w:rPr>
                        <w:t>Rysunek 30. Rozkład stężeń średniorocznych arsenu w województwie podkarpackim w 2014 r.</w:t>
                      </w:r>
                      <w:bookmarkEnd w:id="98"/>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75648" behindDoc="0" locked="0" layoutInCell="1" allowOverlap="1" wp14:anchorId="57414EAB" wp14:editId="7F73E4B6">
            <wp:simplePos x="0" y="0"/>
            <wp:positionH relativeFrom="column">
              <wp:align>center</wp:align>
            </wp:positionH>
            <wp:positionV relativeFrom="paragraph">
              <wp:align>top</wp:align>
            </wp:positionV>
            <wp:extent cx="4062095" cy="4765040"/>
            <wp:effectExtent l="0" t="0" r="0" b="0"/>
            <wp:wrapTopAndBottom/>
            <wp:docPr id="37"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18"/>
                    <pic:cNvPicPr>
                      <a:picLocks noChangeAspect="1" noChangeArrowheads="1"/>
                    </pic:cNvPicPr>
                  </pic:nvPicPr>
                  <pic:blipFill>
                    <a:blip r:embed="rId47" cstate="print"/>
                    <a:stretch>
                      <a:fillRect/>
                    </a:stretch>
                  </pic:blipFill>
                  <pic:spPr bwMode="auto">
                    <a:xfrm>
                      <a:off x="0" y="0"/>
                      <a:ext cx="4062095" cy="4765040"/>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Na podstawie wyników pomiarów ze stacji monitoringu powietrza oraz wyników modelowania rozkładu stężeń dokonano klasyfikacji stref w województwie podkarpackim </w:t>
      </w:r>
      <w:r w:rsidR="008F12B5" w:rsidRPr="00BE6FA1">
        <w:rPr>
          <w:rFonts w:ascii="Times New Roman" w:hAnsi="Times New Roman" w:cs="Times New Roman"/>
          <w:sz w:val="24"/>
        </w:rPr>
        <w:br/>
      </w:r>
      <w:r w:rsidRPr="00BE6FA1">
        <w:rPr>
          <w:rFonts w:ascii="Times New Roman" w:hAnsi="Times New Roman" w:cs="Times New Roman"/>
          <w:sz w:val="24"/>
        </w:rPr>
        <w:t>ze względu na zanieczyszczenie pow</w:t>
      </w:r>
      <w:r w:rsidR="00807674" w:rsidRPr="00BE6FA1">
        <w:rPr>
          <w:rFonts w:ascii="Times New Roman" w:hAnsi="Times New Roman" w:cs="Times New Roman"/>
          <w:sz w:val="24"/>
        </w:rPr>
        <w:t xml:space="preserve">ietrza atmosferycznego arsenem </w:t>
      </w:r>
      <w:r w:rsidRPr="00BE6FA1">
        <w:rPr>
          <w:rFonts w:ascii="Times New Roman" w:hAnsi="Times New Roman" w:cs="Times New Roman"/>
          <w:sz w:val="24"/>
        </w:rPr>
        <w:t xml:space="preserve">w kryterium ochrony zdrowia. Strefy miasto Rzeszów i podkarpacka zakwalifikowane zostały do klasy A, </w:t>
      </w:r>
      <w:r w:rsidR="008F12B5" w:rsidRPr="00BE6FA1">
        <w:rPr>
          <w:rFonts w:ascii="Times New Roman" w:hAnsi="Times New Roman" w:cs="Times New Roman"/>
          <w:sz w:val="24"/>
        </w:rPr>
        <w:br/>
      </w:r>
      <w:r w:rsidRPr="00BE6FA1">
        <w:rPr>
          <w:rFonts w:ascii="Times New Roman" w:hAnsi="Times New Roman" w:cs="Times New Roman"/>
          <w:sz w:val="24"/>
        </w:rPr>
        <w:t>co oznacza, że na terenie województwa nie wystąpiło zagrożenie przekroczenia wartości docelowej ustalonej dla arsenu w powietrzu.</w:t>
      </w:r>
    </w:p>
    <w:p w:rsidR="00807674" w:rsidRPr="00BE6FA1" w:rsidRDefault="00807674" w:rsidP="003A27DA">
      <w:pPr>
        <w:spacing w:after="0" w:line="360" w:lineRule="auto"/>
        <w:ind w:firstLine="708"/>
        <w:jc w:val="both"/>
        <w:rPr>
          <w:rFonts w:ascii="Times New Roman" w:hAnsi="Times New Roman" w:cs="Times New Roman"/>
          <w:sz w:val="24"/>
        </w:rPr>
      </w:pPr>
    </w:p>
    <w:p w:rsidR="00807674" w:rsidRPr="00BE6FA1" w:rsidRDefault="00807674" w:rsidP="003A27DA">
      <w:pPr>
        <w:spacing w:after="0" w:line="360" w:lineRule="auto"/>
        <w:ind w:firstLine="708"/>
        <w:jc w:val="both"/>
        <w:rPr>
          <w:rFonts w:ascii="Times New Roman" w:hAnsi="Times New Roman" w:cs="Times New Roman"/>
          <w:sz w:val="24"/>
        </w:rPr>
      </w:pPr>
    </w:p>
    <w:p w:rsidR="00807674" w:rsidRPr="00BE6FA1" w:rsidRDefault="00807674"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lastRenderedPageBreak/>
        <w:t>Kadm</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Badania przeprowadzone w 2014 r. nie wykazały przekroczeń rocznego poziomu docelowego ustalonego dla kadmu (5</w:t>
      </w:r>
      <w:r w:rsidRPr="00BE6FA1">
        <w:rPr>
          <w:rFonts w:ascii="Times New Roman" w:hAnsi="Times New Roman" w:cs="Times New Roman"/>
          <w:sz w:val="24"/>
          <w:szCs w:val="24"/>
        </w:rPr>
        <w:t>ng/m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w:t>
      </w:r>
      <w:r w:rsidRPr="00BE6FA1">
        <w:rPr>
          <w:rFonts w:ascii="Times New Roman" w:hAnsi="Times New Roman" w:cs="Times New Roman"/>
          <w:sz w:val="24"/>
        </w:rPr>
        <w:t xml:space="preserve">. W punktach pomiarowych średnioroczne stężenia kadmu </w:t>
      </w:r>
      <w:r w:rsidRPr="00BE6FA1">
        <w:rPr>
          <w:rFonts w:ascii="Times New Roman" w:hAnsi="Times New Roman" w:cs="Times New Roman"/>
          <w:sz w:val="24"/>
          <w:szCs w:val="24"/>
        </w:rPr>
        <w:t>kształtowały się na poziomie 0,5-0,7 ng/m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xml:space="preserve"> (zaledwie 10-14% poziomu docelowego). Stężenia średniotygodniowe kadmu na stacjach monitoringu powietrza zawierały się w przedziale 0,13-3,4 ng/m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 Podwyższone tygodniowe stężenia kadmu zanotowane zostały w lutym, październiku, listopadzie oraz incydentalnie w lipcu.</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szCs w:val="24"/>
        </w:rPr>
        <w:t>Wyniki modelowania zanieczyszczenia powietrza kadmem nie wykazały przekroczenia poziomu docelowego</w:t>
      </w:r>
      <w:r w:rsidRPr="00BE6FA1">
        <w:rPr>
          <w:rFonts w:ascii="Times New Roman" w:hAnsi="Times New Roman" w:cs="Times New Roman"/>
          <w:sz w:val="24"/>
        </w:rPr>
        <w:t>. Dla stężenia średniorocznego kadmu wyniki modelowania za rok 2014 wykazały występowanie wartości w przedziale 0,008-2,3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w:t>
      </w:r>
      <w:r w:rsidR="00563D06" w:rsidRPr="00BE6FA1">
        <w:rPr>
          <w:rFonts w:ascii="Times New Roman" w:hAnsi="Times New Roman" w:cs="Times New Roman"/>
          <w:sz w:val="24"/>
        </w:rPr>
        <w:br/>
      </w:r>
      <w:r w:rsidRPr="00BE6FA1">
        <w:rPr>
          <w:rFonts w:ascii="Times New Roman" w:hAnsi="Times New Roman" w:cs="Times New Roman"/>
          <w:sz w:val="24"/>
        </w:rPr>
        <w:t>Na obszarze całego województwa stężenia średnioroczne kadmu nie przekroczyły 50% poziomu docelowego.</w:t>
      </w:r>
    </w:p>
    <w:p w:rsidR="00EB674A" w:rsidRPr="00BE6FA1" w:rsidRDefault="00E76E63"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W Gminie Kańczuga</w:t>
      </w:r>
      <w:r w:rsidR="00EB674A" w:rsidRPr="00BE6FA1">
        <w:rPr>
          <w:rFonts w:ascii="Times New Roman" w:hAnsi="Times New Roman" w:cs="Times New Roman"/>
          <w:sz w:val="24"/>
        </w:rPr>
        <w:t xml:space="preserve"> średnioroczne stężenia k</w:t>
      </w:r>
      <w:r w:rsidRPr="00BE6FA1">
        <w:rPr>
          <w:rFonts w:ascii="Times New Roman" w:hAnsi="Times New Roman" w:cs="Times New Roman"/>
          <w:sz w:val="24"/>
        </w:rPr>
        <w:t>admu wahały się w granicach</w:t>
      </w:r>
      <w:r w:rsidRPr="00BE6FA1">
        <w:rPr>
          <w:rFonts w:ascii="Times New Roman" w:hAnsi="Times New Roman" w:cs="Times New Roman"/>
          <w:sz w:val="24"/>
        </w:rPr>
        <w:br/>
        <w:t xml:space="preserve"> 0,2 – 0,3</w:t>
      </w:r>
      <w:r w:rsidR="00EB674A" w:rsidRPr="00BE6FA1">
        <w:rPr>
          <w:rFonts w:ascii="Times New Roman" w:hAnsi="Times New Roman" w:cs="Times New Roman"/>
          <w:sz w:val="24"/>
        </w:rPr>
        <w:t>ng/m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 oparciu o wyniki pomiarów ze stacji monitoringu powietrza oraz wyniki modelowania rozkładu stężeń kadmu dokonano klasyfikacji stref w województwie podkarpackim ze względu na zanieczyszczenie powietrza atmosferycznego w kryterium ochrony zdrowia. Strefy miasto Rzeszów i podkarpacka zakwalifikowane zostały do klasy </w:t>
      </w:r>
      <w:r w:rsidR="00807674" w:rsidRPr="00BE6FA1">
        <w:rPr>
          <w:rFonts w:ascii="Times New Roman" w:hAnsi="Times New Roman" w:cs="Times New Roman"/>
          <w:sz w:val="24"/>
        </w:rPr>
        <w:br/>
      </w:r>
      <w:r w:rsidRPr="00BE6FA1">
        <w:rPr>
          <w:rFonts w:ascii="Times New Roman" w:hAnsi="Times New Roman" w:cs="Times New Roman"/>
          <w:sz w:val="24"/>
        </w:rPr>
        <w:t>A co oznacza, że na terenie województwa nie wystąpiło zagrożenie przekroczenia wartości docelowej kadmu w powietrzu.</w:t>
      </w:r>
    </w:p>
    <w:p w:rsidR="00807674" w:rsidRPr="00BE6FA1" w:rsidRDefault="00807674" w:rsidP="003A27DA">
      <w:pPr>
        <w:spacing w:after="0" w:line="360" w:lineRule="auto"/>
        <w:jc w:val="both"/>
        <w:rPr>
          <w:rFonts w:ascii="Times New Roman" w:hAnsi="Times New Roman" w:cs="Times New Roman"/>
          <w:sz w:val="24"/>
        </w:rPr>
      </w:pPr>
    </w:p>
    <w:p w:rsidR="00807674" w:rsidRPr="00BE6FA1" w:rsidRDefault="00807674" w:rsidP="003A27DA">
      <w:pPr>
        <w:spacing w:after="0" w:line="360" w:lineRule="auto"/>
        <w:jc w:val="both"/>
        <w:rPr>
          <w:rFonts w:ascii="Times New Roman" w:hAnsi="Times New Roman" w:cs="Times New Roman"/>
          <w:sz w:val="24"/>
        </w:rPr>
      </w:pPr>
    </w:p>
    <w:p w:rsidR="00807674" w:rsidRPr="00BE6FA1" w:rsidRDefault="00807674" w:rsidP="003A27DA">
      <w:pPr>
        <w:spacing w:after="0" w:line="360" w:lineRule="auto"/>
        <w:jc w:val="both"/>
        <w:rPr>
          <w:rFonts w:ascii="Times New Roman" w:hAnsi="Times New Roman" w:cs="Times New Roman"/>
          <w:sz w:val="24"/>
        </w:rPr>
      </w:pPr>
    </w:p>
    <w:p w:rsidR="00EB674A" w:rsidRPr="00BE6FA1" w:rsidRDefault="00605A87" w:rsidP="003A27DA">
      <w:pPr>
        <w:spacing w:after="0" w:line="360" w:lineRule="auto"/>
        <w:jc w:val="both"/>
        <w:rPr>
          <w:rFonts w:ascii="Times New Roman" w:hAnsi="Times New Roman" w:cs="Times New Roman"/>
          <w:sz w:val="24"/>
        </w:rPr>
      </w:pPr>
      <w:r>
        <w:rPr>
          <w:rFonts w:ascii="Times New Roman" w:hAnsi="Times New Roman" w:cs="Times New Roman"/>
          <w:noProof/>
        </w:rPr>
        <w:lastRenderedPageBreak/>
        <mc:AlternateContent>
          <mc:Choice Requires="wps">
            <w:drawing>
              <wp:anchor distT="0" distB="0" distL="114300" distR="114300" simplePos="0" relativeHeight="251730944" behindDoc="0" locked="0" layoutInCell="1" allowOverlap="1">
                <wp:simplePos x="0" y="0"/>
                <wp:positionH relativeFrom="column">
                  <wp:posOffset>845820</wp:posOffset>
                </wp:positionH>
                <wp:positionV relativeFrom="paragraph">
                  <wp:posOffset>4572000</wp:posOffset>
                </wp:positionV>
                <wp:extent cx="3850005" cy="389890"/>
                <wp:effectExtent l="2540" t="4445" r="0" b="0"/>
                <wp:wrapTopAndBottom/>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7C3CF2" w:rsidRDefault="000D713D" w:rsidP="007C3CF2">
                            <w:pPr>
                              <w:pStyle w:val="Legenda"/>
                              <w:jc w:val="center"/>
                              <w:rPr>
                                <w:rFonts w:ascii="Times New Roman" w:hAnsi="Times New Roman" w:cs="Times New Roman"/>
                                <w:noProof/>
                                <w:color w:val="auto"/>
                                <w:sz w:val="24"/>
                              </w:rPr>
                            </w:pPr>
                            <w:bookmarkStart w:id="99" w:name="_Toc445289844"/>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31</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kadmu w województwie podkarpackim w 2014 r.</w:t>
                            </w:r>
                            <w:bookmarkEnd w:id="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left:0;text-align:left;margin-left:66.6pt;margin-top:5in;width:303.15pt;height:3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SZgQIAAAkFAAAOAAAAZHJzL2Uyb0RvYy54bWysVG1v2yAQ/j5p/wHxPbWdOKltxamadp4m&#10;dS9Sux9ADI7RMDAgsbtp/30HjrOu26Rpmj/gA46Hu3ueY301dAIdmbFcyRInFzFGTNaKcrkv8ceH&#10;apZhZB2RlAglWYkfmcVXm5cv1r0u2Fy1SlBmEIBIW/S6xK1zuogiW7esI/ZCaSZhs1GmIw6mZh9R&#10;Q3pA70Q0j+NV1CtDtVE1sxZWb8dNvAn4TcNq975pLHNIlBhic2E0Ydz5MdqsSbE3RLe8PoVB/iGK&#10;jnAJl56hbokj6GD4L1Adr42yqnEXteoi1TS8ZiEHyCaJn2Vz3xLNQi5QHKvPZbL/D7Z+d/xgEKcl&#10;Xq4wkqQDjh7Y4NBWDWix8vXptS3A7V6DoxtgHXgOuVp9p+pPFkl10xK5Z9fGqL5lhEJ8iT8ZPTk6&#10;4lgPsuvfKgr3kINTAWhoTOeLB+VAgA48PZ658bHUsLjIlnEcLzGqYW+R5VkeyItIMZ3WxrrXTHXI&#10;GyU2wH1AJ8c763w0pJhc/GVWCU4rLkSYmP3uRhh0JKCTKnwhgWduQnpnqfyxEXFcgSDhDr/nww28&#10;f82TeRpv5/msWmWXs7RKl7P8Ms5mcZJv81Wc5ult9c0HmKRFyyll8o5LNmkwSf+O41M3jOoJKkR9&#10;ifPlfDlS9MckoZjw/S7JjjtoScG7EmdnJ1J4Yl9JCmmTwhEuRjv6OfxQZajB9A9VCTLwzI8acMNu&#10;CIpLskleO0UfQRhGAW/APrwnYLTKfMGoh94ssf18IIZhJN5IEJdv5Mkwk7GbDCJrOFpih9Fo3rix&#10;4Q/a8H0LyJN8r0GAFQ/a8EodozjJFvotJHF6G3xDP50Hrx8v2OY7AAAA//8DAFBLAwQUAAYACAAA&#10;ACEAbaSZMeEAAAALAQAADwAAAGRycy9kb3ducmV2LnhtbEyPPU/DMBCGdyT+g3VILIg6bUJbQpyq&#10;qmCgS0XapZsbu3EgPke204Z/zzHBdq/u0ftRrEbbsYv2oXUoYDpJgGmsnWqxEXDYvz0ugYUoUcnO&#10;oRbwrQOsytubQubKXfFDX6rYMDLBkEsBJsY+5zzURlsZJq7XSL+z81ZGkr7hyssrmduOz5Jkzq1s&#10;kRKM7PXG6PqrGqyAXXbcmYfh/LpdZ6l/Pwyb+WdTCXF/N65fgEU9xj8YfutTdSip08kNqALrSKfp&#10;jFABC8oBRsQifX4CdqJjOc2AlwX/v6H8AQAA//8DAFBLAQItABQABgAIAAAAIQC2gziS/gAAAOEB&#10;AAATAAAAAAAAAAAAAAAAAAAAAABbQ29udGVudF9UeXBlc10ueG1sUEsBAi0AFAAGAAgAAAAhADj9&#10;If/WAAAAlAEAAAsAAAAAAAAAAAAAAAAALwEAAF9yZWxzLy5yZWxzUEsBAi0AFAAGAAgAAAAhAIcB&#10;1JmBAgAACQUAAA4AAAAAAAAAAAAAAAAALgIAAGRycy9lMm9Eb2MueG1sUEsBAi0AFAAGAAgAAAAh&#10;AG2kmTHhAAAACwEAAA8AAAAAAAAAAAAAAAAA2wQAAGRycy9kb3ducmV2LnhtbFBLBQYAAAAABAAE&#10;APMAAADpBQAAAAA=&#10;" stroked="f">
                <v:textbox style="mso-fit-shape-to-text:t" inset="0,0,0,0">
                  <w:txbxContent>
                    <w:p w:rsidR="000D713D" w:rsidRPr="007C3CF2" w:rsidRDefault="000D713D" w:rsidP="007C3CF2">
                      <w:pPr>
                        <w:pStyle w:val="Legenda"/>
                        <w:jc w:val="center"/>
                        <w:rPr>
                          <w:rFonts w:ascii="Times New Roman" w:hAnsi="Times New Roman" w:cs="Times New Roman"/>
                          <w:noProof/>
                          <w:color w:val="auto"/>
                          <w:sz w:val="24"/>
                        </w:rPr>
                      </w:pPr>
                      <w:bookmarkStart w:id="100" w:name="_Toc445289844"/>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31</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kadmu w województwie podkarpackim w 2014 r.</w:t>
                      </w:r>
                      <w:bookmarkEnd w:id="100"/>
                    </w:p>
                  </w:txbxContent>
                </v:textbox>
                <w10:wrap type="topAndBottom"/>
              </v:shape>
            </w:pict>
          </mc:Fallback>
        </mc:AlternateContent>
      </w:r>
      <w:r w:rsidR="00EB674A" w:rsidRPr="00BE6FA1">
        <w:rPr>
          <w:rFonts w:ascii="Times New Roman" w:hAnsi="Times New Roman" w:cs="Times New Roman"/>
          <w:noProof/>
          <w:sz w:val="24"/>
        </w:rPr>
        <w:drawing>
          <wp:anchor distT="0" distB="127000" distL="0" distR="0" simplePos="0" relativeHeight="251676672" behindDoc="0" locked="0" layoutInCell="1" allowOverlap="1" wp14:anchorId="1C1A1E38" wp14:editId="310606D0">
            <wp:simplePos x="0" y="0"/>
            <wp:positionH relativeFrom="column">
              <wp:posOffset>845820</wp:posOffset>
            </wp:positionH>
            <wp:positionV relativeFrom="paragraph">
              <wp:posOffset>2540</wp:posOffset>
            </wp:positionV>
            <wp:extent cx="3850005" cy="4512310"/>
            <wp:effectExtent l="19050" t="0" r="0" b="0"/>
            <wp:wrapTopAndBottom/>
            <wp:docPr id="38" name="Obraz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19"/>
                    <pic:cNvPicPr>
                      <a:picLocks noChangeAspect="1" noChangeArrowheads="1"/>
                    </pic:cNvPicPr>
                  </pic:nvPicPr>
                  <pic:blipFill>
                    <a:blip r:embed="rId48" cstate="print"/>
                    <a:stretch>
                      <a:fillRect/>
                    </a:stretch>
                  </pic:blipFill>
                  <pic:spPr bwMode="auto">
                    <a:xfrm>
                      <a:off x="0" y="0"/>
                      <a:ext cx="3850005" cy="4512310"/>
                    </a:xfrm>
                    <a:prstGeom prst="rect">
                      <a:avLst/>
                    </a:prstGeom>
                  </pic:spPr>
                </pic:pic>
              </a:graphicData>
            </a:graphic>
          </wp:anchor>
        </w:drawing>
      </w:r>
    </w:p>
    <w:p w:rsidR="007C3CF2" w:rsidRPr="00BE6FA1" w:rsidRDefault="007C3CF2" w:rsidP="00807674">
      <w:pPr>
        <w:spacing w:after="0" w:line="360" w:lineRule="auto"/>
        <w:jc w:val="both"/>
        <w:rPr>
          <w:rFonts w:ascii="Times New Roman" w:hAnsi="Times New Roman" w:cs="Times New Roman"/>
          <w:b/>
          <w:sz w:val="24"/>
        </w:rPr>
      </w:pPr>
    </w:p>
    <w:p w:rsidR="00EB674A" w:rsidRPr="00BE6FA1" w:rsidRDefault="00EB674A" w:rsidP="00807674">
      <w:pPr>
        <w:spacing w:after="0" w:line="360" w:lineRule="auto"/>
        <w:jc w:val="both"/>
        <w:rPr>
          <w:rFonts w:ascii="Times New Roman" w:hAnsi="Times New Roman" w:cs="Times New Roman"/>
          <w:b/>
          <w:sz w:val="24"/>
        </w:rPr>
      </w:pPr>
      <w:r w:rsidRPr="00BE6FA1">
        <w:rPr>
          <w:rFonts w:ascii="Times New Roman" w:hAnsi="Times New Roman" w:cs="Times New Roman"/>
          <w:b/>
          <w:sz w:val="24"/>
        </w:rPr>
        <w:t>Nikiel</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Z badań prowadzonych w wojewódzkiej sieci monitoringu jakości powietrza wynika, że stężenia niklu nie przekroczyły wartości docelowej. W punktach pomiarowych średnioroczne stężenia niklu kształtowały się na niskim poziomie </w:t>
      </w:r>
      <w:r w:rsidR="00E76E63" w:rsidRPr="00BE6FA1">
        <w:rPr>
          <w:rFonts w:ascii="Times New Roman" w:hAnsi="Times New Roman" w:cs="Times New Roman"/>
          <w:sz w:val="24"/>
        </w:rPr>
        <w:br/>
      </w:r>
      <w:r w:rsidRPr="00BE6FA1">
        <w:rPr>
          <w:rFonts w:ascii="Times New Roman" w:hAnsi="Times New Roman" w:cs="Times New Roman"/>
          <w:sz w:val="24"/>
        </w:rPr>
        <w:t>1-1,3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(5-6,5% poziomu docelowego).W strefie podkarpackiej stężenia średniotygodniowe niklu na stacjach monitoringu powietrza zawierały się w przedziale </w:t>
      </w:r>
      <w:r w:rsidR="00563D06" w:rsidRPr="00BE6FA1">
        <w:rPr>
          <w:rFonts w:ascii="Times New Roman" w:hAnsi="Times New Roman" w:cs="Times New Roman"/>
          <w:sz w:val="24"/>
        </w:rPr>
        <w:br/>
      </w:r>
      <w:r w:rsidRPr="00BE6FA1">
        <w:rPr>
          <w:rFonts w:ascii="Times New Roman" w:hAnsi="Times New Roman" w:cs="Times New Roman"/>
          <w:sz w:val="24"/>
        </w:rPr>
        <w:t>0,75-7,6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.Wyniki modelowania zanieczyszczenia powietrza niklem nie wykazały przekroczenia obowiązującego poziomu docelowego. Dla stężenia średniorocznego niklu wyniki modelowania za rok 2014 wykazały występowanie wartości w przedziale </w:t>
      </w:r>
      <w:r w:rsidR="00425222" w:rsidRPr="00BE6FA1">
        <w:rPr>
          <w:rFonts w:ascii="Times New Roman" w:hAnsi="Times New Roman" w:cs="Times New Roman"/>
          <w:sz w:val="24"/>
        </w:rPr>
        <w:br/>
      </w:r>
      <w:r w:rsidRPr="00BE6FA1">
        <w:rPr>
          <w:rFonts w:ascii="Times New Roman" w:hAnsi="Times New Roman" w:cs="Times New Roman"/>
          <w:sz w:val="24"/>
        </w:rPr>
        <w:t>0,02-10,6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Stężenia niklu na terenie województwa (z wyjątkiem Rzeszowa) nie przekroczyły 50% poziomu docelowego.  </w:t>
      </w:r>
    </w:p>
    <w:p w:rsidR="00EB674A" w:rsidRPr="00BE6FA1" w:rsidRDefault="00EB674A" w:rsidP="003A27DA">
      <w:pPr>
        <w:spacing w:after="0" w:line="360" w:lineRule="auto"/>
        <w:ind w:firstLine="708"/>
        <w:jc w:val="both"/>
        <w:rPr>
          <w:rFonts w:ascii="Times New Roman" w:hAnsi="Times New Roman" w:cs="Times New Roman"/>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Poniższa ma</w:t>
      </w:r>
      <w:r w:rsidR="00E76E63" w:rsidRPr="00BE6FA1">
        <w:rPr>
          <w:rFonts w:ascii="Times New Roman" w:hAnsi="Times New Roman" w:cs="Times New Roman"/>
          <w:sz w:val="24"/>
        </w:rPr>
        <w:t xml:space="preserve">pa przedstawia dla </w:t>
      </w:r>
      <w:r w:rsidR="001F0217" w:rsidRPr="00BE6FA1">
        <w:rPr>
          <w:rFonts w:ascii="Times New Roman" w:hAnsi="Times New Roman" w:cs="Times New Roman"/>
          <w:sz w:val="24"/>
        </w:rPr>
        <w:t xml:space="preserve">Miasta i </w:t>
      </w:r>
      <w:r w:rsidR="00E76E63" w:rsidRPr="00BE6FA1">
        <w:rPr>
          <w:rFonts w:ascii="Times New Roman" w:hAnsi="Times New Roman" w:cs="Times New Roman"/>
          <w:sz w:val="24"/>
        </w:rPr>
        <w:t xml:space="preserve">Gminy Kańczuga wartości niklu w zakresie </w:t>
      </w:r>
      <w:r w:rsidR="00E76E63" w:rsidRPr="00BE6FA1">
        <w:rPr>
          <w:rFonts w:ascii="Times New Roman" w:hAnsi="Times New Roman" w:cs="Times New Roman"/>
          <w:sz w:val="24"/>
        </w:rPr>
        <w:br/>
        <w:t>0,6 – 1</w:t>
      </w:r>
      <w:r w:rsidRPr="00BE6FA1">
        <w:rPr>
          <w:rFonts w:ascii="Times New Roman" w:hAnsi="Times New Roman" w:cs="Times New Roman"/>
          <w:sz w:val="24"/>
        </w:rPr>
        <w:t>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(poziom docelowy wynosi 20 ng/m</w:t>
      </w:r>
      <w:r w:rsidRPr="00BE6FA1">
        <w:rPr>
          <w:rFonts w:ascii="Times New Roman" w:hAnsi="Times New Roman" w:cs="Times New Roman"/>
          <w:sz w:val="24"/>
          <w:vertAlign w:val="superscript"/>
        </w:rPr>
        <w:t>3</w:t>
      </w:r>
      <w:r w:rsidRPr="00BE6FA1">
        <w:rPr>
          <w:rFonts w:ascii="Times New Roman" w:hAnsi="Times New Roman" w:cs="Times New Roman"/>
          <w:sz w:val="24"/>
        </w:rPr>
        <w:t>).</w:t>
      </w:r>
    </w:p>
    <w:p w:rsidR="00425222" w:rsidRPr="00BE6FA1" w:rsidRDefault="00425222" w:rsidP="003A27DA">
      <w:pPr>
        <w:spacing w:after="0" w:line="360" w:lineRule="auto"/>
        <w:ind w:firstLine="708"/>
        <w:jc w:val="both"/>
        <w:rPr>
          <w:rFonts w:ascii="Times New Roman" w:hAnsi="Times New Roman" w:cs="Times New Roman"/>
          <w:sz w:val="24"/>
        </w:rPr>
      </w:pPr>
    </w:p>
    <w:p w:rsidR="00425222" w:rsidRPr="00BE6FA1" w:rsidRDefault="00425222" w:rsidP="003A27DA">
      <w:pPr>
        <w:spacing w:after="0" w:line="360" w:lineRule="auto"/>
        <w:ind w:firstLine="708"/>
        <w:jc w:val="both"/>
        <w:rPr>
          <w:rFonts w:ascii="Times New Roman" w:hAnsi="Times New Roman" w:cs="Times New Roman"/>
        </w:rPr>
      </w:pPr>
    </w:p>
    <w:p w:rsidR="00EB674A" w:rsidRPr="00BE6FA1" w:rsidRDefault="00605A87" w:rsidP="003A27DA">
      <w:pPr>
        <w:keepNext/>
        <w:spacing w:after="0"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0" locked="0" layoutInCell="1" allowOverlap="1">
                <wp:simplePos x="0" y="0"/>
                <wp:positionH relativeFrom="column">
                  <wp:posOffset>679450</wp:posOffset>
                </wp:positionH>
                <wp:positionV relativeFrom="paragraph">
                  <wp:posOffset>5169535</wp:posOffset>
                </wp:positionV>
                <wp:extent cx="4662170" cy="258445"/>
                <wp:effectExtent l="0" t="2540" r="0" b="0"/>
                <wp:wrapTopAndBottom/>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7C3CF2" w:rsidRDefault="000D713D" w:rsidP="007C3CF2">
                            <w:pPr>
                              <w:pStyle w:val="Legenda"/>
                              <w:jc w:val="center"/>
                              <w:rPr>
                                <w:rFonts w:ascii="Times New Roman" w:hAnsi="Times New Roman" w:cs="Times New Roman"/>
                                <w:noProof/>
                                <w:color w:val="auto"/>
                              </w:rPr>
                            </w:pPr>
                            <w:bookmarkStart w:id="101" w:name="_Toc445289845"/>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32</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niklu w województwie podkarpackim w 2014 r.</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left:0;text-align:left;margin-left:53.5pt;margin-top:407.05pt;width:367.1pt;height:2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2LfgIAAAk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U4&#10;zzGSpAeO7vno0JUa0auVr8+gbQludxoc3QjrwHPI1epbRT9bJNV1S+SOXxqjhpYTBvEl/mT05OiE&#10;Yz3IdninGNxD9k4FoLExvS8elAMBOvD0cOLGx0JhMVsu02QFWxT20nydZXm4gpTzaW2se8NVj7xR&#10;YQPcB3RyuLXOR0PK2cVfZlUnWC26LkzMbnvdGXQgoJM6fEf0Z26d9M5S+WMT4rQCQcIdfs+HG3j/&#10;ViRpFl+lxaJerleLrM7yRbGK14s4Ka6KZZwV2U393QeYZGUrGOPyVkg+azDJ/o7jYzdM6gkqREOF&#10;izzNJ4r+mGQcvt8l2QsHLdmJvsLrkxMpPbGvJYO0SemI6CY7eh5+qDLUYP6HqgQZeOYnDbhxOwbF&#10;JYW/3mtkq9gDCMMo4A0ohvcEjFaZrxgN0JsVtl/2xHCMurcSxOUbeTbMbGxng0gKRyvsMJrMazc1&#10;/F4bsWsBeZbvJQiwFkEbj1EcZQv9FpI4vg2+oZ/Og9fjC7b5AQAA//8DAFBLAwQUAAYACAAAACEA&#10;4ByvgeEAAAALAQAADwAAAGRycy9kb3ducmV2LnhtbEyPwU7DMBBE70j8g7VIXBB1UkyJQpyqquAA&#10;l4rQCzc3duNAvI5spw1/z3KC2452NPOmWs9uYCcTYu9RQr7IgBlsve6xk7B/f74tgMWkUKvBo5Hw&#10;bSKs68uLSpXan/HNnJrUMQrBWCoJNqWx5Dy21jgVF340SL+jD04lkqHjOqgzhbuBL7NsxZ3qkRqs&#10;Gs3WmvarmZyEnfjY2Zvp+PS6EXfhZT9tV59dI+X11bx5BJbMnP7M8ItP6FAT08FPqCMbSGcPtCVJ&#10;KHKRAyNHIfIlsAMd96IAXlf8/4b6BwAA//8DAFBLAQItABQABgAIAAAAIQC2gziS/gAAAOEBAAAT&#10;AAAAAAAAAAAAAAAAAAAAAABbQ29udGVudF9UeXBlc10ueG1sUEsBAi0AFAAGAAgAAAAhADj9If/W&#10;AAAAlAEAAAsAAAAAAAAAAAAAAAAALwEAAF9yZWxzLy5yZWxzUEsBAi0AFAAGAAgAAAAhADTcnYt+&#10;AgAACQUAAA4AAAAAAAAAAAAAAAAALgIAAGRycy9lMm9Eb2MueG1sUEsBAi0AFAAGAAgAAAAhAOAc&#10;r4HhAAAACwEAAA8AAAAAAAAAAAAAAAAA2AQAAGRycy9kb3ducmV2LnhtbFBLBQYAAAAABAAEAPMA&#10;AADmBQAAAAA=&#10;" stroked="f">
                <v:textbox style="mso-fit-shape-to-text:t" inset="0,0,0,0">
                  <w:txbxContent>
                    <w:p w:rsidR="000D713D" w:rsidRPr="007C3CF2" w:rsidRDefault="000D713D" w:rsidP="007C3CF2">
                      <w:pPr>
                        <w:pStyle w:val="Legenda"/>
                        <w:jc w:val="center"/>
                        <w:rPr>
                          <w:rFonts w:ascii="Times New Roman" w:hAnsi="Times New Roman" w:cs="Times New Roman"/>
                          <w:noProof/>
                          <w:color w:val="auto"/>
                        </w:rPr>
                      </w:pPr>
                      <w:bookmarkStart w:id="102" w:name="_Toc445289845"/>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32</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niklu w województwie podkarpackim w 2014 r.</w:t>
                      </w:r>
                      <w:bookmarkEnd w:id="102"/>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77696" behindDoc="0" locked="0" layoutInCell="1" allowOverlap="1" wp14:anchorId="4F402371" wp14:editId="6A9C83A2">
            <wp:simplePos x="0" y="0"/>
            <wp:positionH relativeFrom="column">
              <wp:align>center</wp:align>
            </wp:positionH>
            <wp:positionV relativeFrom="paragraph">
              <wp:align>top</wp:align>
            </wp:positionV>
            <wp:extent cx="4401820" cy="5112385"/>
            <wp:effectExtent l="0" t="0" r="0" b="0"/>
            <wp:wrapTopAndBottom/>
            <wp:docPr id="39" name="Obra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24"/>
                    <pic:cNvPicPr>
                      <a:picLocks noChangeAspect="1" noChangeArrowheads="1"/>
                    </pic:cNvPicPr>
                  </pic:nvPicPr>
                  <pic:blipFill>
                    <a:blip r:embed="rId49" cstate="print"/>
                    <a:stretch>
                      <a:fillRect/>
                    </a:stretch>
                  </pic:blipFill>
                  <pic:spPr bwMode="auto">
                    <a:xfrm>
                      <a:off x="0" y="0"/>
                      <a:ext cx="4401820" cy="5112385"/>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Według wyników pomiarów ze stacji monitoringu powietrza oraz wyników modelowania rozkładu stężeń dokonano klasyfikacji stref ze względu na zanieczyszczenie powietrza atmosferycznego niklem w kryterium ochrony zdrowia. Strefy miasto Rzeszów </w:t>
      </w:r>
      <w:r w:rsidR="00AF1FF5" w:rsidRPr="00BE6FA1">
        <w:rPr>
          <w:rFonts w:ascii="Times New Roman" w:hAnsi="Times New Roman" w:cs="Times New Roman"/>
          <w:sz w:val="24"/>
        </w:rPr>
        <w:br/>
      </w:r>
      <w:r w:rsidRPr="00BE6FA1">
        <w:rPr>
          <w:rFonts w:ascii="Times New Roman" w:hAnsi="Times New Roman" w:cs="Times New Roman"/>
          <w:sz w:val="24"/>
        </w:rPr>
        <w:t>i podkarpacka zakwalifikowane zostały do klasy A co oznacza, że na terenie województwa nie wystąpiło zagrożenie przekroczenia wartości docelowej, ustalonej dla niklu w powietrzu.</w:t>
      </w:r>
    </w:p>
    <w:p w:rsidR="00EB674A" w:rsidRPr="00BE6FA1" w:rsidRDefault="00EB674A" w:rsidP="003A27DA">
      <w:pPr>
        <w:spacing w:after="0" w:line="360" w:lineRule="auto"/>
        <w:jc w:val="both"/>
        <w:rPr>
          <w:rFonts w:ascii="Times New Roman" w:hAnsi="Times New Roman" w:cs="Times New Roman"/>
          <w:sz w:val="24"/>
        </w:rPr>
      </w:pPr>
    </w:p>
    <w:p w:rsidR="007C3CF2" w:rsidRPr="00BE6FA1" w:rsidRDefault="007C3CF2"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t>Ołów</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lastRenderedPageBreak/>
        <w:t>Badania jakości powietrza nie wykazały przekroczenia poziomu dopuszczalnego ołowiu (0,5 μg/m</w:t>
      </w:r>
      <w:r w:rsidRPr="00BE6FA1">
        <w:rPr>
          <w:rFonts w:ascii="Times New Roman" w:hAnsi="Times New Roman" w:cs="Times New Roman"/>
          <w:sz w:val="24"/>
          <w:vertAlign w:val="superscript"/>
        </w:rPr>
        <w:t>3</w:t>
      </w:r>
      <w:r w:rsidRPr="00BE6FA1">
        <w:rPr>
          <w:rFonts w:ascii="Times New Roman" w:hAnsi="Times New Roman" w:cs="Times New Roman"/>
          <w:sz w:val="24"/>
        </w:rPr>
        <w:t>) na obszarze województwa podkarpackiego. W punktach pomiarowych średnioroczne stężenia ołowiu kształtowały się w przedziale 0,01-0,02 μg/m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(2-4% poziomu dopuszczalnego). Stężenia średniotygodniowe ołowiu na stacjach monitoringu powietrza zawierały się w przedziale 0,01-0,09 μg/m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Podwyższone stężenia ołowiu odnotowano </w:t>
      </w:r>
      <w:r w:rsidR="00AF1FF5" w:rsidRPr="00BE6FA1">
        <w:rPr>
          <w:rFonts w:ascii="Times New Roman" w:hAnsi="Times New Roman" w:cs="Times New Roman"/>
          <w:sz w:val="24"/>
        </w:rPr>
        <w:br/>
      </w:r>
      <w:r w:rsidRPr="00BE6FA1">
        <w:rPr>
          <w:rFonts w:ascii="Times New Roman" w:hAnsi="Times New Roman" w:cs="Times New Roman"/>
          <w:sz w:val="24"/>
        </w:rPr>
        <w:t>w miesiącach: luty, marzec i październik.</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Wyniki modelowania zanieczyszczenia powietrza ołowiem, przeprowadzone </w:t>
      </w:r>
      <w:r w:rsidRPr="00BE6FA1">
        <w:rPr>
          <w:rFonts w:ascii="Times New Roman" w:hAnsi="Times New Roman" w:cs="Times New Roman"/>
          <w:sz w:val="24"/>
        </w:rPr>
        <w:br/>
        <w:t xml:space="preserve">w 2014 r. dla województwa podkarpackiego nie wykazały przekroczenia obowiązującego poziomu dopuszczalnego dla tego zanieczyszczenia. Dla stężenia średniorocznego ołowiu wyniki modelowania za rok 2014 wykazały występowanie wartości w przedziale </w:t>
      </w:r>
      <w:r w:rsidR="008F12B5" w:rsidRPr="00BE6FA1">
        <w:rPr>
          <w:rFonts w:ascii="Times New Roman" w:hAnsi="Times New Roman" w:cs="Times New Roman"/>
          <w:sz w:val="24"/>
        </w:rPr>
        <w:br/>
      </w:r>
      <w:r w:rsidRPr="00BE6FA1">
        <w:rPr>
          <w:rFonts w:ascii="Times New Roman" w:hAnsi="Times New Roman" w:cs="Times New Roman"/>
          <w:sz w:val="24"/>
        </w:rPr>
        <w:t>0,0001-0,02 μg/m</w:t>
      </w:r>
      <w:r w:rsidRPr="00BE6FA1">
        <w:rPr>
          <w:rFonts w:ascii="Times New Roman" w:hAnsi="Times New Roman" w:cs="Times New Roman"/>
          <w:sz w:val="24"/>
          <w:vertAlign w:val="superscript"/>
        </w:rPr>
        <w:t>3</w:t>
      </w:r>
      <w:r w:rsidRPr="00BE6FA1">
        <w:rPr>
          <w:rFonts w:ascii="Times New Roman" w:hAnsi="Times New Roman" w:cs="Times New Roman"/>
          <w:sz w:val="24"/>
        </w:rPr>
        <w:t>. Stężenia średnioroczne nie przekroczyły 4% normy.</w:t>
      </w:r>
    </w:p>
    <w:p w:rsidR="00425222" w:rsidRPr="00BE6FA1" w:rsidRDefault="00425222" w:rsidP="00425222">
      <w:pPr>
        <w:spacing w:after="0" w:line="360" w:lineRule="auto"/>
        <w:ind w:firstLine="708"/>
        <w:jc w:val="both"/>
        <w:rPr>
          <w:rFonts w:ascii="Times New Roman" w:hAnsi="Times New Roman" w:cs="Times New Roman"/>
          <w:sz w:val="24"/>
        </w:rPr>
      </w:pPr>
      <w:r w:rsidRPr="00BE6FA1">
        <w:rPr>
          <w:rFonts w:ascii="Times New Roman" w:hAnsi="Times New Roman" w:cs="Times New Roman"/>
          <w:noProof/>
        </w:rPr>
        <w:drawing>
          <wp:anchor distT="0" distB="127000" distL="0" distR="0" simplePos="0" relativeHeight="251678720" behindDoc="0" locked="0" layoutInCell="1" allowOverlap="1" wp14:anchorId="1172D909" wp14:editId="7DFCF96B">
            <wp:simplePos x="0" y="0"/>
            <wp:positionH relativeFrom="column">
              <wp:posOffset>577850</wp:posOffset>
            </wp:positionH>
            <wp:positionV relativeFrom="paragraph">
              <wp:posOffset>549275</wp:posOffset>
            </wp:positionV>
            <wp:extent cx="4231640" cy="4996815"/>
            <wp:effectExtent l="19050" t="0" r="0" b="0"/>
            <wp:wrapTopAndBottom/>
            <wp:docPr id="40" name="Obraz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25"/>
                    <pic:cNvPicPr>
                      <a:picLocks noChangeAspect="1" noChangeArrowheads="1"/>
                    </pic:cNvPicPr>
                  </pic:nvPicPr>
                  <pic:blipFill>
                    <a:blip r:embed="rId50" cstate="print"/>
                    <a:stretch>
                      <a:fillRect/>
                    </a:stretch>
                  </pic:blipFill>
                  <pic:spPr bwMode="auto">
                    <a:xfrm>
                      <a:off x="0" y="0"/>
                      <a:ext cx="4231640" cy="4996815"/>
                    </a:xfrm>
                    <a:prstGeom prst="rect">
                      <a:avLst/>
                    </a:prstGeom>
                  </pic:spPr>
                </pic:pic>
              </a:graphicData>
            </a:graphic>
          </wp:anchor>
        </w:drawing>
      </w:r>
      <w:r w:rsidR="00605A87">
        <w:rPr>
          <w:rFonts w:ascii="Times New Roman" w:hAnsi="Times New Roman" w:cs="Times New Roman"/>
          <w:noProof/>
        </w:rPr>
        <mc:AlternateContent>
          <mc:Choice Requires="wps">
            <w:drawing>
              <wp:anchor distT="0" distB="0" distL="114300" distR="114300" simplePos="0" relativeHeight="251735040" behindDoc="0" locked="0" layoutInCell="1" allowOverlap="1">
                <wp:simplePos x="0" y="0"/>
                <wp:positionH relativeFrom="column">
                  <wp:posOffset>469900</wp:posOffset>
                </wp:positionH>
                <wp:positionV relativeFrom="paragraph">
                  <wp:posOffset>5687060</wp:posOffset>
                </wp:positionV>
                <wp:extent cx="4658995" cy="258445"/>
                <wp:effectExtent l="0" t="0" r="635" b="1270"/>
                <wp:wrapTopAndBottom/>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7C3CF2" w:rsidRDefault="000D713D" w:rsidP="007C3CF2">
                            <w:pPr>
                              <w:pStyle w:val="Legenda"/>
                              <w:jc w:val="center"/>
                              <w:rPr>
                                <w:rFonts w:ascii="Times New Roman" w:hAnsi="Times New Roman" w:cs="Times New Roman"/>
                                <w:noProof/>
                                <w:color w:val="auto"/>
                              </w:rPr>
                            </w:pPr>
                            <w:bookmarkStart w:id="103" w:name="_Toc445289846"/>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33</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ołowiu w województwie podkarpackim w 2014 r.</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left:0;text-align:left;margin-left:37pt;margin-top:447.8pt;width:366.85pt;height:2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wFfwIAAAkFAAAOAAAAZHJzL2Uyb0RvYy54bWysVNuO2yAQfa/Uf0C8Z32pnbWtOKtNtq4q&#10;bS/Sbj+AYByjYnCBxN5W/fcOOM7u9iJVVf2ABxgOM3POsLoaO4GOTBuuZImjixAjJqmqudyX+NN9&#10;tcgwMpbImgglWYkfmMFX65cvVkNfsFi1StRMIwCRphj6ErfW9kUQGNqyjpgL1TMJm43SHbEw1fug&#10;1mQA9E4EcRgug0HputeKMmNg9WbaxGuP3zSM2g9NY5hFosQQm/Wj9uPOjcF6RYq9Jn3L6SkM8g9R&#10;dIRLuPQMdUMsQQfNf4HqONXKqMZeUNUFqmk4ZT4HyCYKf8rmriU987lAcUx/LpP5f7D0/fGjRrwu&#10;cZpgJEkHHN2z0aKNGtGrzNVn6E0Bbnc9ONoR1oFnn6vpbxX9bJBU25bIPbvWWg0tIzXEF7mTwZOj&#10;E45xILvhnarhHnKwygONje5c8aAcCNCBp4czNy4WCovJMs3yPMWIwl6cZkmS+itIMZ/utbFvmOqQ&#10;M0qsgXuPTo63xrpoSDG7uMuMEryuuBB+ove7rdDoSEAnlf9O6M/chHTOUrljE+K0AkHCHW7Phet5&#10;/5ZHcRJu4nxRLbPLRVIl6SK/DLNFGOWbfBkmeXJTfXcBRknR8rpm8pZLNmswSv6O41M3TOrxKkRD&#10;ifM0TieK/phk6L/fJdlxCy0peFfi7OxECkfsa1lD2qSwhIvJDp6H76sMNZj/vipeBo75SQN23I1e&#10;cbFvP6eRnaofQBhaAW/APrwnYLRKf8VogN4ssflyIJphJN5KEJdr5NnQs7GbDSIpHC2xxWgyt3Zq&#10;+EOv+b4F5Fm+1yDAinttPEZxki30m0/i9Da4hn46916PL9j6BwAAAP//AwBQSwMEFAAGAAgAAAAh&#10;AD6y9yHiAAAACgEAAA8AAABkcnMvZG93bnJldi54bWxMjzFPwzAUhHck/oP1kFgQdSAhSdO8VFUF&#10;AywVoUs3N36NA7EdxU4b/j1mgvF0p7vvyvWse3am0XXWIDwsImBkGis70yLsP17uc2DOCyNFbw0h&#10;fJODdXV9VYpC2ot5p3PtWxZKjCsEgvJ+KDh3jSIt3MIOZIJ3sqMWPsix5XIUl1Cue/4YRSnXojNh&#10;QYmBtoqar3rSCLvksFN30+n5bZPE4+t+2qafbY14ezNvVsA8zf4vDL/4AR2qwHS0k5GO9QhZEq54&#10;hHz5lAILgTzKMmBHhGWcxsCrkv+/UP0AAAD//wMAUEsBAi0AFAAGAAgAAAAhALaDOJL+AAAA4QEA&#10;ABMAAAAAAAAAAAAAAAAAAAAAAFtDb250ZW50X1R5cGVzXS54bWxQSwECLQAUAAYACAAAACEAOP0h&#10;/9YAAACUAQAACwAAAAAAAAAAAAAAAAAvAQAAX3JlbHMvLnJlbHNQSwECLQAUAAYACAAAACEAHbtM&#10;BX8CAAAJBQAADgAAAAAAAAAAAAAAAAAuAgAAZHJzL2Uyb0RvYy54bWxQSwECLQAUAAYACAAAACEA&#10;PrL3IeIAAAAKAQAADwAAAAAAAAAAAAAAAADZBAAAZHJzL2Rvd25yZXYueG1sUEsFBgAAAAAEAAQA&#10;8wAAAOgFAAAAAA==&#10;" stroked="f">
                <v:textbox style="mso-fit-shape-to-text:t" inset="0,0,0,0">
                  <w:txbxContent>
                    <w:p w:rsidR="000D713D" w:rsidRPr="007C3CF2" w:rsidRDefault="000D713D" w:rsidP="007C3CF2">
                      <w:pPr>
                        <w:pStyle w:val="Legenda"/>
                        <w:jc w:val="center"/>
                        <w:rPr>
                          <w:rFonts w:ascii="Times New Roman" w:hAnsi="Times New Roman" w:cs="Times New Roman"/>
                          <w:noProof/>
                          <w:color w:val="auto"/>
                        </w:rPr>
                      </w:pPr>
                      <w:bookmarkStart w:id="104" w:name="_Toc445289846"/>
                      <w:r w:rsidRPr="007C3CF2">
                        <w:rPr>
                          <w:rFonts w:ascii="Times New Roman" w:hAnsi="Times New Roman" w:cs="Times New Roman"/>
                          <w:color w:val="auto"/>
                        </w:rPr>
                        <w:t xml:space="preserve">Rysunek </w:t>
                      </w:r>
                      <w:r w:rsidRPr="007C3CF2">
                        <w:rPr>
                          <w:rFonts w:ascii="Times New Roman" w:hAnsi="Times New Roman" w:cs="Times New Roman"/>
                          <w:color w:val="auto"/>
                        </w:rPr>
                        <w:fldChar w:fldCharType="begin"/>
                      </w:r>
                      <w:r w:rsidRPr="007C3CF2">
                        <w:rPr>
                          <w:rFonts w:ascii="Times New Roman" w:hAnsi="Times New Roman" w:cs="Times New Roman"/>
                          <w:color w:val="auto"/>
                        </w:rPr>
                        <w:instrText xml:space="preserve"> SEQ Rysunek \* ARABIC </w:instrText>
                      </w:r>
                      <w:r w:rsidRPr="007C3CF2">
                        <w:rPr>
                          <w:rFonts w:ascii="Times New Roman" w:hAnsi="Times New Roman" w:cs="Times New Roman"/>
                          <w:color w:val="auto"/>
                        </w:rPr>
                        <w:fldChar w:fldCharType="separate"/>
                      </w:r>
                      <w:r>
                        <w:rPr>
                          <w:rFonts w:ascii="Times New Roman" w:hAnsi="Times New Roman" w:cs="Times New Roman"/>
                          <w:noProof/>
                          <w:color w:val="auto"/>
                        </w:rPr>
                        <w:t>33</w:t>
                      </w:r>
                      <w:r w:rsidRPr="007C3CF2">
                        <w:rPr>
                          <w:rFonts w:ascii="Times New Roman" w:hAnsi="Times New Roman" w:cs="Times New Roman"/>
                          <w:color w:val="auto"/>
                        </w:rPr>
                        <w:fldChar w:fldCharType="end"/>
                      </w:r>
                      <w:r w:rsidRPr="007C3CF2">
                        <w:rPr>
                          <w:rFonts w:ascii="Times New Roman" w:hAnsi="Times New Roman" w:cs="Times New Roman"/>
                          <w:color w:val="auto"/>
                        </w:rPr>
                        <w:t>. Rozkład stężeń średniorocznych ołowiu w województwie podkarpackim w 2014 r.</w:t>
                      </w:r>
                      <w:bookmarkEnd w:id="104"/>
                    </w:p>
                  </w:txbxContent>
                </v:textbox>
                <w10:wrap type="topAndBottom"/>
              </v:shape>
            </w:pict>
          </mc:Fallback>
        </mc:AlternateContent>
      </w:r>
      <w:r w:rsidR="00E76E63" w:rsidRPr="00BE6FA1">
        <w:rPr>
          <w:rFonts w:ascii="Times New Roman" w:hAnsi="Times New Roman" w:cs="Times New Roman"/>
          <w:sz w:val="24"/>
        </w:rPr>
        <w:t>Na obszarze</w:t>
      </w:r>
      <w:r w:rsidR="001F0217" w:rsidRPr="00BE6FA1">
        <w:rPr>
          <w:rFonts w:ascii="Times New Roman" w:hAnsi="Times New Roman" w:cs="Times New Roman"/>
          <w:sz w:val="24"/>
        </w:rPr>
        <w:t xml:space="preserve"> Miasta i</w:t>
      </w:r>
      <w:r w:rsidR="00E76E63" w:rsidRPr="00BE6FA1">
        <w:rPr>
          <w:rFonts w:ascii="Times New Roman" w:hAnsi="Times New Roman" w:cs="Times New Roman"/>
          <w:sz w:val="24"/>
        </w:rPr>
        <w:t xml:space="preserve"> Gminy Kańczuga</w:t>
      </w:r>
      <w:r w:rsidR="00EB674A" w:rsidRPr="00BE6FA1">
        <w:rPr>
          <w:rFonts w:ascii="Times New Roman" w:hAnsi="Times New Roman" w:cs="Times New Roman"/>
          <w:sz w:val="24"/>
        </w:rPr>
        <w:t xml:space="preserve"> wartości ołow</w:t>
      </w:r>
      <w:r w:rsidR="00E76E63" w:rsidRPr="00BE6FA1">
        <w:rPr>
          <w:rFonts w:ascii="Times New Roman" w:hAnsi="Times New Roman" w:cs="Times New Roman"/>
          <w:sz w:val="24"/>
        </w:rPr>
        <w:t xml:space="preserve">iu wahały się w granicach </w:t>
      </w:r>
      <w:r w:rsidR="009821E2" w:rsidRPr="00BE6FA1">
        <w:rPr>
          <w:rFonts w:ascii="Times New Roman" w:hAnsi="Times New Roman" w:cs="Times New Roman"/>
          <w:sz w:val="24"/>
        </w:rPr>
        <w:br/>
      </w:r>
      <w:r w:rsidR="00E76E63" w:rsidRPr="00BE6FA1">
        <w:rPr>
          <w:rFonts w:ascii="Times New Roman" w:hAnsi="Times New Roman" w:cs="Times New Roman"/>
          <w:sz w:val="24"/>
        </w:rPr>
        <w:t>0,0035</w:t>
      </w:r>
      <w:r w:rsidR="009821E2" w:rsidRPr="00BE6FA1">
        <w:rPr>
          <w:rFonts w:ascii="Times New Roman" w:hAnsi="Times New Roman" w:cs="Times New Roman"/>
          <w:sz w:val="24"/>
        </w:rPr>
        <w:t xml:space="preserve"> – 0,003</w:t>
      </w:r>
      <w:r w:rsidR="00EB674A" w:rsidRPr="00BE6FA1">
        <w:rPr>
          <w:rFonts w:ascii="Times New Roman" w:hAnsi="Times New Roman" w:cs="Times New Roman"/>
          <w:sz w:val="24"/>
        </w:rPr>
        <w:t>μg/m</w:t>
      </w:r>
      <w:r w:rsidR="00EB674A" w:rsidRPr="00BE6FA1">
        <w:rPr>
          <w:rFonts w:ascii="Times New Roman" w:hAnsi="Times New Roman" w:cs="Times New Roman"/>
          <w:sz w:val="24"/>
          <w:vertAlign w:val="superscript"/>
        </w:rPr>
        <w:t>3</w:t>
      </w:r>
      <w:r w:rsidR="00EB674A" w:rsidRPr="00BE6FA1">
        <w:rPr>
          <w:rFonts w:ascii="Times New Roman" w:hAnsi="Times New Roman" w:cs="Times New Roman"/>
          <w:sz w:val="24"/>
        </w:rPr>
        <w:t>.</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lastRenderedPageBreak/>
        <w:t xml:space="preserve">Opierając się na wynikach pomiarów ze stacji monitoringu powietrza oraz wynikach modelowania rozkładu stężeń ołowiu dokonano klasyfikacji </w:t>
      </w:r>
      <w:r w:rsidR="00AF1FF5" w:rsidRPr="00BE6FA1">
        <w:rPr>
          <w:rFonts w:ascii="Times New Roman" w:hAnsi="Times New Roman" w:cs="Times New Roman"/>
          <w:sz w:val="24"/>
        </w:rPr>
        <w:t xml:space="preserve">stref </w:t>
      </w:r>
      <w:r w:rsidRPr="00BE6FA1">
        <w:rPr>
          <w:rFonts w:ascii="Times New Roman" w:hAnsi="Times New Roman" w:cs="Times New Roman"/>
          <w:sz w:val="24"/>
        </w:rPr>
        <w:t xml:space="preserve">w województwie podkarpackim ze względu na zanieczyszczenie powietrza atmosferycznego w kryterium ochrony zdrowia. Strefy miasto Rzeszów i podkarpacka zakwalifikowane zostały do klasy </w:t>
      </w:r>
      <w:r w:rsidR="00AF1FF5" w:rsidRPr="00BE6FA1">
        <w:rPr>
          <w:rFonts w:ascii="Times New Roman" w:hAnsi="Times New Roman" w:cs="Times New Roman"/>
          <w:sz w:val="24"/>
        </w:rPr>
        <w:br/>
      </w:r>
      <w:r w:rsidRPr="00BE6FA1">
        <w:rPr>
          <w:rFonts w:ascii="Times New Roman" w:hAnsi="Times New Roman" w:cs="Times New Roman"/>
          <w:sz w:val="24"/>
        </w:rPr>
        <w:t>A co oznacza, że na terenie województwa nie wystąpiło zagrożenie przekroczenia wartości dopus</w:t>
      </w:r>
      <w:r w:rsidR="00AF1FF5" w:rsidRPr="00BE6FA1">
        <w:rPr>
          <w:rFonts w:ascii="Times New Roman" w:hAnsi="Times New Roman" w:cs="Times New Roman"/>
          <w:sz w:val="24"/>
        </w:rPr>
        <w:t xml:space="preserve">zczalnej, ustalonej dla ołowiu </w:t>
      </w:r>
      <w:r w:rsidRPr="00BE6FA1">
        <w:rPr>
          <w:rFonts w:ascii="Times New Roman" w:hAnsi="Times New Roman" w:cs="Times New Roman"/>
          <w:sz w:val="24"/>
        </w:rPr>
        <w:t>w powietrzu.</w:t>
      </w:r>
    </w:p>
    <w:p w:rsidR="00EB674A" w:rsidRPr="00BE6FA1" w:rsidRDefault="00EB674A" w:rsidP="003A27DA">
      <w:pPr>
        <w:spacing w:after="0" w:line="360" w:lineRule="auto"/>
        <w:ind w:firstLine="708"/>
        <w:jc w:val="both"/>
        <w:rPr>
          <w:rFonts w:ascii="Times New Roman" w:hAnsi="Times New Roman" w:cs="Times New Roman"/>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t>Benzo(a)piren</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Badania benzo(a)pirenu prowadzone w wojewódzkiej sieci monitoringu jakości powietrza w 2014 r. wykazały przekroczenie wartości docelowej we wszystkich punktach pomiarowych. Najwyższe średnioroczne stężenie benzo(a)</w:t>
      </w:r>
      <w:r w:rsidR="008F12B5" w:rsidRPr="00BE6FA1">
        <w:rPr>
          <w:rFonts w:ascii="Times New Roman" w:hAnsi="Times New Roman" w:cs="Times New Roman"/>
          <w:sz w:val="24"/>
        </w:rPr>
        <w:t>piren</w:t>
      </w:r>
      <w:r w:rsidRPr="00BE6FA1">
        <w:rPr>
          <w:rFonts w:ascii="Times New Roman" w:hAnsi="Times New Roman" w:cs="Times New Roman"/>
          <w:sz w:val="24"/>
        </w:rPr>
        <w:t xml:space="preserve"> wynoszące 3,4 ng/m</w:t>
      </w:r>
      <w:r w:rsidRPr="00BE6FA1">
        <w:rPr>
          <w:rFonts w:ascii="Times New Roman" w:hAnsi="Times New Roman" w:cs="Times New Roman"/>
          <w:sz w:val="24"/>
          <w:vertAlign w:val="superscript"/>
        </w:rPr>
        <w:t>3</w:t>
      </w:r>
      <w:r w:rsidR="00563D06" w:rsidRPr="00BE6FA1">
        <w:rPr>
          <w:rFonts w:ascii="Times New Roman" w:hAnsi="Times New Roman" w:cs="Times New Roman"/>
          <w:sz w:val="24"/>
          <w:vertAlign w:val="superscript"/>
        </w:rPr>
        <w:br/>
      </w:r>
      <w:r w:rsidRPr="00BE6FA1">
        <w:rPr>
          <w:rFonts w:ascii="Times New Roman" w:hAnsi="Times New Roman" w:cs="Times New Roman"/>
          <w:sz w:val="24"/>
        </w:rPr>
        <w:t>(340% poziomu odniesienia) odnotowano w Nisku. W pozostałych punktach pomiarowych średnioroczne stężenia benzo(a)</w:t>
      </w:r>
      <w:r w:rsidR="008F12B5" w:rsidRPr="00BE6FA1">
        <w:rPr>
          <w:rFonts w:ascii="Times New Roman" w:hAnsi="Times New Roman" w:cs="Times New Roman"/>
          <w:sz w:val="24"/>
        </w:rPr>
        <w:t>piren</w:t>
      </w:r>
      <w:r w:rsidRPr="00BE6FA1">
        <w:rPr>
          <w:rFonts w:ascii="Times New Roman" w:hAnsi="Times New Roman" w:cs="Times New Roman"/>
          <w:sz w:val="24"/>
        </w:rPr>
        <w:t xml:space="preserve"> zawierały się w przedziale 2,7-3,3 ng/m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w:t>
      </w:r>
      <w:r w:rsidR="008F12B5" w:rsidRPr="00BE6FA1">
        <w:rPr>
          <w:rFonts w:ascii="Times New Roman" w:hAnsi="Times New Roman" w:cs="Times New Roman"/>
          <w:sz w:val="24"/>
        </w:rPr>
        <w:br/>
      </w:r>
      <w:r w:rsidRPr="00BE6FA1">
        <w:rPr>
          <w:rFonts w:ascii="Times New Roman" w:hAnsi="Times New Roman" w:cs="Times New Roman"/>
          <w:sz w:val="24"/>
        </w:rPr>
        <w:t>(270-330% wartości docelowej). W strefie podkarpackiej stężenia średniotygodniowe benzo(a)</w:t>
      </w:r>
      <w:r w:rsidR="008F12B5" w:rsidRPr="00BE6FA1">
        <w:rPr>
          <w:rFonts w:ascii="Times New Roman" w:hAnsi="Times New Roman" w:cs="Times New Roman"/>
          <w:sz w:val="24"/>
        </w:rPr>
        <w:t>piren</w:t>
      </w:r>
      <w:r w:rsidRPr="00BE6FA1">
        <w:rPr>
          <w:rFonts w:ascii="Times New Roman" w:hAnsi="Times New Roman" w:cs="Times New Roman"/>
          <w:sz w:val="24"/>
        </w:rPr>
        <w:t xml:space="preserve"> na stacjach monitoringu powietrza zawierały się w przedziale 0,1-18,4 ng/m</w:t>
      </w:r>
      <w:r w:rsidRPr="00BE6FA1">
        <w:rPr>
          <w:rFonts w:ascii="Times New Roman" w:hAnsi="Times New Roman" w:cs="Times New Roman"/>
          <w:sz w:val="24"/>
          <w:vertAlign w:val="superscript"/>
        </w:rPr>
        <w:t>3</w:t>
      </w:r>
      <w:r w:rsidRPr="00BE6FA1">
        <w:rPr>
          <w:rFonts w:ascii="Times New Roman" w:hAnsi="Times New Roman" w:cs="Times New Roman"/>
          <w:sz w:val="24"/>
        </w:rPr>
        <w:t>.</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Wyniki modelowania zanieczyszczenia powietrza benzo(a)</w:t>
      </w:r>
      <w:r w:rsidR="008F12B5" w:rsidRPr="00BE6FA1">
        <w:rPr>
          <w:rFonts w:ascii="Times New Roman" w:hAnsi="Times New Roman" w:cs="Times New Roman"/>
          <w:sz w:val="24"/>
        </w:rPr>
        <w:t>piren</w:t>
      </w:r>
      <w:r w:rsidRPr="00BE6FA1">
        <w:rPr>
          <w:rFonts w:ascii="Times New Roman" w:hAnsi="Times New Roman" w:cs="Times New Roman"/>
          <w:sz w:val="24"/>
        </w:rPr>
        <w:t xml:space="preserve">, wykazały przekroczenia poziomu docelowego na znacznych obszarach województwa, zarówno </w:t>
      </w:r>
      <w:r w:rsidR="009821E2" w:rsidRPr="00BE6FA1">
        <w:rPr>
          <w:rFonts w:ascii="Times New Roman" w:hAnsi="Times New Roman" w:cs="Times New Roman"/>
          <w:sz w:val="24"/>
        </w:rPr>
        <w:br/>
      </w:r>
      <w:r w:rsidRPr="00BE6FA1">
        <w:rPr>
          <w:rFonts w:ascii="Times New Roman" w:hAnsi="Times New Roman" w:cs="Times New Roman"/>
          <w:sz w:val="24"/>
        </w:rPr>
        <w:t xml:space="preserve">na terenach miejskich jak i wiejskich. Wartości stężeń średniorocznych B(a)P określone </w:t>
      </w:r>
      <w:r w:rsidRPr="00BE6FA1">
        <w:rPr>
          <w:rFonts w:ascii="Times New Roman" w:hAnsi="Times New Roman" w:cs="Times New Roman"/>
          <w:sz w:val="24"/>
        </w:rPr>
        <w:br/>
      </w:r>
      <w:r w:rsidRPr="00BE6FA1">
        <w:rPr>
          <w:rFonts w:ascii="Times New Roman" w:hAnsi="Times New Roman" w:cs="Times New Roman"/>
          <w:sz w:val="24"/>
          <w:szCs w:val="24"/>
        </w:rPr>
        <w:t>w modelowaniu zawierały się w przedziale 0,4-6,8 ng/m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(40-680% poziomu docelowego).</w:t>
      </w:r>
    </w:p>
    <w:p w:rsidR="00EB674A" w:rsidRPr="00BE6FA1" w:rsidRDefault="00EB674A" w:rsidP="003A27DA">
      <w:pPr>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Wartości stężeń średni</w:t>
      </w:r>
      <w:r w:rsidR="009821E2" w:rsidRPr="00BE6FA1">
        <w:rPr>
          <w:rFonts w:ascii="Times New Roman" w:hAnsi="Times New Roman" w:cs="Times New Roman"/>
          <w:sz w:val="24"/>
          <w:szCs w:val="24"/>
        </w:rPr>
        <w:t>orocznych B(a)P w Gminie Kańczuga</w:t>
      </w:r>
      <w:r w:rsidR="00AA4389" w:rsidRPr="00BE6FA1">
        <w:rPr>
          <w:rFonts w:ascii="Times New Roman" w:hAnsi="Times New Roman" w:cs="Times New Roman"/>
          <w:sz w:val="24"/>
          <w:szCs w:val="24"/>
        </w:rPr>
        <w:t xml:space="preserve"> określone </w:t>
      </w:r>
      <w:r w:rsidR="00AA4389" w:rsidRPr="00BE6FA1">
        <w:rPr>
          <w:rFonts w:ascii="Times New Roman" w:hAnsi="Times New Roman" w:cs="Times New Roman"/>
          <w:sz w:val="24"/>
          <w:szCs w:val="24"/>
        </w:rPr>
        <w:br/>
      </w:r>
      <w:r w:rsidRPr="00BE6FA1">
        <w:rPr>
          <w:rFonts w:ascii="Times New Roman" w:hAnsi="Times New Roman" w:cs="Times New Roman"/>
          <w:sz w:val="24"/>
          <w:szCs w:val="24"/>
        </w:rPr>
        <w:t>w modelowaniu zawi</w:t>
      </w:r>
      <w:r w:rsidR="009821E2" w:rsidRPr="00BE6FA1">
        <w:rPr>
          <w:rFonts w:ascii="Times New Roman" w:hAnsi="Times New Roman" w:cs="Times New Roman"/>
          <w:sz w:val="24"/>
          <w:szCs w:val="24"/>
        </w:rPr>
        <w:t>erały się w przedziale 0,9 – 1,6</w:t>
      </w:r>
      <w:r w:rsidRPr="00BE6FA1">
        <w:rPr>
          <w:rFonts w:ascii="Times New Roman" w:hAnsi="Times New Roman" w:cs="Times New Roman"/>
          <w:sz w:val="24"/>
          <w:szCs w:val="24"/>
        </w:rPr>
        <w:t>ng/m</w:t>
      </w:r>
      <w:r w:rsidRPr="00BE6FA1">
        <w:rPr>
          <w:rFonts w:ascii="Times New Roman" w:hAnsi="Times New Roman" w:cs="Times New Roman"/>
          <w:sz w:val="24"/>
          <w:szCs w:val="24"/>
          <w:vertAlign w:val="superscript"/>
        </w:rPr>
        <w:t>3</w:t>
      </w:r>
    </w:p>
    <w:p w:rsidR="00EB674A" w:rsidRPr="00BE6FA1" w:rsidRDefault="00605A87" w:rsidP="003A27DA">
      <w:pPr>
        <w:keepNext/>
        <w:spacing w:after="0" w:line="36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7088" behindDoc="0" locked="0" layoutInCell="1" allowOverlap="1">
                <wp:simplePos x="0" y="0"/>
                <wp:positionH relativeFrom="column">
                  <wp:posOffset>645795</wp:posOffset>
                </wp:positionH>
                <wp:positionV relativeFrom="paragraph">
                  <wp:posOffset>4780915</wp:posOffset>
                </wp:positionV>
                <wp:extent cx="4469130" cy="389890"/>
                <wp:effectExtent l="2540" t="3810" r="0" b="0"/>
                <wp:wrapTopAndBottom/>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13D" w:rsidRPr="00347FC0" w:rsidRDefault="000D713D" w:rsidP="00347FC0">
                            <w:pPr>
                              <w:pStyle w:val="Legenda"/>
                              <w:jc w:val="center"/>
                              <w:rPr>
                                <w:rFonts w:ascii="Times New Roman" w:hAnsi="Times New Roman" w:cs="Times New Roman"/>
                                <w:noProof/>
                                <w:color w:val="auto"/>
                              </w:rPr>
                            </w:pPr>
                            <w:bookmarkStart w:id="105" w:name="_Toc445289847"/>
                            <w:r w:rsidRPr="00347FC0">
                              <w:rPr>
                                <w:rFonts w:ascii="Times New Roman" w:hAnsi="Times New Roman" w:cs="Times New Roman"/>
                                <w:color w:val="auto"/>
                              </w:rPr>
                              <w:t xml:space="preserve">Rysunek </w:t>
                            </w:r>
                            <w:r w:rsidRPr="00347FC0">
                              <w:rPr>
                                <w:rFonts w:ascii="Times New Roman" w:hAnsi="Times New Roman" w:cs="Times New Roman"/>
                                <w:color w:val="auto"/>
                              </w:rPr>
                              <w:fldChar w:fldCharType="begin"/>
                            </w:r>
                            <w:r w:rsidRPr="00347FC0">
                              <w:rPr>
                                <w:rFonts w:ascii="Times New Roman" w:hAnsi="Times New Roman" w:cs="Times New Roman"/>
                                <w:color w:val="auto"/>
                              </w:rPr>
                              <w:instrText xml:space="preserve"> SEQ Rysunek \* ARABIC </w:instrText>
                            </w:r>
                            <w:r w:rsidRPr="00347FC0">
                              <w:rPr>
                                <w:rFonts w:ascii="Times New Roman" w:hAnsi="Times New Roman" w:cs="Times New Roman"/>
                                <w:color w:val="auto"/>
                              </w:rPr>
                              <w:fldChar w:fldCharType="separate"/>
                            </w:r>
                            <w:r>
                              <w:rPr>
                                <w:rFonts w:ascii="Times New Roman" w:hAnsi="Times New Roman" w:cs="Times New Roman"/>
                                <w:noProof/>
                                <w:color w:val="auto"/>
                              </w:rPr>
                              <w:t>34</w:t>
                            </w:r>
                            <w:r w:rsidRPr="00347FC0">
                              <w:rPr>
                                <w:rFonts w:ascii="Times New Roman" w:hAnsi="Times New Roman" w:cs="Times New Roman"/>
                                <w:color w:val="auto"/>
                              </w:rPr>
                              <w:fldChar w:fldCharType="end"/>
                            </w:r>
                            <w:r w:rsidRPr="00347FC0">
                              <w:rPr>
                                <w:rFonts w:ascii="Times New Roman" w:hAnsi="Times New Roman" w:cs="Times New Roman"/>
                                <w:color w:val="auto"/>
                              </w:rPr>
                              <w:t>. Rozkład stężeń średniorocznych benzo(a)pirenu w województwie podkarpackim w 2014 r.</w:t>
                            </w:r>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left:0;text-align:left;margin-left:50.85pt;margin-top:376.45pt;width:351.9pt;height:3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vffgIAAAkFAAAOAAAAZHJzL2Uyb0RvYy54bWysVNuO2yAQfa/Uf0C8Z20nThpb66z2UleV&#10;thdptx9AAMeoGCiQ2Nuq/94Bx9nttpWqqn7AAwyHmTlnOL8YOokO3DqhVYWzsxQjrqhmQu0q/Om+&#10;nq0xcp4oRqRWvMIP3OGLzcsX570p+Vy3WjJuEYAoV/amwq33pkwSR1veEXemDVew2WjbEQ9Tu0uY&#10;JT2gdzKZp+kq6bVlxmrKnYPVm3ETbyJ+03DqPzSN4x7JCkNsPo42jtswJptzUu4sMa2gxzDIP0TR&#10;EaHg0hPUDfEE7a34BaoT1GqnG39GdZfophGUxxwgmyx9ls1dSwyPuUBxnDmVyf0/WPr+8NEiwSq8&#10;XGCkSAcc3fPBoys9oEUR6tMbV4LbnQFHP8A68BxzdeZW088OKX3dErXjl9bqvuWEQXxZOJk8OTri&#10;uACy7d9pBveQvdcRaGhsF4oH5UCADjw9nLgJsVBYzPNVkS1gi8LeYl2si0heQsrptLHOv+G6Q8Go&#10;sAXuIzo53DofoiHl5BIuc1oKVgsp48TuttfSogMBndTxiwk8c5MqOCsdjo2I4woECXeEvRBu5P1b&#10;kc3z9GpezOrV+tUsr/PlrHiVrmdpVlwVqzQv8pv6ewgwy8tWMMbVrVB80mCW/x3Hx24Y1RNViPoK&#10;F8v5cqToj0mm8ftdkp3w0JJSdBVen5xIGYh9rRikTUpPhBzt5OfwY5WhBtM/ViXKIDA/asAP2yEq&#10;bh5FEjSy1ewBhGE18AYUw3sCRqvtV4x66M0Kuy97YjlG8q0CcYVGngw7GdvJIIrC0Qp7jEbz2o8N&#10;vzdW7FpAnuR7CQKsRdTGYxRH2UK/xSSOb0No6Kfz6PX4gm1+AAAA//8DAFBLAwQUAAYACAAAACEA&#10;j5BCteIAAAALAQAADwAAAGRycy9kb3ducmV2LnhtbEyPsU7DMBCGdyTewTokFkTttElbQpyqqmCA&#10;pSJ0YXNjNw7E5yh22vD2HBNs9+s+/fddsZlcx85mCK1HCclMADNYe91iI+Hw/ny/BhaiQq06j0bC&#10;twmwKa+vCpVrf8E3c65iw6gEQ64k2Bj7nPNQW+NUmPneIO1OfnAqUhwargd1oXLX8bkQS+5Ui3TB&#10;qt7srKm/qtFJ2Kcfe3s3np5et+lieDmMu+VnU0l5ezNtH4FFM8U/GH71SR1Kcjr6EXVgHWWRrAiV&#10;sMrmD8CIWIssA3akIUkXwMuC//+h/AEAAP//AwBQSwECLQAUAAYACAAAACEAtoM4kv4AAADhAQAA&#10;EwAAAAAAAAAAAAAAAAAAAAAAW0NvbnRlbnRfVHlwZXNdLnhtbFBLAQItABQABgAIAAAAIQA4/SH/&#10;1gAAAJQBAAALAAAAAAAAAAAAAAAAAC8BAABfcmVscy8ucmVsc1BLAQItABQABgAIAAAAIQDHdwvf&#10;fgIAAAkFAAAOAAAAAAAAAAAAAAAAAC4CAABkcnMvZTJvRG9jLnhtbFBLAQItABQABgAIAAAAIQCP&#10;kEK14gAAAAsBAAAPAAAAAAAAAAAAAAAAANgEAABkcnMvZG93bnJldi54bWxQSwUGAAAAAAQABADz&#10;AAAA5wUAAAAA&#10;" stroked="f">
                <v:textbox style="mso-fit-shape-to-text:t" inset="0,0,0,0">
                  <w:txbxContent>
                    <w:p w:rsidR="000D713D" w:rsidRPr="00347FC0" w:rsidRDefault="000D713D" w:rsidP="00347FC0">
                      <w:pPr>
                        <w:pStyle w:val="Legenda"/>
                        <w:jc w:val="center"/>
                        <w:rPr>
                          <w:rFonts w:ascii="Times New Roman" w:hAnsi="Times New Roman" w:cs="Times New Roman"/>
                          <w:noProof/>
                          <w:color w:val="auto"/>
                        </w:rPr>
                      </w:pPr>
                      <w:bookmarkStart w:id="106" w:name="_Toc445289847"/>
                      <w:r w:rsidRPr="00347FC0">
                        <w:rPr>
                          <w:rFonts w:ascii="Times New Roman" w:hAnsi="Times New Roman" w:cs="Times New Roman"/>
                          <w:color w:val="auto"/>
                        </w:rPr>
                        <w:t xml:space="preserve">Rysunek </w:t>
                      </w:r>
                      <w:r w:rsidRPr="00347FC0">
                        <w:rPr>
                          <w:rFonts w:ascii="Times New Roman" w:hAnsi="Times New Roman" w:cs="Times New Roman"/>
                          <w:color w:val="auto"/>
                        </w:rPr>
                        <w:fldChar w:fldCharType="begin"/>
                      </w:r>
                      <w:r w:rsidRPr="00347FC0">
                        <w:rPr>
                          <w:rFonts w:ascii="Times New Roman" w:hAnsi="Times New Roman" w:cs="Times New Roman"/>
                          <w:color w:val="auto"/>
                        </w:rPr>
                        <w:instrText xml:space="preserve"> SEQ Rysunek \* ARABIC </w:instrText>
                      </w:r>
                      <w:r w:rsidRPr="00347FC0">
                        <w:rPr>
                          <w:rFonts w:ascii="Times New Roman" w:hAnsi="Times New Roman" w:cs="Times New Roman"/>
                          <w:color w:val="auto"/>
                        </w:rPr>
                        <w:fldChar w:fldCharType="separate"/>
                      </w:r>
                      <w:r>
                        <w:rPr>
                          <w:rFonts w:ascii="Times New Roman" w:hAnsi="Times New Roman" w:cs="Times New Roman"/>
                          <w:noProof/>
                          <w:color w:val="auto"/>
                        </w:rPr>
                        <w:t>34</w:t>
                      </w:r>
                      <w:r w:rsidRPr="00347FC0">
                        <w:rPr>
                          <w:rFonts w:ascii="Times New Roman" w:hAnsi="Times New Roman" w:cs="Times New Roman"/>
                          <w:color w:val="auto"/>
                        </w:rPr>
                        <w:fldChar w:fldCharType="end"/>
                      </w:r>
                      <w:r w:rsidRPr="00347FC0">
                        <w:rPr>
                          <w:rFonts w:ascii="Times New Roman" w:hAnsi="Times New Roman" w:cs="Times New Roman"/>
                          <w:color w:val="auto"/>
                        </w:rPr>
                        <w:t>. Rozkład stężeń średniorocznych benzo(a)pirenu w województwie podkarpackim w 2014 r.</w:t>
                      </w:r>
                      <w:bookmarkEnd w:id="106"/>
                    </w:p>
                  </w:txbxContent>
                </v:textbox>
                <w10:wrap type="topAndBottom"/>
              </v:shape>
            </w:pict>
          </mc:Fallback>
        </mc:AlternateContent>
      </w:r>
      <w:r w:rsidR="00EB674A" w:rsidRPr="00BE6FA1">
        <w:rPr>
          <w:rFonts w:ascii="Times New Roman" w:hAnsi="Times New Roman" w:cs="Times New Roman"/>
          <w:noProof/>
        </w:rPr>
        <w:drawing>
          <wp:anchor distT="0" distB="127000" distL="0" distR="0" simplePos="0" relativeHeight="251681792" behindDoc="0" locked="0" layoutInCell="1" allowOverlap="1" wp14:anchorId="6CF98530" wp14:editId="3B77844A">
            <wp:simplePos x="0" y="0"/>
            <wp:positionH relativeFrom="column">
              <wp:align>center</wp:align>
            </wp:positionH>
            <wp:positionV relativeFrom="paragraph">
              <wp:align>top</wp:align>
            </wp:positionV>
            <wp:extent cx="4469130" cy="4723765"/>
            <wp:effectExtent l="0" t="0" r="0" b="0"/>
            <wp:wrapTopAndBottom/>
            <wp:docPr id="41" name="Obraz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26"/>
                    <pic:cNvPicPr>
                      <a:picLocks noChangeAspect="1" noChangeArrowheads="1"/>
                    </pic:cNvPicPr>
                  </pic:nvPicPr>
                  <pic:blipFill>
                    <a:blip r:embed="rId51" cstate="print"/>
                    <a:stretch>
                      <a:fillRect/>
                    </a:stretch>
                  </pic:blipFill>
                  <pic:spPr bwMode="auto">
                    <a:xfrm>
                      <a:off x="0" y="0"/>
                      <a:ext cx="4469130" cy="4723765"/>
                    </a:xfrm>
                    <a:prstGeom prst="rect">
                      <a:avLst/>
                    </a:prstGeom>
                  </pic:spPr>
                </pic:pic>
              </a:graphicData>
            </a:graphic>
          </wp:anchor>
        </w:drawing>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 xml:space="preserve">Po przeanalizowaniu wyników pomiarów ze stacji monitoringu powietrza </w:t>
      </w:r>
      <w:r w:rsidR="009821E2" w:rsidRPr="00BE6FA1">
        <w:rPr>
          <w:rFonts w:ascii="Times New Roman" w:hAnsi="Times New Roman" w:cs="Times New Roman"/>
          <w:sz w:val="24"/>
        </w:rPr>
        <w:br/>
      </w:r>
      <w:r w:rsidRPr="00BE6FA1">
        <w:rPr>
          <w:rFonts w:ascii="Times New Roman" w:hAnsi="Times New Roman" w:cs="Times New Roman"/>
          <w:sz w:val="24"/>
        </w:rPr>
        <w:t xml:space="preserve">oraz wyników modelowania, strefy miasto Rzeszów i </w:t>
      </w:r>
      <w:r w:rsidR="00563D06" w:rsidRPr="00BE6FA1">
        <w:rPr>
          <w:rFonts w:ascii="Times New Roman" w:hAnsi="Times New Roman" w:cs="Times New Roman"/>
          <w:sz w:val="24"/>
        </w:rPr>
        <w:t>Podkarpacia,</w:t>
      </w:r>
      <w:r w:rsidRPr="00BE6FA1">
        <w:rPr>
          <w:rFonts w:ascii="Times New Roman" w:hAnsi="Times New Roman" w:cs="Times New Roman"/>
          <w:sz w:val="24"/>
        </w:rPr>
        <w:t xml:space="preserve"> zakwalifikowane zostały do klasy C co oznacza, że na terenie województwa wystąpiło przekroczenie wartości docelowej ustalonej dla B(a)P w powietrzu w kryterium ochrony zdrowia. Łącznie </w:t>
      </w:r>
      <w:r w:rsidRPr="00BE6FA1">
        <w:rPr>
          <w:rFonts w:ascii="Times New Roman" w:hAnsi="Times New Roman" w:cs="Times New Roman"/>
          <w:sz w:val="24"/>
        </w:rPr>
        <w:br/>
        <w:t>w województwie podkarpackim wyznaczono 20 obszarów przekroczeń poziomu docelowego benzo(a)</w:t>
      </w:r>
      <w:r w:rsidR="008F12B5" w:rsidRPr="00BE6FA1">
        <w:rPr>
          <w:rFonts w:ascii="Times New Roman" w:hAnsi="Times New Roman" w:cs="Times New Roman"/>
          <w:sz w:val="24"/>
        </w:rPr>
        <w:t>piren</w:t>
      </w:r>
      <w:r w:rsidRPr="00BE6FA1">
        <w:rPr>
          <w:rFonts w:ascii="Times New Roman" w:hAnsi="Times New Roman" w:cs="Times New Roman"/>
          <w:sz w:val="24"/>
        </w:rPr>
        <w:t xml:space="preserve"> obejmujących swoim zasięgiem 1132,4 km</w:t>
      </w:r>
      <w:r w:rsidRPr="00BE6FA1">
        <w:rPr>
          <w:rFonts w:ascii="Times New Roman" w:hAnsi="Times New Roman" w:cs="Times New Roman"/>
          <w:sz w:val="24"/>
          <w:vertAlign w:val="superscript"/>
        </w:rPr>
        <w:t>2</w:t>
      </w:r>
      <w:r w:rsidR="008F12B5" w:rsidRPr="00BE6FA1">
        <w:rPr>
          <w:rFonts w:ascii="Times New Roman" w:hAnsi="Times New Roman" w:cs="Times New Roman"/>
          <w:sz w:val="24"/>
          <w:vertAlign w:val="superscript"/>
        </w:rPr>
        <w:t xml:space="preserve"> </w:t>
      </w:r>
      <w:r w:rsidRPr="00BE6FA1">
        <w:rPr>
          <w:rFonts w:ascii="Times New Roman" w:hAnsi="Times New Roman" w:cs="Times New Roman"/>
          <w:sz w:val="24"/>
        </w:rPr>
        <w:t xml:space="preserve">(6,4% województwa podkarpackiego). </w:t>
      </w: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 przypadku tego zanieczyszczenia dominowały dwa typy emisji powierzchniowa oraz napływowa. Na obszarach miejskich i wiejskich w pobliżu miast dominowała emisja powierzchniowa. Na pozostałym terenie województwa przeważała emisja napływowa.  </w:t>
      </w:r>
      <w:r w:rsidR="00563D06" w:rsidRPr="00BE6FA1">
        <w:rPr>
          <w:rFonts w:ascii="Times New Roman" w:hAnsi="Times New Roman" w:cs="Times New Roman"/>
          <w:sz w:val="24"/>
        </w:rPr>
        <w:br/>
      </w:r>
      <w:r w:rsidRPr="00BE6FA1">
        <w:rPr>
          <w:rFonts w:ascii="Times New Roman" w:hAnsi="Times New Roman" w:cs="Times New Roman"/>
          <w:sz w:val="24"/>
        </w:rPr>
        <w:t>Na wyznaczonych obszarach przekroczeń w zakresie B(a)P największy wpływ na wysokość stężeń miała emisja powierzchniowa.</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jc w:val="both"/>
        <w:rPr>
          <w:rFonts w:ascii="Times New Roman" w:hAnsi="Times New Roman" w:cs="Times New Roman"/>
          <w:b/>
          <w:sz w:val="24"/>
        </w:rPr>
      </w:pPr>
      <w:r w:rsidRPr="00BE6FA1">
        <w:rPr>
          <w:rFonts w:ascii="Times New Roman" w:hAnsi="Times New Roman" w:cs="Times New Roman"/>
          <w:b/>
          <w:sz w:val="24"/>
        </w:rPr>
        <w:lastRenderedPageBreak/>
        <w:t>Zanieczyszczenia wtórne-ozon</w:t>
      </w:r>
    </w:p>
    <w:p w:rsidR="00EB674A" w:rsidRPr="00BE6FA1" w:rsidRDefault="00EB674A" w:rsidP="003A27DA">
      <w:pPr>
        <w:spacing w:after="0" w:line="360" w:lineRule="auto"/>
        <w:jc w:val="both"/>
        <w:rPr>
          <w:rFonts w:ascii="Times New Roman" w:hAnsi="Times New Roman" w:cs="Times New Roman"/>
          <w:b/>
          <w:sz w:val="24"/>
        </w:rPr>
      </w:pPr>
    </w:p>
    <w:p w:rsidR="00EB674A" w:rsidRPr="00BE6FA1" w:rsidRDefault="00EB674A" w:rsidP="003A27DA">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 2014 r. na terenie województwa podkarpackiego pomiary stężeń ozonu </w:t>
      </w:r>
      <w:r w:rsidRPr="00BE6FA1">
        <w:rPr>
          <w:rFonts w:ascii="Times New Roman" w:hAnsi="Times New Roman" w:cs="Times New Roman"/>
          <w:sz w:val="24"/>
        </w:rPr>
        <w:br/>
        <w:t xml:space="preserve">w powietrzu atmosferycznym w kryterium ochrony zdrowia, prowadzone były w Jaśle </w:t>
      </w:r>
      <w:r w:rsidRPr="00BE6FA1">
        <w:rPr>
          <w:rFonts w:ascii="Times New Roman" w:hAnsi="Times New Roman" w:cs="Times New Roman"/>
          <w:sz w:val="24"/>
        </w:rPr>
        <w:br/>
        <w:t>i Rzeszowie.</w:t>
      </w:r>
    </w:p>
    <w:p w:rsidR="00EB674A" w:rsidRPr="00BE6FA1" w:rsidRDefault="00EB674A" w:rsidP="003A27DA">
      <w:pPr>
        <w:spacing w:after="0" w:line="360" w:lineRule="auto"/>
        <w:ind w:firstLine="708"/>
        <w:jc w:val="both"/>
        <w:rPr>
          <w:rFonts w:ascii="Times New Roman" w:hAnsi="Times New Roman" w:cs="Times New Roman"/>
        </w:rPr>
      </w:pPr>
      <w:r w:rsidRPr="00BE6FA1">
        <w:rPr>
          <w:rFonts w:ascii="Times New Roman" w:hAnsi="Times New Roman" w:cs="Times New Roman"/>
          <w:sz w:val="24"/>
        </w:rPr>
        <w:t>Wyniki modelowania stężeń ozonu troposferycznego wykazały, że w 2014 r. liczba dni z przekroczeniami wartości docelowej na obszarze województwa, nie przekroczyła 25 dni.  Najwięcej dni z maksymalną 8-godzinną średnią kroczącą wyższą od 120 μg/m</w:t>
      </w:r>
      <w:r w:rsidRPr="00BE6FA1">
        <w:rPr>
          <w:rFonts w:ascii="Times New Roman" w:hAnsi="Times New Roman" w:cs="Times New Roman"/>
          <w:sz w:val="24"/>
          <w:vertAlign w:val="superscript"/>
        </w:rPr>
        <w:t>3</w:t>
      </w:r>
      <w:r w:rsidRPr="00BE6FA1">
        <w:rPr>
          <w:rFonts w:ascii="Times New Roman" w:hAnsi="Times New Roman" w:cs="Times New Roman"/>
          <w:sz w:val="24"/>
        </w:rPr>
        <w:t xml:space="preserve"> (17 dni) zlokalizowano w południowo-zachodniej części województwa.  </w:t>
      </w:r>
    </w:p>
    <w:p w:rsidR="00EB674A" w:rsidRPr="00BE6FA1" w:rsidRDefault="009821E2" w:rsidP="00347FC0">
      <w:pPr>
        <w:spacing w:after="0" w:line="360" w:lineRule="auto"/>
        <w:ind w:firstLine="708"/>
        <w:jc w:val="both"/>
        <w:rPr>
          <w:rFonts w:ascii="Times New Roman" w:hAnsi="Times New Roman" w:cs="Times New Roman"/>
          <w:sz w:val="24"/>
        </w:rPr>
      </w:pPr>
      <w:r w:rsidRPr="00BE6FA1">
        <w:rPr>
          <w:rFonts w:ascii="Times New Roman" w:hAnsi="Times New Roman" w:cs="Times New Roman"/>
          <w:sz w:val="24"/>
        </w:rPr>
        <w:t>Na obszarze</w:t>
      </w:r>
      <w:r w:rsidR="001F0217" w:rsidRPr="00BE6FA1">
        <w:rPr>
          <w:rFonts w:ascii="Times New Roman" w:hAnsi="Times New Roman" w:cs="Times New Roman"/>
          <w:sz w:val="24"/>
        </w:rPr>
        <w:t xml:space="preserve"> Miasta i</w:t>
      </w:r>
      <w:r w:rsidRPr="00BE6FA1">
        <w:rPr>
          <w:rFonts w:ascii="Times New Roman" w:hAnsi="Times New Roman" w:cs="Times New Roman"/>
          <w:sz w:val="24"/>
        </w:rPr>
        <w:t xml:space="preserve"> Gminy Kańczuga</w:t>
      </w:r>
      <w:r w:rsidR="00EB674A" w:rsidRPr="00BE6FA1">
        <w:rPr>
          <w:rFonts w:ascii="Times New Roman" w:hAnsi="Times New Roman" w:cs="Times New Roman"/>
          <w:sz w:val="24"/>
        </w:rPr>
        <w:t xml:space="preserve"> liczba dni z przekroczeniami wartości doc</w:t>
      </w:r>
      <w:r w:rsidRPr="00BE6FA1">
        <w:rPr>
          <w:rFonts w:ascii="Times New Roman" w:hAnsi="Times New Roman" w:cs="Times New Roman"/>
          <w:sz w:val="24"/>
        </w:rPr>
        <w:t>elowej ozonu oscylowała między 0 – 6</w:t>
      </w:r>
      <w:r w:rsidR="00347FC0" w:rsidRPr="00BE6FA1">
        <w:rPr>
          <w:rFonts w:ascii="Times New Roman" w:hAnsi="Times New Roman" w:cs="Times New Roman"/>
          <w:sz w:val="24"/>
        </w:rPr>
        <w:t xml:space="preserve"> dni. </w:t>
      </w:r>
    </w:p>
    <w:p w:rsidR="00425222" w:rsidRPr="00BE6FA1" w:rsidRDefault="00425222" w:rsidP="00347FC0">
      <w:pPr>
        <w:spacing w:after="0" w:line="360" w:lineRule="auto"/>
        <w:ind w:firstLine="708"/>
        <w:jc w:val="both"/>
        <w:rPr>
          <w:rFonts w:ascii="Times New Roman" w:hAnsi="Times New Roman" w:cs="Times New Roman"/>
          <w:sz w:val="24"/>
        </w:rPr>
      </w:pPr>
    </w:p>
    <w:p w:rsidR="006E1D87" w:rsidRPr="00BE6FA1" w:rsidRDefault="006E1D87" w:rsidP="004E0FB5">
      <w:pPr>
        <w:pStyle w:val="Nagwek1"/>
        <w:spacing w:line="360" w:lineRule="auto"/>
        <w:rPr>
          <w:rFonts w:ascii="Times New Roman" w:hAnsi="Times New Roman" w:cs="Times New Roman"/>
          <w:color w:val="auto"/>
        </w:rPr>
      </w:pPr>
      <w:bookmarkStart w:id="107" w:name="_Toc442426521"/>
      <w:bookmarkStart w:id="108" w:name="_Toc449097739"/>
      <w:r w:rsidRPr="00BE6FA1">
        <w:rPr>
          <w:rFonts w:ascii="Times New Roman" w:hAnsi="Times New Roman" w:cs="Times New Roman"/>
          <w:color w:val="auto"/>
        </w:rPr>
        <w:t>Inwentaryzacja emisji dwutlenku węgla</w:t>
      </w:r>
      <w:bookmarkEnd w:id="107"/>
      <w:bookmarkEnd w:id="108"/>
    </w:p>
    <w:p w:rsidR="004E0FB5" w:rsidRPr="00BE6FA1" w:rsidRDefault="004E0FB5" w:rsidP="004E0FB5">
      <w:pPr>
        <w:rPr>
          <w:rFonts w:ascii="Times New Roman" w:hAnsi="Times New Roman" w:cs="Times New Roman"/>
        </w:rPr>
      </w:pPr>
    </w:p>
    <w:p w:rsidR="006E1D87" w:rsidRPr="00BE6FA1" w:rsidRDefault="006E1D87" w:rsidP="003A27DA">
      <w:pPr>
        <w:pStyle w:val="Nagwek2"/>
        <w:spacing w:after="120" w:line="360" w:lineRule="auto"/>
        <w:rPr>
          <w:rFonts w:ascii="Times New Roman" w:hAnsi="Times New Roman" w:cs="Times New Roman"/>
          <w:color w:val="auto"/>
        </w:rPr>
      </w:pPr>
      <w:bookmarkStart w:id="109" w:name="_Toc442426522"/>
      <w:bookmarkStart w:id="110" w:name="_Toc449097740"/>
      <w:r w:rsidRPr="00BE6FA1">
        <w:rPr>
          <w:rFonts w:ascii="Times New Roman" w:hAnsi="Times New Roman" w:cs="Times New Roman"/>
          <w:color w:val="auto"/>
        </w:rPr>
        <w:t>Metodologia inwentaryzacji</w:t>
      </w:r>
      <w:bookmarkEnd w:id="109"/>
      <w:bookmarkEnd w:id="110"/>
    </w:p>
    <w:p w:rsidR="006E1D87" w:rsidRPr="00BE6FA1" w:rsidRDefault="006E1D87" w:rsidP="003A27DA">
      <w:pPr>
        <w:autoSpaceDE w:val="0"/>
        <w:autoSpaceDN w:val="0"/>
        <w:adjustRightInd w:val="0"/>
        <w:spacing w:after="0" w:line="360" w:lineRule="auto"/>
        <w:ind w:firstLine="720"/>
        <w:jc w:val="both"/>
        <w:rPr>
          <w:rStyle w:val="Pogrubienie"/>
          <w:rFonts w:ascii="Times New Roman" w:hAnsi="Times New Roman" w:cs="Times New Roman"/>
          <w:b w:val="0"/>
          <w:sz w:val="24"/>
          <w:szCs w:val="24"/>
          <w:shd w:val="clear" w:color="auto" w:fill="FFFFFF"/>
        </w:rPr>
      </w:pPr>
      <w:r w:rsidRPr="00BE6FA1">
        <w:rPr>
          <w:rStyle w:val="Pogrubienie"/>
          <w:rFonts w:ascii="Times New Roman" w:hAnsi="Times New Roman" w:cs="Times New Roman"/>
          <w:b w:val="0"/>
          <w:sz w:val="24"/>
          <w:szCs w:val="24"/>
          <w:shd w:val="clear" w:color="auto" w:fill="FFFFFF"/>
        </w:rPr>
        <w:t xml:space="preserve">Dane na temat zużycia paliw i energii uzyskano na podstawie rozdysponowanych ankiet do mieszkańców </w:t>
      </w:r>
      <w:r w:rsidR="001F0217" w:rsidRPr="00BE6FA1">
        <w:rPr>
          <w:rStyle w:val="Pogrubienie"/>
          <w:rFonts w:ascii="Times New Roman" w:hAnsi="Times New Roman" w:cs="Times New Roman"/>
          <w:b w:val="0"/>
          <w:sz w:val="24"/>
          <w:szCs w:val="24"/>
          <w:shd w:val="clear" w:color="auto" w:fill="FFFFFF"/>
        </w:rPr>
        <w:t xml:space="preserve">Miasta i </w:t>
      </w:r>
      <w:r w:rsidRPr="00BE6FA1">
        <w:rPr>
          <w:rStyle w:val="Pogrubienie"/>
          <w:rFonts w:ascii="Times New Roman" w:hAnsi="Times New Roman" w:cs="Times New Roman"/>
          <w:b w:val="0"/>
          <w:sz w:val="24"/>
          <w:szCs w:val="24"/>
          <w:shd w:val="clear" w:color="auto" w:fill="FFFFFF"/>
        </w:rPr>
        <w:t>Gminy Kańczuga, przedsiębiorców, podmiotów usługowych, zarządzających budynkami użyteczności publicznej, spółdzielniami i wspólnotami mieszkaniowymi oraz obiektami sakralnymi. Na jej podstawie uzyskano takie informacje jak na przykład:</w:t>
      </w:r>
    </w:p>
    <w:p w:rsidR="006E1D87" w:rsidRPr="00BE6FA1" w:rsidRDefault="006E1D87"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wiek budynku,</w:t>
      </w:r>
    </w:p>
    <w:p w:rsidR="006E1D87" w:rsidRPr="00BE6FA1" w:rsidRDefault="006E1D87"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powierzchnia użytkowa budynku,</w:t>
      </w:r>
    </w:p>
    <w:p w:rsidR="006E1D87" w:rsidRPr="00BE6FA1" w:rsidRDefault="006E1D87"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źródła ogrzewania budynku i przygotowywania ciepłej wody użytkowej (rodzaj i wiek źródła ciepła, stosowane paliwo),</w:t>
      </w:r>
    </w:p>
    <w:p w:rsidR="006E1D87" w:rsidRPr="00BE6FA1" w:rsidRDefault="006E1D87"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orientacyjne zużycie paliw i energii na cele ogrzewania,</w:t>
      </w:r>
    </w:p>
    <w:p w:rsidR="006E1D87" w:rsidRPr="00BE6FA1" w:rsidRDefault="006E1D87" w:rsidP="003A27DA">
      <w:pPr>
        <w:shd w:val="clear" w:color="auto" w:fill="FFFFFF"/>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wykonane oraz planowane termomodernizacje budynku.</w:t>
      </w:r>
    </w:p>
    <w:p w:rsidR="004E0FB5" w:rsidRPr="00BE6FA1" w:rsidRDefault="006E1D87" w:rsidP="00425222">
      <w:pPr>
        <w:autoSpaceDE w:val="0"/>
        <w:autoSpaceDN w:val="0"/>
        <w:adjustRightInd w:val="0"/>
        <w:spacing w:after="0"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Wypełnienie ankiet nie było obowiązkowe, w związku z tym nie można było pozyskać ankiet od wszystkich mieszkańców i instytucji. Na podstawie obliczeń wynikających z próby odniesiono je do całkowitej liczby domów w gminie i ich łącznej powierzchni, następnie stworzono strukturę zużycia poszczególnych paliw na potrzeby grzewcze oraz obliczono ilość energii pierwotnej.</w:t>
      </w:r>
    </w:p>
    <w:p w:rsidR="006E1D87" w:rsidRPr="00BE6FA1" w:rsidRDefault="006E1D87"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Inwentaryzacja emisji zrealizowana na terenie </w:t>
      </w:r>
      <w:r w:rsidR="001F0217"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 miała na celu dostarczenie informacji niezbędnych do określenia wielkości emisji dwutlenku węgla pochodzącego ze spalania nośników energii. Umożliwiło to określenie głównych antropogenicznych źródeł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oraz zaplanowanie działań w celu jej redukcji. Podstawą do przygotowania inwentaryzacji stanowiły wytyczne zawarte w „Poradniku jak opracować Plan działań na rzecz zrównoważonej energii (SEAP)” </w:t>
      </w:r>
    </w:p>
    <w:p w:rsidR="006E1D87" w:rsidRPr="00BE6FA1" w:rsidRDefault="006E1D87" w:rsidP="003A27DA">
      <w:pPr>
        <w:spacing w:line="360" w:lineRule="auto"/>
        <w:ind w:firstLine="708"/>
        <w:jc w:val="both"/>
        <w:rPr>
          <w:rFonts w:ascii="Times New Roman" w:hAnsi="Times New Roman" w:cs="Times New Roman"/>
          <w:sz w:val="24"/>
        </w:rPr>
      </w:pPr>
      <w:r w:rsidRPr="00BE6FA1">
        <w:rPr>
          <w:rFonts w:ascii="Times New Roman" w:hAnsi="Times New Roman" w:cs="Times New Roman"/>
          <w:sz w:val="24"/>
        </w:rPr>
        <w:t xml:space="preserve">W  rozdziale  przedstawiono  metodologię  inwentaryzacji  emisji  ekwiwalentu  dwutlenku  węgla  oraz innych  analizowanych  substancji.  </w:t>
      </w:r>
    </w:p>
    <w:p w:rsidR="006E1D87" w:rsidRPr="00BE6FA1" w:rsidRDefault="006E1D87" w:rsidP="003A27DA">
      <w:pPr>
        <w:spacing w:line="360" w:lineRule="auto"/>
        <w:ind w:firstLine="360"/>
        <w:jc w:val="both"/>
        <w:rPr>
          <w:rFonts w:ascii="Times New Roman" w:hAnsi="Times New Roman" w:cs="Times New Roman"/>
          <w:sz w:val="24"/>
        </w:rPr>
      </w:pPr>
      <w:r w:rsidRPr="00BE6FA1">
        <w:rPr>
          <w:rFonts w:ascii="Times New Roman" w:hAnsi="Times New Roman" w:cs="Times New Roman"/>
          <w:sz w:val="24"/>
        </w:rPr>
        <w:t>Inwentaryzacja  obejmowała  następujące  obszary,  dla  których  zaplanowano kompleksowe działania:</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Budynki mieszkalne,</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Infrastruktura użyteczności publicznej,</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Spółdzielnie i wspólnoty mieszkaniowe,</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Obiekty sakralne,</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Oświetlenie uliczne,</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rPr>
      </w:pPr>
      <w:r w:rsidRPr="00BE6FA1">
        <w:rPr>
          <w:rFonts w:ascii="Times New Roman" w:hAnsi="Times New Roman" w:cs="Times New Roman"/>
          <w:sz w:val="24"/>
        </w:rPr>
        <w:t>Transport,</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Przemysł,</w:t>
      </w:r>
    </w:p>
    <w:p w:rsidR="006E1D87" w:rsidRPr="00BE6FA1" w:rsidRDefault="006E1D87" w:rsidP="009A7AFF">
      <w:pPr>
        <w:pStyle w:val="Akapitzlist"/>
        <w:numPr>
          <w:ilvl w:val="0"/>
          <w:numId w:val="2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Budynki usługowe (niekomunalne).</w:t>
      </w:r>
    </w:p>
    <w:p w:rsidR="00425222" w:rsidRPr="00BE6FA1" w:rsidRDefault="00425222" w:rsidP="00425222">
      <w:pPr>
        <w:spacing w:line="360" w:lineRule="auto"/>
        <w:jc w:val="both"/>
        <w:rPr>
          <w:rFonts w:ascii="Times New Roman" w:hAnsi="Times New Roman" w:cs="Times New Roman"/>
          <w:sz w:val="24"/>
          <w:szCs w:val="24"/>
        </w:rPr>
      </w:pPr>
    </w:p>
    <w:p w:rsidR="006E1D87" w:rsidRPr="00BE6FA1" w:rsidRDefault="006E1D87" w:rsidP="003A27DA">
      <w:pPr>
        <w:autoSpaceDE w:val="0"/>
        <w:autoSpaceDN w:val="0"/>
        <w:adjustRightInd w:val="0"/>
        <w:spacing w:after="0" w:line="360" w:lineRule="auto"/>
        <w:ind w:firstLine="360"/>
        <w:jc w:val="both"/>
        <w:rPr>
          <w:rFonts w:ascii="Times New Roman" w:hAnsi="Times New Roman" w:cs="Times New Roman"/>
          <w:sz w:val="24"/>
          <w:szCs w:val="24"/>
        </w:rPr>
      </w:pPr>
      <w:r w:rsidRPr="00BE6FA1">
        <w:rPr>
          <w:rFonts w:ascii="Times New Roman" w:hAnsi="Times New Roman" w:cs="Times New Roman"/>
          <w:sz w:val="24"/>
          <w:szCs w:val="24"/>
        </w:rPr>
        <w:t>Informacje, które były konieczne do przeprowadzenia inwentaryzacji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zgromadzono w 2016 roku. Rok 2015 jest to ostatni zamknięty rok kalendarzowy, </w:t>
      </w:r>
      <w:r w:rsidRPr="00BE6FA1">
        <w:rPr>
          <w:rFonts w:ascii="Times New Roman" w:hAnsi="Times New Roman" w:cs="Times New Roman"/>
          <w:sz w:val="24"/>
          <w:szCs w:val="24"/>
        </w:rPr>
        <w:br/>
        <w:t>w związku z tym przyjęty został jako rok bazowy, w którym ustalono wielkość zużycia energii oraz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w:t>
      </w:r>
    </w:p>
    <w:p w:rsidR="006E1D87" w:rsidRPr="00BE6FA1" w:rsidRDefault="006E1D87" w:rsidP="003A27DA">
      <w:pPr>
        <w:autoSpaceDE w:val="0"/>
        <w:autoSpaceDN w:val="0"/>
        <w:adjustRightInd w:val="0"/>
        <w:spacing w:after="0" w:line="360" w:lineRule="auto"/>
        <w:ind w:firstLine="360"/>
        <w:jc w:val="both"/>
        <w:rPr>
          <w:rFonts w:ascii="Times New Roman" w:hAnsi="Times New Roman" w:cs="Times New Roman"/>
          <w:sz w:val="24"/>
          <w:szCs w:val="24"/>
        </w:rPr>
      </w:pPr>
      <w:r w:rsidRPr="00BE6FA1">
        <w:rPr>
          <w:rFonts w:ascii="Times New Roman" w:hAnsi="Times New Roman" w:cs="Times New Roman"/>
          <w:sz w:val="24"/>
          <w:szCs w:val="24"/>
        </w:rPr>
        <w:t xml:space="preserve">Rok 2020 jest rokiem docelowym, dla którego prognozowana jest wielkość emisji, który stanowi jednocześnie horyzont czasowy dla założonego planu działań. </w:t>
      </w:r>
    </w:p>
    <w:p w:rsidR="007D126E" w:rsidRPr="00BE6FA1" w:rsidRDefault="007D126E" w:rsidP="003A27DA">
      <w:pPr>
        <w:autoSpaceDE w:val="0"/>
        <w:autoSpaceDN w:val="0"/>
        <w:adjustRightInd w:val="0"/>
        <w:spacing w:after="0" w:line="360" w:lineRule="auto"/>
        <w:ind w:firstLine="360"/>
        <w:jc w:val="both"/>
        <w:rPr>
          <w:rFonts w:ascii="Times New Roman" w:hAnsi="Times New Roman" w:cs="Times New Roman"/>
          <w:sz w:val="24"/>
          <w:szCs w:val="24"/>
        </w:rPr>
      </w:pPr>
      <w:r w:rsidRPr="00BE6FA1">
        <w:rPr>
          <w:rFonts w:ascii="Times New Roman" w:hAnsi="Times New Roman" w:cs="Times New Roman"/>
          <w:sz w:val="24"/>
        </w:rPr>
        <w:t>W inwentaryzacji nie uwzględniono wartości zużycia energii i emisji CO</w:t>
      </w:r>
      <w:r w:rsidRPr="00BE6FA1">
        <w:rPr>
          <w:rFonts w:ascii="Times New Roman" w:hAnsi="Times New Roman" w:cs="Times New Roman"/>
          <w:sz w:val="24"/>
          <w:vertAlign w:val="subscript"/>
        </w:rPr>
        <w:t xml:space="preserve">2 </w:t>
      </w:r>
      <w:r w:rsidRPr="00BE6FA1">
        <w:rPr>
          <w:rFonts w:ascii="Times New Roman" w:hAnsi="Times New Roman" w:cs="Times New Roman"/>
          <w:sz w:val="24"/>
        </w:rPr>
        <w:t>z transportu publicznego, ponieważ działania ujęte w Planie Gospodarki Niskoemisyjnej nie obejmują sektora transportu publicznego na terenie Miasta i Gminy Kańczuga.</w:t>
      </w:r>
      <w:r w:rsidR="00337C60" w:rsidRPr="00BE6FA1">
        <w:rPr>
          <w:rFonts w:ascii="Times New Roman" w:hAnsi="Times New Roman" w:cs="Times New Roman"/>
          <w:sz w:val="24"/>
        </w:rPr>
        <w:t xml:space="preserve"> </w:t>
      </w:r>
    </w:p>
    <w:p w:rsidR="006E1D87" w:rsidRPr="00BE6FA1" w:rsidRDefault="006E1D87" w:rsidP="003A27DA">
      <w:pPr>
        <w:spacing w:line="360" w:lineRule="auto"/>
        <w:rPr>
          <w:rFonts w:ascii="Times New Roman" w:hAnsi="Times New Roman" w:cs="Times New Roman"/>
        </w:rPr>
      </w:pPr>
    </w:p>
    <w:p w:rsidR="006E1D87" w:rsidRPr="00BE6FA1" w:rsidRDefault="006E1D87" w:rsidP="003A27DA">
      <w:pPr>
        <w:pStyle w:val="Nagwek2"/>
        <w:spacing w:line="360" w:lineRule="auto"/>
        <w:rPr>
          <w:rFonts w:ascii="Times New Roman" w:hAnsi="Times New Roman" w:cs="Times New Roman"/>
          <w:color w:val="auto"/>
        </w:rPr>
      </w:pPr>
      <w:bookmarkStart w:id="111" w:name="_Toc442426523"/>
      <w:bookmarkStart w:id="112" w:name="_Toc449097741"/>
      <w:r w:rsidRPr="00BE6FA1">
        <w:rPr>
          <w:rFonts w:ascii="Times New Roman" w:hAnsi="Times New Roman" w:cs="Times New Roman"/>
          <w:color w:val="auto"/>
        </w:rPr>
        <w:lastRenderedPageBreak/>
        <w:t>Wskaźniki i wielkości emisji</w:t>
      </w:r>
      <w:bookmarkEnd w:id="111"/>
      <w:bookmarkEnd w:id="112"/>
    </w:p>
    <w:p w:rsidR="006E1D87" w:rsidRPr="00BE6FA1" w:rsidRDefault="006E1D87" w:rsidP="003A27DA">
      <w:pPr>
        <w:spacing w:line="360" w:lineRule="auto"/>
        <w:rPr>
          <w:rFonts w:ascii="Times New Roman" w:hAnsi="Times New Roman" w:cs="Times New Roman"/>
        </w:rPr>
      </w:pPr>
    </w:p>
    <w:p w:rsidR="006E1D87" w:rsidRPr="00BE6FA1" w:rsidRDefault="006E1D87" w:rsidP="003A27DA">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Wartość wskaźników została określona na podstawie dokumentu KOBIZE: „Wartości opałowe (WO) i wskaźniki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(WE) w roku 2012 do raportowania </w:t>
      </w:r>
      <w:r w:rsidRPr="00BE6FA1">
        <w:rPr>
          <w:rFonts w:ascii="Times New Roman" w:hAnsi="Times New Roman" w:cs="Times New Roman"/>
          <w:sz w:val="24"/>
          <w:szCs w:val="24"/>
        </w:rPr>
        <w:br/>
        <w:t>w ramach Wspólnotowego Systemu Handlu Uprawnieniami do Emisji za rok 2015.”</w:t>
      </w:r>
    </w:p>
    <w:tbl>
      <w:tblPr>
        <w:tblStyle w:val="Tabela-Siatka"/>
        <w:tblW w:w="5000" w:type="pct"/>
        <w:jc w:val="center"/>
        <w:tblLook w:val="04A0" w:firstRow="1" w:lastRow="0" w:firstColumn="1" w:lastColumn="0" w:noHBand="0" w:noVBand="1"/>
      </w:tblPr>
      <w:tblGrid>
        <w:gridCol w:w="2754"/>
        <w:gridCol w:w="1446"/>
        <w:gridCol w:w="1812"/>
        <w:gridCol w:w="3050"/>
      </w:tblGrid>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Rodzaj paliwa</w:t>
            </w:r>
          </w:p>
        </w:tc>
        <w:tc>
          <w:tcPr>
            <w:tcW w:w="1798" w:type="pct"/>
            <w:gridSpan w:val="2"/>
            <w:vAlign w:val="center"/>
          </w:tcPr>
          <w:p w:rsidR="006E1D87" w:rsidRPr="00BE6FA1" w:rsidRDefault="006E1D8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Wartość opałowa</w:t>
            </w:r>
          </w:p>
        </w:tc>
        <w:tc>
          <w:tcPr>
            <w:tcW w:w="1683" w:type="pct"/>
            <w:vAlign w:val="center"/>
          </w:tcPr>
          <w:p w:rsidR="006E1D87" w:rsidRPr="00BE6FA1" w:rsidRDefault="006E1D8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Wielkość emisji</w:t>
            </w:r>
          </w:p>
          <w:p w:rsidR="006E1D87" w:rsidRPr="00BE6FA1" w:rsidRDefault="006E1D8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[kg/GJ]</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Benzyna</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44,80</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68,61</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Olej napędowy (w tym olej opałowy lekki)</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43,33</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73,33</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Oleje opałowe</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40,19</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76,59</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Drewno opałowe i odpady pochodzenia drzewnego</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15,60</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109,76</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Węgiel</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22,63</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94,73</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ciekły (LPG)</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47,31</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[MJ/kg]</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62,44</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798"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36,12</w:t>
            </w:r>
          </w:p>
        </w:tc>
        <w:tc>
          <w:tcPr>
            <w:tcW w:w="1000"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[MJ/m</w:t>
            </w:r>
            <w:r w:rsidRPr="00BE6FA1">
              <w:rPr>
                <w:rFonts w:ascii="Times New Roman" w:hAnsi="Times New Roman" w:cs="Times New Roman"/>
                <w:sz w:val="24"/>
                <w:szCs w:val="24"/>
                <w:vertAlign w:val="superscript"/>
              </w:rPr>
              <w:t>3</w:t>
            </w:r>
            <w:r w:rsidRPr="00BE6FA1">
              <w:rPr>
                <w:rFonts w:ascii="Times New Roman" w:hAnsi="Times New Roman" w:cs="Times New Roman"/>
                <w:sz w:val="24"/>
                <w:szCs w:val="24"/>
              </w:rPr>
              <w:t>]</w:t>
            </w:r>
          </w:p>
        </w:tc>
        <w:tc>
          <w:tcPr>
            <w:tcW w:w="1683"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55,82</w:t>
            </w:r>
          </w:p>
        </w:tc>
      </w:tr>
      <w:tr w:rsidR="006E1D87" w:rsidRPr="00BE6FA1" w:rsidTr="000418AB">
        <w:trPr>
          <w:jc w:val="center"/>
        </w:trPr>
        <w:tc>
          <w:tcPr>
            <w:tcW w:w="1519" w:type="pct"/>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798" w:type="pct"/>
            <w:gridSpan w:val="2"/>
            <w:vAlign w:val="center"/>
          </w:tcPr>
          <w:p w:rsidR="006E1D87" w:rsidRPr="00BE6FA1" w:rsidRDefault="006E1D8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t>
            </w:r>
          </w:p>
        </w:tc>
        <w:tc>
          <w:tcPr>
            <w:tcW w:w="1683" w:type="pct"/>
            <w:shd w:val="clear" w:color="auto" w:fill="auto"/>
            <w:vAlign w:val="center"/>
          </w:tcPr>
          <w:p w:rsidR="006E1D87" w:rsidRPr="00BE6FA1" w:rsidRDefault="006E1D87" w:rsidP="003A27DA">
            <w:pPr>
              <w:keepNext/>
              <w:spacing w:line="360" w:lineRule="auto"/>
              <w:jc w:val="center"/>
              <w:rPr>
                <w:rFonts w:ascii="Times New Roman" w:hAnsi="Times New Roman" w:cs="Times New Roman"/>
                <w:sz w:val="24"/>
                <w:szCs w:val="24"/>
              </w:rPr>
            </w:pPr>
            <w:r w:rsidRPr="00BE6FA1">
              <w:rPr>
                <w:rStyle w:val="Pogrubienie"/>
                <w:rFonts w:ascii="Times New Roman" w:hAnsi="Times New Roman" w:cs="Times New Roman"/>
                <w:b w:val="0"/>
                <w:sz w:val="24"/>
                <w:szCs w:val="24"/>
                <w:shd w:val="clear" w:color="auto" w:fill="FFFFFF"/>
              </w:rPr>
              <w:t>230,97</w:t>
            </w:r>
          </w:p>
        </w:tc>
      </w:tr>
    </w:tbl>
    <w:p w:rsidR="006E1D87" w:rsidRPr="00BE6FA1" w:rsidRDefault="006E1D87" w:rsidP="003A27DA">
      <w:pPr>
        <w:pStyle w:val="Legenda"/>
        <w:spacing w:line="360" w:lineRule="auto"/>
        <w:rPr>
          <w:rFonts w:ascii="Times New Roman" w:hAnsi="Times New Roman" w:cs="Times New Roman"/>
          <w:color w:val="auto"/>
          <w:sz w:val="24"/>
          <w:szCs w:val="24"/>
        </w:rPr>
      </w:pPr>
      <w:bookmarkStart w:id="113" w:name="_Toc439280127"/>
      <w:bookmarkStart w:id="114" w:name="_Toc445289857"/>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10</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Wartości opałowe (WO) i wskaźniki emisji CO</w:t>
      </w:r>
      <w:r w:rsidRPr="00BE6FA1">
        <w:rPr>
          <w:rFonts w:ascii="Times New Roman" w:hAnsi="Times New Roman" w:cs="Times New Roman"/>
          <w:color w:val="auto"/>
          <w:vertAlign w:val="subscript"/>
        </w:rPr>
        <w:t>2</w:t>
      </w:r>
      <w:bookmarkEnd w:id="113"/>
      <w:bookmarkEnd w:id="114"/>
    </w:p>
    <w:p w:rsidR="006E1D87" w:rsidRPr="00BE6FA1" w:rsidRDefault="006E1D87" w:rsidP="003A27DA">
      <w:pPr>
        <w:autoSpaceDE w:val="0"/>
        <w:autoSpaceDN w:val="0"/>
        <w:adjustRightInd w:val="0"/>
        <w:spacing w:after="0" w:line="360" w:lineRule="auto"/>
        <w:jc w:val="both"/>
        <w:rPr>
          <w:rFonts w:ascii="Times New Roman" w:hAnsi="Times New Roman" w:cs="Times New Roman"/>
          <w:bCs/>
          <w:sz w:val="24"/>
          <w:szCs w:val="24"/>
        </w:rPr>
      </w:pPr>
    </w:p>
    <w:p w:rsidR="006E1D87" w:rsidRPr="00BE6FA1" w:rsidRDefault="006E1D87" w:rsidP="003A27DA">
      <w:pPr>
        <w:autoSpaceDE w:val="0"/>
        <w:autoSpaceDN w:val="0"/>
        <w:adjustRightInd w:val="0"/>
        <w:spacing w:after="0" w:line="360" w:lineRule="auto"/>
        <w:ind w:firstLine="720"/>
        <w:jc w:val="both"/>
        <w:rPr>
          <w:rFonts w:ascii="Times New Roman" w:hAnsi="Times New Roman" w:cs="Times New Roman"/>
          <w:bCs/>
          <w:sz w:val="24"/>
          <w:szCs w:val="24"/>
        </w:rPr>
      </w:pPr>
      <w:r w:rsidRPr="00BE6FA1">
        <w:rPr>
          <w:rFonts w:ascii="Times New Roman" w:hAnsi="Times New Roman" w:cs="Times New Roman"/>
          <w:bCs/>
          <w:sz w:val="24"/>
          <w:szCs w:val="24"/>
        </w:rPr>
        <w:t>W „Poradniku jak opracować plan działań na rzecz zrównoważonej energii (SEAP)”wskaźnik emisji CO</w:t>
      </w:r>
      <w:r w:rsidRPr="00BE6FA1">
        <w:rPr>
          <w:rFonts w:ascii="Times New Roman" w:hAnsi="Times New Roman" w:cs="Times New Roman"/>
          <w:bCs/>
          <w:sz w:val="24"/>
          <w:szCs w:val="24"/>
          <w:vertAlign w:val="subscript"/>
        </w:rPr>
        <w:t>2</w:t>
      </w:r>
      <w:r w:rsidRPr="00BE6FA1">
        <w:rPr>
          <w:rFonts w:ascii="Times New Roman" w:hAnsi="Times New Roman" w:cs="Times New Roman"/>
          <w:bCs/>
          <w:sz w:val="24"/>
          <w:szCs w:val="24"/>
        </w:rPr>
        <w:t xml:space="preserve"> wynosi zero, dla </w:t>
      </w:r>
      <w:r w:rsidRPr="00BE6FA1">
        <w:rPr>
          <w:rFonts w:ascii="Times New Roman" w:hAnsi="Times New Roman" w:cs="Times New Roman"/>
          <w:sz w:val="24"/>
          <w:szCs w:val="24"/>
        </w:rPr>
        <w:t xml:space="preserve">drewna pochodzącego z lasów zarządzanych w zrównoważony sposób, co oznacza, że średni przyrost lasu jest równy lub wyższy niż pozyskanie drewna. Na podstawie inwentaryzacji uzyskano informacje </w:t>
      </w:r>
      <w:r w:rsidR="007403DB" w:rsidRPr="00BE6FA1">
        <w:rPr>
          <w:rFonts w:ascii="Times New Roman" w:hAnsi="Times New Roman" w:cs="Times New Roman"/>
          <w:sz w:val="24"/>
          <w:szCs w:val="24"/>
        </w:rPr>
        <w:t xml:space="preserve">w jaki sposób było pozyskiwane </w:t>
      </w:r>
      <w:r w:rsidRPr="00BE6FA1">
        <w:rPr>
          <w:rFonts w:ascii="Times New Roman" w:hAnsi="Times New Roman" w:cs="Times New Roman"/>
          <w:sz w:val="24"/>
          <w:szCs w:val="24"/>
        </w:rPr>
        <w:t>drewno,</w:t>
      </w:r>
      <w:r w:rsidR="00AB1486" w:rsidRPr="00BE6FA1">
        <w:rPr>
          <w:rFonts w:ascii="Times New Roman" w:hAnsi="Times New Roman" w:cs="Times New Roman"/>
          <w:sz w:val="24"/>
          <w:szCs w:val="24"/>
        </w:rPr>
        <w:t xml:space="preserve"> </w:t>
      </w:r>
      <w:r w:rsidRPr="00BE6FA1">
        <w:rPr>
          <w:rFonts w:ascii="Times New Roman" w:hAnsi="Times New Roman" w:cs="Times New Roman"/>
          <w:sz w:val="24"/>
          <w:szCs w:val="24"/>
        </w:rPr>
        <w:t>dlatego też dla obiektów</w:t>
      </w:r>
      <w:r w:rsidR="007403DB" w:rsidRPr="00BE6FA1">
        <w:rPr>
          <w:rFonts w:ascii="Times New Roman" w:hAnsi="Times New Roman" w:cs="Times New Roman"/>
          <w:sz w:val="24"/>
          <w:szCs w:val="24"/>
        </w:rPr>
        <w:t>,</w:t>
      </w:r>
      <w:r w:rsidRPr="00BE6FA1">
        <w:rPr>
          <w:rFonts w:ascii="Times New Roman" w:hAnsi="Times New Roman" w:cs="Times New Roman"/>
          <w:sz w:val="24"/>
          <w:szCs w:val="24"/>
        </w:rPr>
        <w:t xml:space="preserve"> które określiły sposób pozyskiwania drewna jako zrównoważony</w:t>
      </w:r>
      <w:r w:rsidR="007403DB" w:rsidRPr="00BE6FA1">
        <w:rPr>
          <w:rFonts w:ascii="Times New Roman" w:hAnsi="Times New Roman" w:cs="Times New Roman"/>
          <w:sz w:val="24"/>
          <w:szCs w:val="24"/>
        </w:rPr>
        <w:t>,</w:t>
      </w:r>
      <w:r w:rsidRPr="00BE6FA1">
        <w:rPr>
          <w:rFonts w:ascii="Times New Roman" w:hAnsi="Times New Roman" w:cs="Times New Roman"/>
          <w:sz w:val="24"/>
          <w:szCs w:val="24"/>
        </w:rPr>
        <w:t xml:space="preserve"> wielkość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przyjęto jako 0, natomiast </w:t>
      </w:r>
      <w:r w:rsidR="007403DB" w:rsidRPr="00BE6FA1">
        <w:rPr>
          <w:rFonts w:ascii="Times New Roman" w:hAnsi="Times New Roman" w:cs="Times New Roman"/>
          <w:sz w:val="24"/>
          <w:szCs w:val="24"/>
        </w:rPr>
        <w:t>dla obiektów,</w:t>
      </w:r>
      <w:r w:rsidRPr="00BE6FA1">
        <w:rPr>
          <w:rFonts w:ascii="Times New Roman" w:hAnsi="Times New Roman" w:cs="Times New Roman"/>
          <w:sz w:val="24"/>
          <w:szCs w:val="24"/>
        </w:rPr>
        <w:t xml:space="preserve"> które nie pozyskały drewna w sposób zrównoważony </w:t>
      </w:r>
      <w:r w:rsidR="007403DB" w:rsidRPr="00BE6FA1">
        <w:rPr>
          <w:rFonts w:ascii="Times New Roman" w:hAnsi="Times New Roman" w:cs="Times New Roman"/>
          <w:sz w:val="24"/>
          <w:szCs w:val="24"/>
        </w:rPr>
        <w:t>wielkość emisji CO</w:t>
      </w:r>
      <w:r w:rsidR="007403DB" w:rsidRPr="00BE6FA1">
        <w:rPr>
          <w:rFonts w:ascii="Times New Roman" w:hAnsi="Times New Roman" w:cs="Times New Roman"/>
          <w:sz w:val="24"/>
          <w:szCs w:val="24"/>
          <w:vertAlign w:val="subscript"/>
        </w:rPr>
        <w:t>2</w:t>
      </w:r>
      <w:r w:rsidR="007403DB" w:rsidRPr="00BE6FA1">
        <w:rPr>
          <w:rFonts w:ascii="Times New Roman" w:hAnsi="Times New Roman" w:cs="Times New Roman"/>
          <w:sz w:val="24"/>
          <w:szCs w:val="24"/>
        </w:rPr>
        <w:t xml:space="preserve"> ze spalania drewna na cele grzewcze </w:t>
      </w:r>
      <w:r w:rsidRPr="00BE6FA1">
        <w:rPr>
          <w:rFonts w:ascii="Times New Roman" w:hAnsi="Times New Roman" w:cs="Times New Roman"/>
          <w:sz w:val="24"/>
          <w:szCs w:val="24"/>
        </w:rPr>
        <w:t xml:space="preserve">przyjęto </w:t>
      </w:r>
      <w:r w:rsidR="007403DB" w:rsidRPr="00BE6FA1">
        <w:rPr>
          <w:rFonts w:ascii="Times New Roman" w:hAnsi="Times New Roman" w:cs="Times New Roman"/>
          <w:sz w:val="24"/>
          <w:szCs w:val="24"/>
        </w:rPr>
        <w:t>na poziomie 109,76 kg/ GJ.</w:t>
      </w:r>
    </w:p>
    <w:p w:rsidR="006E1D87" w:rsidRPr="00BE6FA1" w:rsidRDefault="006E1D87" w:rsidP="003A27DA">
      <w:pPr>
        <w:autoSpaceDE w:val="0"/>
        <w:autoSpaceDN w:val="0"/>
        <w:adjustRightInd w:val="0"/>
        <w:spacing w:after="0" w:line="360" w:lineRule="auto"/>
        <w:ind w:firstLine="720"/>
        <w:jc w:val="both"/>
        <w:rPr>
          <w:rFonts w:ascii="Times New Roman" w:hAnsi="Times New Roman" w:cs="Times New Roman"/>
          <w:sz w:val="24"/>
          <w:szCs w:val="24"/>
        </w:rPr>
      </w:pPr>
    </w:p>
    <w:p w:rsidR="006E1D87" w:rsidRPr="00BE6FA1" w:rsidRDefault="006E1D87" w:rsidP="00DF73E8">
      <w:pPr>
        <w:autoSpaceDE w:val="0"/>
        <w:autoSpaceDN w:val="0"/>
        <w:adjustRightInd w:val="0"/>
        <w:spacing w:after="0"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Całkowitą emisję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z obszaru gminy otrzymano poprzez zsumowanie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wyliczonej dla wszystkich nośników energii, stosowanych na terenie gminy </w:t>
      </w:r>
      <w:r w:rsidRPr="00BE6FA1">
        <w:rPr>
          <w:rFonts w:ascii="Times New Roman" w:hAnsi="Times New Roman" w:cs="Times New Roman"/>
          <w:sz w:val="24"/>
          <w:szCs w:val="24"/>
        </w:rPr>
        <w:br/>
      </w:r>
      <w:r w:rsidRPr="00BE6FA1">
        <w:rPr>
          <w:rFonts w:ascii="Times New Roman" w:hAnsi="Times New Roman" w:cs="Times New Roman"/>
          <w:sz w:val="24"/>
          <w:szCs w:val="24"/>
        </w:rPr>
        <w:lastRenderedPageBreak/>
        <w:t>w poszczególnych sektorach. Otrzymana wielkość stanowi podstawę do określenia celu redukcyjnego wyrażonego w tonach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w:t>
      </w:r>
    </w:p>
    <w:p w:rsidR="006E1D87" w:rsidRPr="00BE6FA1" w:rsidRDefault="006E1D87" w:rsidP="003A27DA">
      <w:pPr>
        <w:autoSpaceDE w:val="0"/>
        <w:autoSpaceDN w:val="0"/>
        <w:adjustRightInd w:val="0"/>
        <w:spacing w:after="0" w:line="360" w:lineRule="auto"/>
        <w:ind w:firstLine="720"/>
        <w:rPr>
          <w:rFonts w:ascii="Times New Roman" w:hAnsi="Times New Roman" w:cs="Times New Roman"/>
          <w:sz w:val="24"/>
          <w:szCs w:val="24"/>
        </w:rPr>
      </w:pPr>
      <w:r w:rsidRPr="00BE6FA1">
        <w:rPr>
          <w:rFonts w:ascii="Times New Roman" w:hAnsi="Times New Roman" w:cs="Times New Roman"/>
          <w:sz w:val="24"/>
          <w:szCs w:val="24"/>
        </w:rPr>
        <w:t>W obliczeniach wielkości emisji wykorzystano wzór:</w:t>
      </w:r>
    </w:p>
    <w:p w:rsidR="006E1D87" w:rsidRPr="00BE6FA1" w:rsidRDefault="006E1D87" w:rsidP="003A27DA">
      <w:pPr>
        <w:autoSpaceDE w:val="0"/>
        <w:autoSpaceDN w:val="0"/>
        <w:adjustRightInd w:val="0"/>
        <w:spacing w:after="0" w:line="360" w:lineRule="auto"/>
        <w:ind w:firstLine="720"/>
        <w:rPr>
          <w:rFonts w:ascii="Times New Roman" w:hAnsi="Times New Roman" w:cs="Times New Roman"/>
          <w:sz w:val="24"/>
          <w:szCs w:val="24"/>
        </w:rPr>
      </w:pPr>
    </w:p>
    <w:p w:rsidR="006E1D87" w:rsidRPr="00BE6FA1" w:rsidRDefault="000D713D" w:rsidP="003A27DA">
      <w:pPr>
        <w:autoSpaceDE w:val="0"/>
        <w:autoSpaceDN w:val="0"/>
        <w:adjustRightInd w:val="0"/>
        <w:spacing w:after="0" w:line="360" w:lineRule="auto"/>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E</m:t>
              </m:r>
            </m:e>
            <m:sub>
              <m:sSub>
                <m:sSubPr>
                  <m:ctrlPr>
                    <w:rPr>
                      <w:rFonts w:ascii="Cambria Math" w:hAnsi="Cambria Math" w:cs="Times New Roman"/>
                      <w:b/>
                      <w:i/>
                      <w:sz w:val="28"/>
                      <w:szCs w:val="24"/>
                    </w:rPr>
                  </m:ctrlPr>
                </m:sSubPr>
                <m:e>
                  <m:r>
                    <m:rPr>
                      <m:sty m:val="bi"/>
                    </m:rPr>
                    <w:rPr>
                      <w:rFonts w:ascii="Cambria Math" w:hAnsi="Cambria Math" w:cs="Times New Roman"/>
                      <w:sz w:val="28"/>
                      <w:szCs w:val="24"/>
                    </w:rPr>
                    <m:t>CO</m:t>
                  </m:r>
                </m:e>
                <m:sub>
                  <m:r>
                    <m:rPr>
                      <m:sty m:val="bi"/>
                    </m:rPr>
                    <w:rPr>
                      <w:rFonts w:ascii="Cambria Math" w:hAnsi="Cambria Math" w:cs="Times New Roman"/>
                      <w:sz w:val="28"/>
                      <w:szCs w:val="24"/>
                    </w:rPr>
                    <m:t>2</m:t>
                  </m:r>
                </m:sub>
              </m:sSub>
            </m:sub>
          </m:sSub>
          <m:r>
            <m:rPr>
              <m:sty m:val="bi"/>
            </m:rPr>
            <w:rPr>
              <w:rFonts w:ascii="Cambria Math" w:hAnsi="Cambria Math" w:cs="Times New Roman"/>
              <w:sz w:val="28"/>
              <w:szCs w:val="24"/>
            </w:rPr>
            <m:t>=C×EF</m:t>
          </m:r>
        </m:oMath>
      </m:oMathPara>
    </w:p>
    <w:p w:rsidR="006E1D87" w:rsidRPr="00BE6FA1" w:rsidRDefault="006E1D87" w:rsidP="003A27DA">
      <w:pPr>
        <w:autoSpaceDE w:val="0"/>
        <w:autoSpaceDN w:val="0"/>
        <w:adjustRightInd w:val="0"/>
        <w:spacing w:after="0" w:line="360" w:lineRule="auto"/>
        <w:rPr>
          <w:rFonts w:ascii="Times New Roman" w:hAnsi="Times New Roman" w:cs="Times New Roman"/>
          <w:sz w:val="24"/>
          <w:szCs w:val="24"/>
        </w:rPr>
      </w:pPr>
    </w:p>
    <w:p w:rsidR="006E1D87" w:rsidRPr="00BE6FA1" w:rsidRDefault="006E1D87" w:rsidP="003A27DA">
      <w:pPr>
        <w:autoSpaceDE w:val="0"/>
        <w:autoSpaceDN w:val="0"/>
        <w:adjustRightInd w:val="0"/>
        <w:spacing w:after="0" w:line="360" w:lineRule="auto"/>
        <w:rPr>
          <w:rFonts w:ascii="Times New Roman" w:hAnsi="Times New Roman" w:cs="Times New Roman"/>
          <w:sz w:val="24"/>
          <w:szCs w:val="24"/>
        </w:rPr>
      </w:pPr>
      <w:r w:rsidRPr="00BE6FA1">
        <w:rPr>
          <w:rFonts w:ascii="Times New Roman" w:hAnsi="Times New Roman" w:cs="Times New Roman"/>
          <w:sz w:val="24"/>
          <w:szCs w:val="24"/>
        </w:rPr>
        <w:t>gdzie:</w:t>
      </w:r>
    </w:p>
    <w:p w:rsidR="006E1D87" w:rsidRPr="00BE6FA1" w:rsidRDefault="000D713D" w:rsidP="003A27DA">
      <w:pPr>
        <w:autoSpaceDE w:val="0"/>
        <w:autoSpaceDN w:val="0"/>
        <w:adjustRightInd w:val="0"/>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sSub>
              <m:sSubPr>
                <m:ctrlPr>
                  <w:rPr>
                    <w:rFonts w:ascii="Cambria Math" w:hAnsi="Cambria Math" w:cs="Times New Roman"/>
                    <w:i/>
                    <w:sz w:val="24"/>
                    <w:szCs w:val="24"/>
                  </w:rPr>
                </m:ctrlPr>
              </m:sSubPr>
              <m:e>
                <m:r>
                  <w:rPr>
                    <w:rFonts w:ascii="Cambria Math" w:hAnsi="Cambria Math" w:cs="Times New Roman"/>
                    <w:sz w:val="24"/>
                    <w:szCs w:val="24"/>
                  </w:rPr>
                  <m:t>CO</m:t>
                </m:r>
              </m:e>
              <m:sub>
                <m:r>
                  <w:rPr>
                    <w:rFonts w:ascii="Cambria Math" w:hAnsi="Cambria Math" w:cs="Times New Roman"/>
                    <w:sz w:val="24"/>
                    <w:szCs w:val="24"/>
                  </w:rPr>
                  <m:t>2</m:t>
                </m:r>
              </m:sub>
            </m:sSub>
          </m:sub>
        </m:sSub>
      </m:oMath>
      <w:r w:rsidR="006E1D87" w:rsidRPr="00BE6FA1">
        <w:rPr>
          <w:rFonts w:ascii="Times New Roman" w:hAnsi="Times New Roman" w:cs="Times New Roman"/>
          <w:sz w:val="24"/>
          <w:szCs w:val="24"/>
        </w:rPr>
        <w:t>- wielkość emisji CO</w:t>
      </w:r>
      <w:r w:rsidR="006E1D87" w:rsidRPr="00BE6FA1">
        <w:rPr>
          <w:rFonts w:ascii="Times New Roman" w:hAnsi="Times New Roman" w:cs="Times New Roman"/>
          <w:sz w:val="24"/>
          <w:szCs w:val="24"/>
          <w:vertAlign w:val="subscript"/>
        </w:rPr>
        <w:t>2</w:t>
      </w:r>
      <w:r w:rsidR="006E1D87" w:rsidRPr="00BE6FA1">
        <w:rPr>
          <w:rFonts w:ascii="Times New Roman" w:hAnsi="Times New Roman" w:cs="Times New Roman"/>
          <w:sz w:val="24"/>
          <w:szCs w:val="24"/>
        </w:rPr>
        <w:t xml:space="preserve"> [Mg CO</w:t>
      </w:r>
      <w:r w:rsidR="006E1D87" w:rsidRPr="00BE6FA1">
        <w:rPr>
          <w:rFonts w:ascii="Times New Roman" w:hAnsi="Times New Roman" w:cs="Times New Roman"/>
          <w:sz w:val="24"/>
          <w:szCs w:val="24"/>
          <w:vertAlign w:val="subscript"/>
        </w:rPr>
        <w:t>2</w:t>
      </w:r>
      <w:r w:rsidR="006E1D87" w:rsidRPr="00BE6FA1">
        <w:rPr>
          <w:rFonts w:ascii="Times New Roman" w:hAnsi="Times New Roman" w:cs="Times New Roman"/>
          <w:sz w:val="24"/>
          <w:szCs w:val="24"/>
        </w:rPr>
        <w:t>],</w:t>
      </w:r>
    </w:p>
    <w:p w:rsidR="006E1D87" w:rsidRPr="00BE6FA1" w:rsidRDefault="006E1D87" w:rsidP="003A27DA">
      <w:pPr>
        <w:autoSpaceDE w:val="0"/>
        <w:autoSpaceDN w:val="0"/>
        <w:adjustRightInd w:val="0"/>
        <w:spacing w:after="0" w:line="360" w:lineRule="auto"/>
        <w:rPr>
          <w:rFonts w:ascii="Times New Roman" w:hAnsi="Times New Roman" w:cs="Times New Roman"/>
          <w:sz w:val="24"/>
          <w:szCs w:val="24"/>
        </w:rPr>
      </w:pPr>
      <m:oMath>
        <m:r>
          <w:rPr>
            <w:rFonts w:ascii="Cambria Math" w:hAnsi="Cambria Math" w:cs="Times New Roman"/>
            <w:sz w:val="24"/>
            <w:szCs w:val="24"/>
          </w:rPr>
          <m:t>C</m:t>
        </m:r>
      </m:oMath>
      <w:r w:rsidRPr="00BE6FA1">
        <w:rPr>
          <w:rFonts w:ascii="Times New Roman" w:hAnsi="Times New Roman" w:cs="Times New Roman"/>
          <w:sz w:val="24"/>
          <w:szCs w:val="24"/>
        </w:rPr>
        <w:t xml:space="preserve">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wielkość zużycia energii [MWh]</w:t>
      </w:r>
    </w:p>
    <w:p w:rsidR="006E1D87" w:rsidRPr="00BE6FA1" w:rsidRDefault="006E1D87" w:rsidP="003A27DA">
      <w:pPr>
        <w:spacing w:line="360" w:lineRule="auto"/>
        <w:rPr>
          <w:rFonts w:ascii="Times New Roman" w:hAnsi="Times New Roman" w:cs="Times New Roman"/>
          <w:sz w:val="24"/>
          <w:szCs w:val="24"/>
        </w:rPr>
      </w:pPr>
      <m:oMath>
        <m:r>
          <w:rPr>
            <w:rFonts w:ascii="Cambria Math" w:hAnsi="Cambria Math" w:cs="Times New Roman"/>
            <w:sz w:val="24"/>
            <w:szCs w:val="24"/>
          </w:rPr>
          <m:t>EF</m:t>
        </m:r>
      </m:oMath>
      <w:r w:rsidRPr="00BE6FA1">
        <w:rPr>
          <w:rFonts w:ascii="Times New Roman" w:hAnsi="Times New Roman" w:cs="Times New Roman"/>
          <w:sz w:val="24"/>
          <w:szCs w:val="24"/>
        </w:rPr>
        <w:t xml:space="preserve">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wskaźnik emisji 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[MgCO</w:t>
      </w:r>
      <w:r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/MWh]]</w:t>
      </w:r>
    </w:p>
    <w:p w:rsidR="006F54FB" w:rsidRPr="00BE6FA1" w:rsidRDefault="006F54FB" w:rsidP="003A27DA">
      <w:pPr>
        <w:pStyle w:val="Nagwek2"/>
        <w:spacing w:line="360" w:lineRule="auto"/>
        <w:rPr>
          <w:rFonts w:ascii="Times New Roman" w:hAnsi="Times New Roman" w:cs="Times New Roman"/>
          <w:color w:val="auto"/>
        </w:rPr>
      </w:pPr>
    </w:p>
    <w:p w:rsidR="006E1D87" w:rsidRPr="00BE6FA1" w:rsidRDefault="006F54FB" w:rsidP="003A27DA">
      <w:pPr>
        <w:pStyle w:val="Nagwek2"/>
        <w:spacing w:line="360" w:lineRule="auto"/>
        <w:rPr>
          <w:rFonts w:ascii="Times New Roman" w:hAnsi="Times New Roman" w:cs="Times New Roman"/>
          <w:color w:val="auto"/>
        </w:rPr>
      </w:pPr>
      <w:bookmarkStart w:id="115" w:name="_Toc449097742"/>
      <w:r w:rsidRPr="00BE6FA1">
        <w:rPr>
          <w:rFonts w:ascii="Times New Roman" w:hAnsi="Times New Roman" w:cs="Times New Roman"/>
          <w:color w:val="auto"/>
        </w:rPr>
        <w:t>Budynki mieszkalne</w:t>
      </w:r>
      <w:bookmarkEnd w:id="115"/>
    </w:p>
    <w:p w:rsidR="006302B3" w:rsidRPr="00BE6FA1" w:rsidRDefault="006302B3" w:rsidP="003A27DA">
      <w:pPr>
        <w:spacing w:line="360" w:lineRule="auto"/>
        <w:rPr>
          <w:rFonts w:ascii="Times New Roman" w:hAnsi="Times New Roman" w:cs="Times New Roman"/>
        </w:rPr>
      </w:pPr>
    </w:p>
    <w:p w:rsidR="004E0FB5" w:rsidRPr="00BE6FA1" w:rsidRDefault="004E0FB5" w:rsidP="004E0FB5">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Dominującymi nośnikami energii w budynkach mieszkalnych na terenie</w:t>
      </w:r>
      <w:r w:rsidR="001F0217" w:rsidRPr="00BE6FA1">
        <w:rPr>
          <w:rFonts w:ascii="Times New Roman" w:hAnsi="Times New Roman" w:cs="Times New Roman"/>
          <w:sz w:val="24"/>
          <w:szCs w:val="24"/>
        </w:rPr>
        <w:t xml:space="preserve"> Miasta </w:t>
      </w:r>
      <w:r w:rsidR="004159BD" w:rsidRPr="00BE6FA1">
        <w:rPr>
          <w:rFonts w:ascii="Times New Roman" w:hAnsi="Times New Roman" w:cs="Times New Roman"/>
          <w:sz w:val="24"/>
          <w:szCs w:val="24"/>
        </w:rPr>
        <w:br/>
      </w:r>
      <w:r w:rsidR="001F0217" w:rsidRPr="00BE6FA1">
        <w:rPr>
          <w:rFonts w:ascii="Times New Roman" w:hAnsi="Times New Roman" w:cs="Times New Roman"/>
          <w:sz w:val="24"/>
          <w:szCs w:val="24"/>
        </w:rPr>
        <w:t>i</w:t>
      </w:r>
      <w:r w:rsidRPr="00BE6FA1">
        <w:rPr>
          <w:rFonts w:ascii="Times New Roman" w:hAnsi="Times New Roman" w:cs="Times New Roman"/>
          <w:sz w:val="24"/>
          <w:szCs w:val="24"/>
        </w:rPr>
        <w:t xml:space="preserve"> Gminy Kańczuga są drewno oraz węgiel. Nie są to jednak zbyt ekologiczne paliwa energetyczne. Spalanie ich powoduje szkody zarówno dla środowiska jak i zdrowia ludzi. </w:t>
      </w:r>
    </w:p>
    <w:p w:rsidR="004E0FB5" w:rsidRPr="00BE6FA1" w:rsidRDefault="004E0FB5" w:rsidP="004E0FB5">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Ponad połowa zużycia energii w budynkach mieszkalnych powstał</w:t>
      </w:r>
      <w:r w:rsidR="00B00577" w:rsidRPr="00BE6FA1">
        <w:rPr>
          <w:rFonts w:ascii="Times New Roman" w:hAnsi="Times New Roman" w:cs="Times New Roman"/>
          <w:sz w:val="24"/>
          <w:szCs w:val="24"/>
        </w:rPr>
        <w:t>a w wyniku spalania drewna (50,7%). Kolejno 35,0</w:t>
      </w:r>
      <w:r w:rsidRPr="00BE6FA1">
        <w:rPr>
          <w:rFonts w:ascii="Times New Roman" w:hAnsi="Times New Roman" w:cs="Times New Roman"/>
          <w:sz w:val="24"/>
          <w:szCs w:val="24"/>
        </w:rPr>
        <w:t xml:space="preserve">% zużytej energii powstało poprzez spalanie węgla. </w:t>
      </w:r>
    </w:p>
    <w:p w:rsidR="004E0FB5" w:rsidRPr="00BE6FA1" w:rsidRDefault="004E0FB5" w:rsidP="004E0FB5">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Emisja dwutlenku węgla w budynkach mieszkalnych pochodziła głównie ze spalania drewna (59,8%), węgla (35,6%) oraz zużycia energii elektrycznej (6,6%).</w:t>
      </w:r>
    </w:p>
    <w:tbl>
      <w:tblPr>
        <w:tblStyle w:val="Tabela-Siatka"/>
        <w:tblW w:w="5000" w:type="pct"/>
        <w:jc w:val="center"/>
        <w:tblLook w:val="04A0" w:firstRow="1" w:lastRow="0" w:firstColumn="1" w:lastColumn="0" w:noHBand="0" w:noVBand="1"/>
      </w:tblPr>
      <w:tblGrid>
        <w:gridCol w:w="3020"/>
        <w:gridCol w:w="3021"/>
        <w:gridCol w:w="3021"/>
      </w:tblGrid>
      <w:tr w:rsidR="00970CF4" w:rsidRPr="00BE6FA1" w:rsidTr="001335EB">
        <w:trPr>
          <w:jc w:val="center"/>
        </w:trPr>
        <w:tc>
          <w:tcPr>
            <w:tcW w:w="1666" w:type="pct"/>
            <w:vMerge w:val="restart"/>
            <w:vAlign w:val="center"/>
          </w:tcPr>
          <w:p w:rsidR="004E0FB5" w:rsidRPr="00BE6FA1" w:rsidRDefault="004E0FB5"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4E0FB5" w:rsidRPr="00BE6FA1" w:rsidRDefault="004E0FB5"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4E0FB5" w:rsidRPr="00BE6FA1" w:rsidRDefault="004E0FB5"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970CF4" w:rsidRPr="00BE6FA1" w:rsidTr="001335EB">
        <w:trPr>
          <w:jc w:val="center"/>
        </w:trPr>
        <w:tc>
          <w:tcPr>
            <w:tcW w:w="1666" w:type="pct"/>
            <w:vMerge/>
            <w:vAlign w:val="center"/>
          </w:tcPr>
          <w:p w:rsidR="004E0FB5" w:rsidRPr="00BE6FA1" w:rsidRDefault="004E0FB5" w:rsidP="001335EB">
            <w:pPr>
              <w:spacing w:line="360" w:lineRule="auto"/>
              <w:jc w:val="center"/>
              <w:rPr>
                <w:rFonts w:ascii="Times New Roman" w:hAnsi="Times New Roman" w:cs="Times New Roman"/>
                <w:b/>
                <w:sz w:val="24"/>
                <w:szCs w:val="24"/>
              </w:rPr>
            </w:pPr>
          </w:p>
        </w:tc>
        <w:tc>
          <w:tcPr>
            <w:tcW w:w="1667" w:type="pct"/>
            <w:vAlign w:val="center"/>
          </w:tcPr>
          <w:p w:rsidR="004E0FB5" w:rsidRPr="00BE6FA1" w:rsidRDefault="004E0FB5"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4E0FB5" w:rsidRPr="00BE6FA1" w:rsidRDefault="004E0FB5"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23865,28</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1332,16</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Drewno</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200162,67</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80,32</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Węgiel</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138130,60</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13085,11</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płynny (LPG)</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4599,68</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287,20</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26168,85</w:t>
            </w:r>
          </w:p>
        </w:tc>
        <w:tc>
          <w:tcPr>
            <w:tcW w:w="1667"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6044,22</w:t>
            </w:r>
          </w:p>
        </w:tc>
      </w:tr>
      <w:tr w:rsidR="00970CF4" w:rsidRPr="00BE6FA1" w:rsidTr="001335EB">
        <w:trPr>
          <w:jc w:val="center"/>
        </w:trPr>
        <w:tc>
          <w:tcPr>
            <w:tcW w:w="1666" w:type="pct"/>
            <w:vAlign w:val="center"/>
          </w:tcPr>
          <w:p w:rsidR="004E0FB5" w:rsidRPr="00BE6FA1" w:rsidRDefault="004E0FB5"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Odnawialne źródła energii</w:t>
            </w:r>
          </w:p>
        </w:tc>
        <w:tc>
          <w:tcPr>
            <w:tcW w:w="1667" w:type="pct"/>
            <w:vAlign w:val="center"/>
          </w:tcPr>
          <w:p w:rsidR="004E0FB5" w:rsidRPr="00BE6FA1" w:rsidRDefault="00425222"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951,57</w:t>
            </w:r>
          </w:p>
        </w:tc>
        <w:tc>
          <w:tcPr>
            <w:tcW w:w="1667" w:type="pct"/>
            <w:vAlign w:val="center"/>
          </w:tcPr>
          <w:p w:rsidR="004E0FB5" w:rsidRPr="00BE6FA1" w:rsidRDefault="004E0FB5" w:rsidP="004E0FB5">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t>
            </w:r>
          </w:p>
        </w:tc>
      </w:tr>
    </w:tbl>
    <w:p w:rsidR="004E0FB5" w:rsidRPr="00BE6FA1" w:rsidRDefault="004E0FB5" w:rsidP="004E0FB5">
      <w:pPr>
        <w:pStyle w:val="Legenda"/>
        <w:rPr>
          <w:rFonts w:ascii="Times New Roman" w:hAnsi="Times New Roman" w:cs="Times New Roman"/>
          <w:color w:val="auto"/>
          <w:sz w:val="24"/>
          <w:szCs w:val="24"/>
        </w:rPr>
      </w:pPr>
      <w:bookmarkStart w:id="116" w:name="_Toc445289858"/>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00132D29" w:rsidRPr="00BE6FA1">
        <w:rPr>
          <w:rFonts w:ascii="Times New Roman" w:hAnsi="Times New Roman" w:cs="Times New Roman"/>
          <w:color w:val="auto"/>
        </w:rPr>
        <w:t>w budynkach mieszkalnych</w:t>
      </w:r>
      <w:bookmarkEnd w:id="116"/>
    </w:p>
    <w:p w:rsidR="006F54FB" w:rsidRPr="00BE6FA1" w:rsidRDefault="006F54FB" w:rsidP="003A27DA">
      <w:pPr>
        <w:spacing w:line="360" w:lineRule="auto"/>
        <w:rPr>
          <w:rFonts w:ascii="Times New Roman" w:hAnsi="Times New Roman" w:cs="Times New Roman"/>
        </w:rPr>
      </w:pPr>
    </w:p>
    <w:p w:rsidR="004E0FB5" w:rsidRPr="00BE6FA1" w:rsidRDefault="004E0FB5" w:rsidP="004E0FB5">
      <w:pPr>
        <w:keepNext/>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731ADC7A" wp14:editId="68892D1A">
            <wp:extent cx="5760720" cy="3461385"/>
            <wp:effectExtent l="19050" t="0" r="11430" b="5715"/>
            <wp:docPr id="6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F01BE" w:rsidRPr="00BE6FA1" w:rsidRDefault="004E0FB5" w:rsidP="004E0FB5">
      <w:pPr>
        <w:pStyle w:val="Legenda"/>
        <w:rPr>
          <w:rFonts w:ascii="Times New Roman" w:hAnsi="Times New Roman" w:cs="Times New Roman"/>
          <w:color w:val="auto"/>
        </w:rPr>
      </w:pPr>
      <w:bookmarkStart w:id="117" w:name="_Toc448844735"/>
      <w:r w:rsidRPr="00BE6FA1">
        <w:rPr>
          <w:rFonts w:ascii="Times New Roman" w:hAnsi="Times New Roman" w:cs="Times New Roman"/>
          <w:color w:val="auto"/>
        </w:rPr>
        <w:t xml:space="preserve">Wykres </w:t>
      </w:r>
      <w:r w:rsidR="00EA3884" w:rsidRPr="00BE6FA1">
        <w:rPr>
          <w:rFonts w:ascii="Times New Roman" w:hAnsi="Times New Roman" w:cs="Times New Roman"/>
          <w:color w:val="auto"/>
        </w:rPr>
        <w:fldChar w:fldCharType="begin"/>
      </w:r>
      <w:r w:rsidR="00EA3884" w:rsidRPr="00BE6FA1">
        <w:rPr>
          <w:rFonts w:ascii="Times New Roman" w:hAnsi="Times New Roman" w:cs="Times New Roman"/>
          <w:color w:val="auto"/>
        </w:rPr>
        <w:instrText xml:space="preserve"> SEQ Wykres \* ARABIC </w:instrText>
      </w:r>
      <w:r w:rsidR="00EA3884" w:rsidRPr="00BE6FA1">
        <w:rPr>
          <w:rFonts w:ascii="Times New Roman" w:hAnsi="Times New Roman" w:cs="Times New Roman"/>
          <w:color w:val="auto"/>
        </w:rPr>
        <w:fldChar w:fldCharType="separate"/>
      </w:r>
      <w:r w:rsidR="003D63ED">
        <w:rPr>
          <w:rFonts w:ascii="Times New Roman" w:hAnsi="Times New Roman" w:cs="Times New Roman"/>
          <w:noProof/>
          <w:color w:val="auto"/>
        </w:rPr>
        <w:t>6</w:t>
      </w:r>
      <w:r w:rsidR="00EA3884"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przez budynki użyteczności publicznej w podziale na nośniki energii.</w:t>
      </w:r>
      <w:bookmarkEnd w:id="117"/>
    </w:p>
    <w:p w:rsidR="005F01BE" w:rsidRPr="00BE6FA1" w:rsidRDefault="005F01BE" w:rsidP="003A27DA">
      <w:pPr>
        <w:spacing w:line="360" w:lineRule="auto"/>
        <w:rPr>
          <w:rFonts w:ascii="Times New Roman" w:hAnsi="Times New Roman" w:cs="Times New Roman"/>
        </w:rPr>
      </w:pPr>
    </w:p>
    <w:p w:rsidR="005F01BE" w:rsidRPr="00BE6FA1" w:rsidRDefault="005F01BE" w:rsidP="003A27DA">
      <w:pPr>
        <w:spacing w:line="360" w:lineRule="auto"/>
        <w:rPr>
          <w:rFonts w:ascii="Times New Roman" w:hAnsi="Times New Roman" w:cs="Times New Roman"/>
        </w:rPr>
      </w:pPr>
    </w:p>
    <w:p w:rsidR="005F01BE" w:rsidRPr="00BE6FA1" w:rsidRDefault="004E0FB5" w:rsidP="003A27DA">
      <w:pPr>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71943727" wp14:editId="5E14C4E8">
            <wp:extent cx="5669230" cy="3515096"/>
            <wp:effectExtent l="19050" t="0" r="26720" b="9154"/>
            <wp:docPr id="65"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43862" w:rsidRPr="00BE6FA1" w:rsidRDefault="00B43862" w:rsidP="003A27DA">
      <w:pPr>
        <w:pStyle w:val="Legenda"/>
        <w:spacing w:line="360" w:lineRule="auto"/>
        <w:rPr>
          <w:rFonts w:ascii="Times New Roman" w:hAnsi="Times New Roman" w:cs="Times New Roman"/>
          <w:color w:val="auto"/>
          <w:sz w:val="24"/>
        </w:rPr>
      </w:pPr>
      <w:bookmarkStart w:id="118" w:name="_Toc448844736"/>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7</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przez budynki użyteczności publicznej w podziale na nośniki energii</w:t>
      </w:r>
      <w:bookmarkEnd w:id="118"/>
    </w:p>
    <w:p w:rsidR="005F01BE" w:rsidRPr="00BE6FA1" w:rsidRDefault="005F01BE" w:rsidP="003A27DA">
      <w:pPr>
        <w:spacing w:line="360" w:lineRule="auto"/>
        <w:rPr>
          <w:rFonts w:ascii="Times New Roman" w:hAnsi="Times New Roman" w:cs="Times New Roman"/>
        </w:rPr>
      </w:pPr>
    </w:p>
    <w:p w:rsidR="006F54FB" w:rsidRPr="00BE6FA1" w:rsidRDefault="006F54FB" w:rsidP="003A27DA">
      <w:pPr>
        <w:pStyle w:val="Nagwek2"/>
        <w:spacing w:line="360" w:lineRule="auto"/>
        <w:rPr>
          <w:rFonts w:ascii="Times New Roman" w:hAnsi="Times New Roman" w:cs="Times New Roman"/>
          <w:color w:val="auto"/>
        </w:rPr>
      </w:pPr>
      <w:bookmarkStart w:id="119" w:name="_Toc442426525"/>
      <w:bookmarkStart w:id="120" w:name="_Toc449097743"/>
      <w:r w:rsidRPr="00BE6FA1">
        <w:rPr>
          <w:rFonts w:ascii="Times New Roman" w:hAnsi="Times New Roman" w:cs="Times New Roman"/>
          <w:color w:val="auto"/>
        </w:rPr>
        <w:lastRenderedPageBreak/>
        <w:t>Budynki użyteczności publicznej</w:t>
      </w:r>
      <w:bookmarkEnd w:id="119"/>
      <w:bookmarkEnd w:id="120"/>
    </w:p>
    <w:p w:rsidR="00AB1486" w:rsidRPr="00BE6FA1" w:rsidRDefault="00AB1486" w:rsidP="00AB1486">
      <w:pPr>
        <w:rPr>
          <w:rFonts w:ascii="Times New Roman" w:hAnsi="Times New Roman" w:cs="Times New Roman"/>
        </w:rPr>
      </w:pPr>
    </w:p>
    <w:p w:rsidR="003431CB" w:rsidRPr="00BE6FA1" w:rsidRDefault="003431CB"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 xml:space="preserve">Infrastrukturę użyteczności publicznej tworzą takie instytucje jak na przykład </w:t>
      </w:r>
      <w:r w:rsidR="00563D06" w:rsidRPr="00BE6FA1">
        <w:rPr>
          <w:rFonts w:ascii="Times New Roman" w:hAnsi="Times New Roman" w:cs="Times New Roman"/>
          <w:sz w:val="24"/>
        </w:rPr>
        <w:t>szkół</w:t>
      </w:r>
      <w:r w:rsidRPr="00BE6FA1">
        <w:rPr>
          <w:rFonts w:ascii="Times New Roman" w:hAnsi="Times New Roman" w:cs="Times New Roman"/>
          <w:sz w:val="24"/>
        </w:rPr>
        <w:t>, Urz</w:t>
      </w:r>
      <w:r w:rsidR="001B58E4" w:rsidRPr="00BE6FA1">
        <w:rPr>
          <w:rFonts w:ascii="Times New Roman" w:hAnsi="Times New Roman" w:cs="Times New Roman"/>
          <w:sz w:val="24"/>
        </w:rPr>
        <w:t>ąd Miasta</w:t>
      </w:r>
      <w:r w:rsidR="004E0FB5" w:rsidRPr="00BE6FA1">
        <w:rPr>
          <w:rFonts w:ascii="Times New Roman" w:hAnsi="Times New Roman" w:cs="Times New Roman"/>
          <w:sz w:val="24"/>
        </w:rPr>
        <w:t xml:space="preserve"> i Gminy</w:t>
      </w:r>
      <w:r w:rsidR="001B58E4" w:rsidRPr="00BE6FA1">
        <w:rPr>
          <w:rFonts w:ascii="Times New Roman" w:hAnsi="Times New Roman" w:cs="Times New Roman"/>
          <w:sz w:val="24"/>
        </w:rPr>
        <w:t>, Biblio</w:t>
      </w:r>
      <w:r w:rsidR="004E0FB5" w:rsidRPr="00BE6FA1">
        <w:rPr>
          <w:rFonts w:ascii="Times New Roman" w:hAnsi="Times New Roman" w:cs="Times New Roman"/>
          <w:sz w:val="24"/>
        </w:rPr>
        <w:t xml:space="preserve">teka Publiczna, Ośrodek Kultury </w:t>
      </w:r>
      <w:r w:rsidR="001B58E4" w:rsidRPr="00BE6FA1">
        <w:rPr>
          <w:rFonts w:ascii="Times New Roman" w:hAnsi="Times New Roman" w:cs="Times New Roman"/>
          <w:sz w:val="24"/>
        </w:rPr>
        <w:t>Miasta</w:t>
      </w:r>
      <w:r w:rsidR="004E0FB5" w:rsidRPr="00BE6FA1">
        <w:rPr>
          <w:rFonts w:ascii="Times New Roman" w:hAnsi="Times New Roman" w:cs="Times New Roman"/>
          <w:sz w:val="24"/>
        </w:rPr>
        <w:t xml:space="preserve"> i Gminy</w:t>
      </w:r>
      <w:r w:rsidR="001B58E4" w:rsidRPr="00BE6FA1">
        <w:rPr>
          <w:rFonts w:ascii="Times New Roman" w:hAnsi="Times New Roman" w:cs="Times New Roman"/>
          <w:sz w:val="24"/>
        </w:rPr>
        <w:t xml:space="preserve">, Środowiskowy Dom Samopomocy, Zakład Gospodarki Komunalnej, ośrodki Ochotniczej Straży Pożarnej. </w:t>
      </w:r>
    </w:p>
    <w:p w:rsidR="003431CB" w:rsidRPr="00BE6FA1" w:rsidRDefault="003431CB"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Emisja CO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w tym sektorze wynikała ze spalania gazu ziemneg</w:t>
      </w:r>
      <w:r w:rsidR="00111F98" w:rsidRPr="00BE6FA1">
        <w:rPr>
          <w:rFonts w:ascii="Times New Roman" w:hAnsi="Times New Roman" w:cs="Times New Roman"/>
          <w:sz w:val="24"/>
        </w:rPr>
        <w:t>o (</w:t>
      </w:r>
      <w:r w:rsidR="00132D29" w:rsidRPr="00BE6FA1">
        <w:rPr>
          <w:rFonts w:ascii="Times New Roman" w:hAnsi="Times New Roman" w:cs="Times New Roman"/>
          <w:sz w:val="24"/>
        </w:rPr>
        <w:t>57</w:t>
      </w:r>
      <w:r w:rsidRPr="00BE6FA1">
        <w:rPr>
          <w:rFonts w:ascii="Times New Roman" w:hAnsi="Times New Roman" w:cs="Times New Roman"/>
          <w:sz w:val="24"/>
        </w:rPr>
        <w:t xml:space="preserve">%) oraz zużycia energii </w:t>
      </w:r>
      <w:r w:rsidR="00681EE7" w:rsidRPr="00BE6FA1">
        <w:rPr>
          <w:rFonts w:ascii="Times New Roman" w:hAnsi="Times New Roman" w:cs="Times New Roman"/>
          <w:sz w:val="24"/>
        </w:rPr>
        <w:t>elektrycznej (</w:t>
      </w:r>
      <w:r w:rsidR="00132D29" w:rsidRPr="00BE6FA1">
        <w:rPr>
          <w:rFonts w:ascii="Times New Roman" w:hAnsi="Times New Roman" w:cs="Times New Roman"/>
          <w:sz w:val="24"/>
        </w:rPr>
        <w:t>43</w:t>
      </w:r>
      <w:r w:rsidRPr="00BE6FA1">
        <w:rPr>
          <w:rFonts w:ascii="Times New Roman" w:hAnsi="Times New Roman" w:cs="Times New Roman"/>
          <w:sz w:val="24"/>
        </w:rPr>
        <w:t xml:space="preserve">%). Dzięki wykorzystaniu odnawialnych źródeł energii uzyskano </w:t>
      </w:r>
      <w:r w:rsidR="00132D29" w:rsidRPr="00BE6FA1">
        <w:rPr>
          <w:rFonts w:ascii="Times New Roman" w:hAnsi="Times New Roman" w:cs="Times New Roman"/>
          <w:sz w:val="24"/>
        </w:rPr>
        <w:br/>
      </w:r>
      <w:r w:rsidR="00BC0953" w:rsidRPr="00BE6FA1">
        <w:rPr>
          <w:rFonts w:ascii="Times New Roman" w:hAnsi="Times New Roman" w:cs="Times New Roman"/>
          <w:sz w:val="24"/>
        </w:rPr>
        <w:t>0,04</w:t>
      </w:r>
      <w:r w:rsidRPr="00BE6FA1">
        <w:rPr>
          <w:rFonts w:ascii="Times New Roman" w:hAnsi="Times New Roman" w:cs="Times New Roman"/>
          <w:sz w:val="24"/>
        </w:rPr>
        <w:t xml:space="preserve"> GJ w ciągu roku.</w:t>
      </w:r>
    </w:p>
    <w:tbl>
      <w:tblPr>
        <w:tblStyle w:val="Tabela-Siatka"/>
        <w:tblW w:w="5000" w:type="pct"/>
        <w:jc w:val="center"/>
        <w:tblLook w:val="04A0" w:firstRow="1" w:lastRow="0" w:firstColumn="1" w:lastColumn="0" w:noHBand="0" w:noVBand="1"/>
      </w:tblPr>
      <w:tblGrid>
        <w:gridCol w:w="3020"/>
        <w:gridCol w:w="3021"/>
        <w:gridCol w:w="3021"/>
      </w:tblGrid>
      <w:tr w:rsidR="003431CB" w:rsidRPr="00BE6FA1" w:rsidTr="003431CB">
        <w:trPr>
          <w:jc w:val="center"/>
        </w:trPr>
        <w:tc>
          <w:tcPr>
            <w:tcW w:w="1666" w:type="pct"/>
            <w:vMerge w:val="restart"/>
            <w:vAlign w:val="center"/>
          </w:tcPr>
          <w:p w:rsidR="003431CB" w:rsidRPr="00BE6FA1" w:rsidRDefault="003431CB"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3431CB" w:rsidRPr="00BE6FA1" w:rsidRDefault="003431CB"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3431CB" w:rsidRPr="00BE6FA1" w:rsidRDefault="003431CB"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3431CB" w:rsidRPr="00BE6FA1" w:rsidTr="003431CB">
        <w:trPr>
          <w:jc w:val="center"/>
        </w:trPr>
        <w:tc>
          <w:tcPr>
            <w:tcW w:w="1666" w:type="pct"/>
            <w:vMerge/>
            <w:vAlign w:val="center"/>
          </w:tcPr>
          <w:p w:rsidR="003431CB" w:rsidRPr="00BE6FA1" w:rsidRDefault="003431CB" w:rsidP="003A27DA">
            <w:pPr>
              <w:spacing w:line="360" w:lineRule="auto"/>
              <w:jc w:val="center"/>
              <w:rPr>
                <w:rFonts w:ascii="Times New Roman" w:hAnsi="Times New Roman" w:cs="Times New Roman"/>
                <w:b/>
                <w:sz w:val="24"/>
                <w:szCs w:val="24"/>
              </w:rPr>
            </w:pPr>
          </w:p>
        </w:tc>
        <w:tc>
          <w:tcPr>
            <w:tcW w:w="1667" w:type="pct"/>
            <w:vAlign w:val="center"/>
          </w:tcPr>
          <w:p w:rsidR="003431CB" w:rsidRPr="00BE6FA1" w:rsidRDefault="003431CB"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3431CB" w:rsidRPr="00BE6FA1" w:rsidRDefault="003431CB"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3431CB" w:rsidRPr="00BE6FA1" w:rsidTr="003431CB">
        <w:trPr>
          <w:jc w:val="center"/>
        </w:trPr>
        <w:tc>
          <w:tcPr>
            <w:tcW w:w="1666" w:type="pct"/>
            <w:vAlign w:val="center"/>
          </w:tcPr>
          <w:p w:rsidR="003431CB" w:rsidRPr="00BE6FA1" w:rsidRDefault="003431CB"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3431CB" w:rsidRPr="00BE6FA1" w:rsidRDefault="00BC0953"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3097,76</w:t>
            </w:r>
          </w:p>
        </w:tc>
        <w:tc>
          <w:tcPr>
            <w:tcW w:w="1667" w:type="pct"/>
            <w:vAlign w:val="center"/>
          </w:tcPr>
          <w:p w:rsidR="003431CB" w:rsidRPr="00BE6FA1" w:rsidRDefault="00BC0953"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172,92</w:t>
            </w:r>
          </w:p>
        </w:tc>
      </w:tr>
      <w:tr w:rsidR="003431CB" w:rsidRPr="00BE6FA1" w:rsidTr="003431CB">
        <w:trPr>
          <w:jc w:val="center"/>
        </w:trPr>
        <w:tc>
          <w:tcPr>
            <w:tcW w:w="1666" w:type="pct"/>
            <w:vAlign w:val="center"/>
          </w:tcPr>
          <w:p w:rsidR="003431CB" w:rsidRPr="00BE6FA1" w:rsidRDefault="003431CB"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3431CB" w:rsidRPr="00BE6FA1" w:rsidRDefault="00BC0953"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556,68</w:t>
            </w:r>
          </w:p>
        </w:tc>
        <w:tc>
          <w:tcPr>
            <w:tcW w:w="1667" w:type="pct"/>
            <w:vAlign w:val="center"/>
          </w:tcPr>
          <w:p w:rsidR="003431CB" w:rsidRPr="00BE6FA1" w:rsidRDefault="00BC0953"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128,58</w:t>
            </w:r>
          </w:p>
        </w:tc>
      </w:tr>
      <w:tr w:rsidR="003431CB" w:rsidRPr="00BE6FA1" w:rsidTr="003431CB">
        <w:trPr>
          <w:jc w:val="center"/>
        </w:trPr>
        <w:tc>
          <w:tcPr>
            <w:tcW w:w="1666" w:type="pct"/>
            <w:vAlign w:val="center"/>
          </w:tcPr>
          <w:p w:rsidR="003431CB" w:rsidRPr="00BE6FA1" w:rsidRDefault="003431CB"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Odnawialne źródła energii</w:t>
            </w:r>
          </w:p>
        </w:tc>
        <w:tc>
          <w:tcPr>
            <w:tcW w:w="1667" w:type="pct"/>
            <w:vAlign w:val="center"/>
          </w:tcPr>
          <w:p w:rsidR="003431CB" w:rsidRPr="00BE6FA1" w:rsidRDefault="00BC0953"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0,04</w:t>
            </w:r>
          </w:p>
        </w:tc>
        <w:tc>
          <w:tcPr>
            <w:tcW w:w="1667" w:type="pct"/>
            <w:vAlign w:val="center"/>
          </w:tcPr>
          <w:p w:rsidR="003431CB" w:rsidRPr="00BE6FA1" w:rsidRDefault="003431CB"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t>
            </w:r>
          </w:p>
        </w:tc>
      </w:tr>
    </w:tbl>
    <w:p w:rsidR="006F54FB" w:rsidRPr="00BE6FA1" w:rsidRDefault="003431CB" w:rsidP="003A27DA">
      <w:pPr>
        <w:pStyle w:val="Legenda"/>
        <w:spacing w:line="360" w:lineRule="auto"/>
        <w:rPr>
          <w:rFonts w:ascii="Times New Roman" w:hAnsi="Times New Roman" w:cs="Times New Roman"/>
          <w:color w:val="auto"/>
        </w:rPr>
      </w:pPr>
      <w:bookmarkStart w:id="121" w:name="_Toc439280129"/>
      <w:bookmarkStart w:id="122" w:name="_Toc445289859"/>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 budynkach użyteczności publicznej</w:t>
      </w:r>
      <w:bookmarkEnd w:id="121"/>
      <w:bookmarkEnd w:id="122"/>
    </w:p>
    <w:p w:rsidR="009916AC" w:rsidRPr="00BE6FA1" w:rsidRDefault="009916AC" w:rsidP="003A27DA">
      <w:pPr>
        <w:spacing w:line="360" w:lineRule="auto"/>
        <w:rPr>
          <w:rFonts w:ascii="Times New Roman" w:hAnsi="Times New Roman" w:cs="Times New Roman"/>
        </w:rPr>
      </w:pPr>
    </w:p>
    <w:p w:rsidR="003431CB" w:rsidRPr="00BE6FA1" w:rsidRDefault="00111F98" w:rsidP="003A27DA">
      <w:pPr>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5DD2EE24" wp14:editId="0006D092">
            <wp:extent cx="5265208" cy="3243792"/>
            <wp:effectExtent l="19050" t="0" r="11642" b="0"/>
            <wp:docPr id="5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0359E" w:rsidRPr="00BE6FA1" w:rsidRDefault="0050359E" w:rsidP="003A27DA">
      <w:pPr>
        <w:pStyle w:val="Legenda"/>
        <w:spacing w:line="360" w:lineRule="auto"/>
        <w:rPr>
          <w:rFonts w:ascii="Times New Roman" w:hAnsi="Times New Roman" w:cs="Times New Roman"/>
          <w:color w:val="auto"/>
          <w:sz w:val="24"/>
        </w:rPr>
      </w:pPr>
      <w:bookmarkStart w:id="123" w:name="_Toc440026618"/>
      <w:bookmarkStart w:id="124" w:name="_Toc448844737"/>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8</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przez budynki użyteczności publicznej w podziale na nośniki energii</w:t>
      </w:r>
      <w:bookmarkEnd w:id="123"/>
      <w:bookmarkEnd w:id="124"/>
    </w:p>
    <w:p w:rsidR="0050359E" w:rsidRPr="00BE6FA1" w:rsidRDefault="0050359E" w:rsidP="003A27DA">
      <w:pPr>
        <w:spacing w:line="360" w:lineRule="auto"/>
        <w:rPr>
          <w:rFonts w:ascii="Times New Roman" w:hAnsi="Times New Roman" w:cs="Times New Roman"/>
        </w:rPr>
      </w:pPr>
    </w:p>
    <w:p w:rsidR="0050359E" w:rsidRPr="00BE6FA1" w:rsidRDefault="00111F98" w:rsidP="003A27DA">
      <w:pPr>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207C1D53" wp14:editId="547DBA0A">
            <wp:extent cx="5206093" cy="3253839"/>
            <wp:effectExtent l="19050" t="0" r="13607" b="3711"/>
            <wp:docPr id="5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0359E" w:rsidRPr="00BE6FA1" w:rsidRDefault="0050359E" w:rsidP="003A27DA">
      <w:pPr>
        <w:pStyle w:val="Legenda"/>
        <w:spacing w:line="360" w:lineRule="auto"/>
        <w:rPr>
          <w:rFonts w:ascii="Times New Roman" w:hAnsi="Times New Roman" w:cs="Times New Roman"/>
          <w:color w:val="auto"/>
          <w:sz w:val="24"/>
        </w:rPr>
      </w:pPr>
      <w:bookmarkStart w:id="125" w:name="_Toc440026619"/>
      <w:bookmarkStart w:id="126" w:name="_Toc448844738"/>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9</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przez budynki użyteczności publicznej w podziale na nośniki energii</w:t>
      </w:r>
      <w:bookmarkEnd w:id="125"/>
      <w:bookmarkEnd w:id="126"/>
    </w:p>
    <w:p w:rsidR="0050359E" w:rsidRPr="00BE6FA1" w:rsidRDefault="0050359E" w:rsidP="003A27DA">
      <w:pPr>
        <w:spacing w:line="360" w:lineRule="auto"/>
        <w:rPr>
          <w:rFonts w:ascii="Times New Roman" w:hAnsi="Times New Roman" w:cs="Times New Roman"/>
        </w:rPr>
      </w:pPr>
    </w:p>
    <w:p w:rsidR="0050359E" w:rsidRPr="00BE6FA1" w:rsidRDefault="0050359E" w:rsidP="003A27DA">
      <w:pPr>
        <w:spacing w:line="360" w:lineRule="auto"/>
        <w:rPr>
          <w:rFonts w:ascii="Times New Roman" w:hAnsi="Times New Roman" w:cs="Times New Roman"/>
        </w:rPr>
      </w:pPr>
    </w:p>
    <w:p w:rsidR="006F54FB" w:rsidRPr="00BE6FA1" w:rsidRDefault="006F54FB" w:rsidP="003A27DA">
      <w:pPr>
        <w:pStyle w:val="Nagwek2"/>
        <w:spacing w:line="360" w:lineRule="auto"/>
        <w:rPr>
          <w:rFonts w:ascii="Times New Roman" w:hAnsi="Times New Roman" w:cs="Times New Roman"/>
          <w:color w:val="auto"/>
        </w:rPr>
      </w:pPr>
      <w:bookmarkStart w:id="127" w:name="_Toc442426526"/>
      <w:bookmarkStart w:id="128" w:name="_Toc449097744"/>
      <w:r w:rsidRPr="00BE6FA1">
        <w:rPr>
          <w:rFonts w:ascii="Times New Roman" w:hAnsi="Times New Roman" w:cs="Times New Roman"/>
          <w:color w:val="auto"/>
        </w:rPr>
        <w:t>Spółdzielnie i wspólnoty mieszkaniowe</w:t>
      </w:r>
      <w:bookmarkEnd w:id="127"/>
      <w:bookmarkEnd w:id="128"/>
    </w:p>
    <w:p w:rsidR="00681EE7" w:rsidRPr="00BE6FA1" w:rsidRDefault="00681EE7" w:rsidP="003A27DA">
      <w:pPr>
        <w:spacing w:line="360" w:lineRule="auto"/>
        <w:rPr>
          <w:rFonts w:ascii="Times New Roman" w:hAnsi="Times New Roman" w:cs="Times New Roman"/>
        </w:rPr>
      </w:pPr>
    </w:p>
    <w:p w:rsidR="00681EE7" w:rsidRPr="00BE6FA1" w:rsidRDefault="001B58E4"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Spółdzielnia</w:t>
      </w:r>
      <w:r w:rsidR="00681EE7" w:rsidRPr="00BE6FA1">
        <w:rPr>
          <w:rFonts w:ascii="Times New Roman" w:hAnsi="Times New Roman" w:cs="Times New Roman"/>
          <w:sz w:val="24"/>
        </w:rPr>
        <w:t xml:space="preserve"> mieszkaniowe zarządzające budynkami wielorodzinnymi na terenie Gminy Kańczuga spowodowały emisję dwutlenku węgla poprzez spalanie gazu ziemnego </w:t>
      </w:r>
      <w:r w:rsidR="00563D06" w:rsidRPr="00BE6FA1">
        <w:rPr>
          <w:rFonts w:ascii="Times New Roman" w:hAnsi="Times New Roman" w:cs="Times New Roman"/>
          <w:sz w:val="24"/>
        </w:rPr>
        <w:br/>
      </w:r>
      <w:r w:rsidR="00681EE7" w:rsidRPr="00BE6FA1">
        <w:rPr>
          <w:rFonts w:ascii="Times New Roman" w:hAnsi="Times New Roman" w:cs="Times New Roman"/>
          <w:sz w:val="24"/>
        </w:rPr>
        <w:t xml:space="preserve">na cele grzewcze oraz zużycie energii elektrycznej. Dominującym „sprawcą” zanieczyszczenia powietrza dwutlenkiem węgla był gaz ziemny, który wywołał emisję w tym sektorze </w:t>
      </w:r>
      <w:r w:rsidR="009916AC" w:rsidRPr="00BE6FA1">
        <w:rPr>
          <w:rFonts w:ascii="Times New Roman" w:hAnsi="Times New Roman" w:cs="Times New Roman"/>
          <w:sz w:val="24"/>
        </w:rPr>
        <w:t>w 90,1</w:t>
      </w:r>
      <w:r w:rsidR="00681EE7" w:rsidRPr="00BE6FA1">
        <w:rPr>
          <w:rFonts w:ascii="Times New Roman" w:hAnsi="Times New Roman" w:cs="Times New Roman"/>
          <w:sz w:val="24"/>
        </w:rPr>
        <w:t>%</w:t>
      </w:r>
      <w:r w:rsidR="00563D06" w:rsidRPr="00BE6FA1">
        <w:rPr>
          <w:rFonts w:ascii="Times New Roman" w:hAnsi="Times New Roman" w:cs="Times New Roman"/>
          <w:sz w:val="24"/>
        </w:rPr>
        <w:t>.</w:t>
      </w:r>
    </w:p>
    <w:tbl>
      <w:tblPr>
        <w:tblStyle w:val="Tabela-Siatka"/>
        <w:tblW w:w="5000" w:type="pct"/>
        <w:jc w:val="center"/>
        <w:tblLook w:val="04A0" w:firstRow="1" w:lastRow="0" w:firstColumn="1" w:lastColumn="0" w:noHBand="0" w:noVBand="1"/>
      </w:tblPr>
      <w:tblGrid>
        <w:gridCol w:w="3020"/>
        <w:gridCol w:w="3021"/>
        <w:gridCol w:w="3021"/>
      </w:tblGrid>
      <w:tr w:rsidR="00681EE7" w:rsidRPr="00BE6FA1" w:rsidTr="001451E6">
        <w:trPr>
          <w:jc w:val="center"/>
        </w:trPr>
        <w:tc>
          <w:tcPr>
            <w:tcW w:w="1666" w:type="pct"/>
            <w:vMerge w:val="restart"/>
            <w:vAlign w:val="center"/>
          </w:tcPr>
          <w:p w:rsidR="00681EE7" w:rsidRPr="00BE6FA1" w:rsidRDefault="00681EE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681EE7" w:rsidRPr="00BE6FA1" w:rsidRDefault="00681EE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681EE7" w:rsidRPr="00BE6FA1" w:rsidRDefault="00681EE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681EE7" w:rsidRPr="00BE6FA1" w:rsidTr="001451E6">
        <w:trPr>
          <w:jc w:val="center"/>
        </w:trPr>
        <w:tc>
          <w:tcPr>
            <w:tcW w:w="1666" w:type="pct"/>
            <w:vMerge/>
            <w:vAlign w:val="center"/>
          </w:tcPr>
          <w:p w:rsidR="00681EE7" w:rsidRPr="00BE6FA1" w:rsidRDefault="00681EE7" w:rsidP="003A27DA">
            <w:pPr>
              <w:spacing w:line="360" w:lineRule="auto"/>
              <w:jc w:val="center"/>
              <w:rPr>
                <w:rFonts w:ascii="Times New Roman" w:hAnsi="Times New Roman" w:cs="Times New Roman"/>
                <w:b/>
                <w:sz w:val="24"/>
                <w:szCs w:val="24"/>
              </w:rPr>
            </w:pPr>
          </w:p>
        </w:tc>
        <w:tc>
          <w:tcPr>
            <w:tcW w:w="1667" w:type="pct"/>
            <w:vAlign w:val="center"/>
          </w:tcPr>
          <w:p w:rsidR="00681EE7" w:rsidRPr="00BE6FA1" w:rsidRDefault="00681EE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681EE7" w:rsidRPr="00BE6FA1" w:rsidRDefault="00681EE7"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681EE7" w:rsidRPr="00BE6FA1" w:rsidTr="001451E6">
        <w:trPr>
          <w:jc w:val="center"/>
        </w:trPr>
        <w:tc>
          <w:tcPr>
            <w:tcW w:w="1666" w:type="pct"/>
            <w:vAlign w:val="center"/>
          </w:tcPr>
          <w:p w:rsidR="00681EE7" w:rsidRPr="00BE6FA1" w:rsidRDefault="00681EE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681EE7" w:rsidRPr="00BE6FA1" w:rsidRDefault="008E52D1"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15042,</w:t>
            </w:r>
            <w:r w:rsidR="00B652AC" w:rsidRPr="00BE6FA1">
              <w:rPr>
                <w:rFonts w:ascii="Times New Roman" w:hAnsi="Times New Roman" w:cs="Times New Roman"/>
                <w:sz w:val="24"/>
                <w:szCs w:val="24"/>
              </w:rPr>
              <w:t>4</w:t>
            </w:r>
          </w:p>
        </w:tc>
        <w:tc>
          <w:tcPr>
            <w:tcW w:w="1667" w:type="pct"/>
            <w:vAlign w:val="center"/>
          </w:tcPr>
          <w:p w:rsidR="00681EE7" w:rsidRPr="00BE6FA1" w:rsidRDefault="00B652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839,7</w:t>
            </w:r>
          </w:p>
        </w:tc>
      </w:tr>
      <w:tr w:rsidR="00681EE7" w:rsidRPr="00BE6FA1" w:rsidTr="001451E6">
        <w:trPr>
          <w:jc w:val="center"/>
        </w:trPr>
        <w:tc>
          <w:tcPr>
            <w:tcW w:w="1666" w:type="pct"/>
            <w:vAlign w:val="center"/>
          </w:tcPr>
          <w:p w:rsidR="00681EE7" w:rsidRPr="00BE6FA1" w:rsidRDefault="00681EE7"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681EE7" w:rsidRPr="00BE6FA1" w:rsidRDefault="00B652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399,7</w:t>
            </w:r>
          </w:p>
        </w:tc>
        <w:tc>
          <w:tcPr>
            <w:tcW w:w="1667" w:type="pct"/>
            <w:vAlign w:val="center"/>
          </w:tcPr>
          <w:p w:rsidR="00681EE7" w:rsidRPr="00BE6FA1" w:rsidRDefault="00B652AC"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92,3</w:t>
            </w:r>
          </w:p>
        </w:tc>
      </w:tr>
    </w:tbl>
    <w:p w:rsidR="00681EE7" w:rsidRPr="00BE6FA1" w:rsidRDefault="00681EE7" w:rsidP="003A27DA">
      <w:pPr>
        <w:pStyle w:val="Legenda"/>
        <w:spacing w:line="360" w:lineRule="auto"/>
        <w:rPr>
          <w:rFonts w:ascii="Times New Roman" w:hAnsi="Times New Roman" w:cs="Times New Roman"/>
          <w:color w:val="auto"/>
        </w:rPr>
      </w:pPr>
      <w:bookmarkStart w:id="129" w:name="_Toc439280130"/>
      <w:bookmarkStart w:id="130" w:name="_Toc445289860"/>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 spółdzielniach i wspólnotach mieszkaniowych</w:t>
      </w:r>
      <w:bookmarkEnd w:id="129"/>
      <w:bookmarkEnd w:id="130"/>
    </w:p>
    <w:p w:rsidR="00B652AC" w:rsidRPr="00BE6FA1" w:rsidRDefault="00B652AC" w:rsidP="003A27DA">
      <w:pPr>
        <w:spacing w:line="360" w:lineRule="auto"/>
        <w:rPr>
          <w:rFonts w:ascii="Times New Roman" w:hAnsi="Times New Roman" w:cs="Times New Roman"/>
        </w:rPr>
      </w:pPr>
    </w:p>
    <w:p w:rsidR="001B58E4" w:rsidRPr="00BE6FA1" w:rsidRDefault="00E840A2" w:rsidP="00132D29">
      <w:pPr>
        <w:spacing w:line="360" w:lineRule="auto"/>
        <w:jc w:val="center"/>
        <w:rPr>
          <w:rFonts w:ascii="Times New Roman" w:hAnsi="Times New Roman" w:cs="Times New Roman"/>
        </w:rPr>
      </w:pPr>
      <w:r w:rsidRPr="00BE6FA1">
        <w:rPr>
          <w:rFonts w:ascii="Times New Roman" w:hAnsi="Times New Roman" w:cs="Times New Roman"/>
          <w:noProof/>
        </w:rPr>
        <w:lastRenderedPageBreak/>
        <w:drawing>
          <wp:inline distT="0" distB="0" distL="0" distR="0" wp14:anchorId="765704A5" wp14:editId="035A272E">
            <wp:extent cx="5401339" cy="3402419"/>
            <wp:effectExtent l="0" t="0" r="8890" b="7620"/>
            <wp:docPr id="62"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B58E4" w:rsidRPr="00BE6FA1" w:rsidRDefault="001B58E4" w:rsidP="00132D29">
      <w:pPr>
        <w:pStyle w:val="Legenda"/>
        <w:spacing w:line="360" w:lineRule="auto"/>
        <w:jc w:val="center"/>
        <w:rPr>
          <w:rFonts w:ascii="Times New Roman" w:hAnsi="Times New Roman" w:cs="Times New Roman"/>
          <w:color w:val="auto"/>
          <w:sz w:val="24"/>
        </w:rPr>
      </w:pPr>
      <w:bookmarkStart w:id="131" w:name="_Toc448844739"/>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10</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Zużycie energii </w:t>
      </w:r>
      <w:r w:rsidR="00E840A2" w:rsidRPr="00BE6FA1">
        <w:rPr>
          <w:rFonts w:ascii="Times New Roman" w:hAnsi="Times New Roman" w:cs="Times New Roman"/>
          <w:color w:val="auto"/>
        </w:rPr>
        <w:t>przez spółdzielnie i wspólnoty mieszkaniowe</w:t>
      </w:r>
      <w:r w:rsidRPr="00BE6FA1">
        <w:rPr>
          <w:rFonts w:ascii="Times New Roman" w:hAnsi="Times New Roman" w:cs="Times New Roman"/>
          <w:color w:val="auto"/>
        </w:rPr>
        <w:t xml:space="preserve"> w podziale na nośniki energii</w:t>
      </w:r>
      <w:bookmarkEnd w:id="131"/>
    </w:p>
    <w:p w:rsidR="009916AC" w:rsidRPr="00BE6FA1" w:rsidRDefault="009916AC" w:rsidP="003A27DA">
      <w:pPr>
        <w:spacing w:line="360" w:lineRule="auto"/>
        <w:rPr>
          <w:rFonts w:ascii="Times New Roman" w:hAnsi="Times New Roman" w:cs="Times New Roman"/>
        </w:rPr>
      </w:pPr>
    </w:p>
    <w:p w:rsidR="009916AC" w:rsidRPr="00BE6FA1" w:rsidRDefault="009916AC" w:rsidP="003A27DA">
      <w:pPr>
        <w:spacing w:line="360" w:lineRule="auto"/>
        <w:rPr>
          <w:rFonts w:ascii="Times New Roman" w:hAnsi="Times New Roman" w:cs="Times New Roman"/>
        </w:rPr>
      </w:pPr>
    </w:p>
    <w:p w:rsidR="009916AC" w:rsidRPr="00BE6FA1" w:rsidRDefault="00E840A2" w:rsidP="00132D29">
      <w:pPr>
        <w:spacing w:line="360" w:lineRule="auto"/>
        <w:jc w:val="center"/>
        <w:rPr>
          <w:rFonts w:ascii="Times New Roman" w:hAnsi="Times New Roman" w:cs="Times New Roman"/>
        </w:rPr>
      </w:pPr>
      <w:r w:rsidRPr="00BE6FA1">
        <w:rPr>
          <w:rFonts w:ascii="Times New Roman" w:hAnsi="Times New Roman" w:cs="Times New Roman"/>
          <w:noProof/>
        </w:rPr>
        <w:drawing>
          <wp:inline distT="0" distB="0" distL="0" distR="0" wp14:anchorId="349DBF24" wp14:editId="22BAA118">
            <wp:extent cx="5322094" cy="3250406"/>
            <wp:effectExtent l="0" t="0" r="0" b="7620"/>
            <wp:docPr id="6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916AC" w:rsidRPr="00BE6FA1" w:rsidRDefault="009916AC" w:rsidP="00132D29">
      <w:pPr>
        <w:pStyle w:val="Legenda"/>
        <w:spacing w:line="360" w:lineRule="auto"/>
        <w:jc w:val="center"/>
        <w:rPr>
          <w:rFonts w:ascii="Times New Roman" w:hAnsi="Times New Roman" w:cs="Times New Roman"/>
          <w:color w:val="auto"/>
          <w:sz w:val="24"/>
        </w:rPr>
      </w:pPr>
      <w:bookmarkStart w:id="132" w:name="_Toc448844740"/>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11</w:t>
      </w:r>
      <w:r w:rsidR="00BB43A3" w:rsidRPr="00BE6FA1">
        <w:rPr>
          <w:rFonts w:ascii="Times New Roman" w:hAnsi="Times New Roman" w:cs="Times New Roman"/>
          <w:color w:val="auto"/>
        </w:rPr>
        <w:fldChar w:fldCharType="end"/>
      </w:r>
      <w:r w:rsidR="00E840A2" w:rsidRPr="00BE6FA1">
        <w:rPr>
          <w:rFonts w:ascii="Times New Roman" w:hAnsi="Times New Roman" w:cs="Times New Roman"/>
          <w:color w:val="auto"/>
        </w:rPr>
        <w:t>. Emisja CO</w:t>
      </w:r>
      <w:r w:rsidR="00E840A2" w:rsidRPr="00BE6FA1">
        <w:rPr>
          <w:rFonts w:ascii="Times New Roman" w:hAnsi="Times New Roman" w:cs="Times New Roman"/>
          <w:color w:val="auto"/>
          <w:vertAlign w:val="subscript"/>
        </w:rPr>
        <w:t>2</w:t>
      </w:r>
      <w:r w:rsidR="00E840A2" w:rsidRPr="00BE6FA1">
        <w:rPr>
          <w:rFonts w:ascii="Times New Roman" w:hAnsi="Times New Roman" w:cs="Times New Roman"/>
          <w:color w:val="auto"/>
        </w:rPr>
        <w:t xml:space="preserve"> przez spółdzielnie i wspólnoty mieszkaniowe </w:t>
      </w:r>
      <w:r w:rsidRPr="00BE6FA1">
        <w:rPr>
          <w:rFonts w:ascii="Times New Roman" w:hAnsi="Times New Roman" w:cs="Times New Roman"/>
          <w:color w:val="auto"/>
        </w:rPr>
        <w:t>w podziale na nośniki energii</w:t>
      </w:r>
      <w:bookmarkEnd w:id="132"/>
    </w:p>
    <w:p w:rsidR="009916AC" w:rsidRPr="00BE6FA1" w:rsidRDefault="009916AC" w:rsidP="003A27DA">
      <w:pPr>
        <w:spacing w:line="360" w:lineRule="auto"/>
        <w:rPr>
          <w:rFonts w:ascii="Times New Roman" w:hAnsi="Times New Roman" w:cs="Times New Roman"/>
        </w:rPr>
      </w:pPr>
    </w:p>
    <w:p w:rsidR="006F54FB" w:rsidRPr="00BE6FA1" w:rsidRDefault="006F54FB" w:rsidP="003A27DA">
      <w:pPr>
        <w:pStyle w:val="Nagwek2"/>
        <w:spacing w:line="360" w:lineRule="auto"/>
        <w:rPr>
          <w:rFonts w:ascii="Times New Roman" w:hAnsi="Times New Roman" w:cs="Times New Roman"/>
          <w:color w:val="auto"/>
        </w:rPr>
      </w:pPr>
      <w:bookmarkStart w:id="133" w:name="_Toc442426527"/>
      <w:bookmarkStart w:id="134" w:name="_Toc449097745"/>
      <w:r w:rsidRPr="00BE6FA1">
        <w:rPr>
          <w:rFonts w:ascii="Times New Roman" w:hAnsi="Times New Roman" w:cs="Times New Roman"/>
          <w:color w:val="auto"/>
        </w:rPr>
        <w:lastRenderedPageBreak/>
        <w:t>Obiekty sakralne</w:t>
      </w:r>
      <w:bookmarkEnd w:id="133"/>
      <w:bookmarkEnd w:id="134"/>
    </w:p>
    <w:p w:rsidR="009916AC" w:rsidRPr="00BE6FA1" w:rsidRDefault="009916AC" w:rsidP="003A27DA">
      <w:pPr>
        <w:spacing w:line="360" w:lineRule="auto"/>
        <w:rPr>
          <w:rFonts w:ascii="Times New Roman" w:hAnsi="Times New Roman" w:cs="Times New Roman"/>
        </w:rPr>
      </w:pPr>
    </w:p>
    <w:p w:rsidR="009916AC" w:rsidRPr="00BE6FA1" w:rsidRDefault="00D4091C"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 xml:space="preserve">Zanieczyszczenie powietrza powstające przez obiekty sakralne wynikało przede wszystkim ze spalania drewna (60% emisji) i gazu ziemnego (25%) na cele grzewcze. </w:t>
      </w:r>
      <w:r w:rsidR="00AB1486" w:rsidRPr="00BE6FA1">
        <w:rPr>
          <w:rFonts w:ascii="Times New Roman" w:hAnsi="Times New Roman" w:cs="Times New Roman"/>
          <w:sz w:val="24"/>
        </w:rPr>
        <w:br/>
      </w:r>
      <w:r w:rsidRPr="00BE6FA1">
        <w:rPr>
          <w:rFonts w:ascii="Times New Roman" w:hAnsi="Times New Roman" w:cs="Times New Roman"/>
          <w:sz w:val="24"/>
        </w:rPr>
        <w:t>Jedynie 13% emisji CO2 spowodowane było wykorzystaniem energii elektrycznej.</w:t>
      </w:r>
    </w:p>
    <w:p w:rsidR="00425222" w:rsidRPr="00BE6FA1" w:rsidRDefault="00425222" w:rsidP="003A27DA">
      <w:pPr>
        <w:spacing w:line="360" w:lineRule="auto"/>
        <w:ind w:firstLine="720"/>
        <w:jc w:val="both"/>
        <w:rPr>
          <w:rFonts w:ascii="Times New Roman" w:hAnsi="Times New Roman" w:cs="Times New Roman"/>
          <w:sz w:val="24"/>
        </w:rPr>
      </w:pPr>
    </w:p>
    <w:tbl>
      <w:tblPr>
        <w:tblStyle w:val="Tabela-Siatka"/>
        <w:tblW w:w="5000" w:type="pct"/>
        <w:jc w:val="center"/>
        <w:tblLook w:val="04A0" w:firstRow="1" w:lastRow="0" w:firstColumn="1" w:lastColumn="0" w:noHBand="0" w:noVBand="1"/>
      </w:tblPr>
      <w:tblGrid>
        <w:gridCol w:w="3020"/>
        <w:gridCol w:w="3021"/>
        <w:gridCol w:w="3021"/>
      </w:tblGrid>
      <w:tr w:rsidR="00970CF4" w:rsidRPr="00BE6FA1" w:rsidTr="001335EB">
        <w:trPr>
          <w:jc w:val="center"/>
        </w:trPr>
        <w:tc>
          <w:tcPr>
            <w:tcW w:w="1666" w:type="pct"/>
            <w:vMerge w:val="restart"/>
            <w:vAlign w:val="center"/>
          </w:tcPr>
          <w:p w:rsidR="00D4091C" w:rsidRPr="00BE6FA1" w:rsidRDefault="00D4091C" w:rsidP="001335EB">
            <w:pPr>
              <w:spacing w:line="360" w:lineRule="auto"/>
              <w:jc w:val="center"/>
              <w:rPr>
                <w:rFonts w:ascii="Times New Roman" w:hAnsi="Times New Roman" w:cs="Times New Roman"/>
                <w:b/>
                <w:sz w:val="24"/>
                <w:szCs w:val="24"/>
              </w:rPr>
            </w:pPr>
            <w:bookmarkStart w:id="135" w:name="_Toc439280131"/>
            <w:r w:rsidRPr="00BE6FA1">
              <w:rPr>
                <w:rFonts w:ascii="Times New Roman" w:hAnsi="Times New Roman" w:cs="Times New Roman"/>
                <w:b/>
                <w:sz w:val="24"/>
                <w:szCs w:val="24"/>
              </w:rPr>
              <w:t>Nośnik energii</w:t>
            </w:r>
          </w:p>
        </w:tc>
        <w:tc>
          <w:tcPr>
            <w:tcW w:w="1667" w:type="pct"/>
            <w:vAlign w:val="center"/>
          </w:tcPr>
          <w:p w:rsidR="00D4091C" w:rsidRPr="00BE6FA1" w:rsidRDefault="00D4091C"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D4091C" w:rsidRPr="00BE6FA1" w:rsidRDefault="00D4091C"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970CF4" w:rsidRPr="00BE6FA1" w:rsidTr="001335EB">
        <w:trPr>
          <w:jc w:val="center"/>
        </w:trPr>
        <w:tc>
          <w:tcPr>
            <w:tcW w:w="1666" w:type="pct"/>
            <w:vMerge/>
            <w:vAlign w:val="center"/>
          </w:tcPr>
          <w:p w:rsidR="00D4091C" w:rsidRPr="00BE6FA1" w:rsidRDefault="00D4091C" w:rsidP="001335EB">
            <w:pPr>
              <w:spacing w:line="360" w:lineRule="auto"/>
              <w:jc w:val="center"/>
              <w:rPr>
                <w:rFonts w:ascii="Times New Roman" w:hAnsi="Times New Roman" w:cs="Times New Roman"/>
                <w:b/>
                <w:sz w:val="24"/>
                <w:szCs w:val="24"/>
              </w:rPr>
            </w:pPr>
          </w:p>
        </w:tc>
        <w:tc>
          <w:tcPr>
            <w:tcW w:w="1667" w:type="pct"/>
            <w:vAlign w:val="center"/>
          </w:tcPr>
          <w:p w:rsidR="00D4091C" w:rsidRPr="00BE6FA1" w:rsidRDefault="00D4091C"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D4091C" w:rsidRPr="00BE6FA1" w:rsidRDefault="00D4091C" w:rsidP="001335EB">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970CF4" w:rsidRPr="00BE6FA1" w:rsidTr="001335EB">
        <w:trPr>
          <w:jc w:val="center"/>
        </w:trPr>
        <w:tc>
          <w:tcPr>
            <w:tcW w:w="1666"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Drewno</w:t>
            </w:r>
          </w:p>
        </w:tc>
        <w:tc>
          <w:tcPr>
            <w:tcW w:w="1667"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352,35</w:t>
            </w:r>
          </w:p>
        </w:tc>
        <w:tc>
          <w:tcPr>
            <w:tcW w:w="1667"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38,67</w:t>
            </w:r>
          </w:p>
        </w:tc>
      </w:tr>
      <w:tr w:rsidR="00970CF4" w:rsidRPr="00BE6FA1" w:rsidTr="001335EB">
        <w:trPr>
          <w:jc w:val="center"/>
        </w:trPr>
        <w:tc>
          <w:tcPr>
            <w:tcW w:w="1666"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77,06</w:t>
            </w:r>
          </w:p>
        </w:tc>
        <w:tc>
          <w:tcPr>
            <w:tcW w:w="1667" w:type="pct"/>
            <w:vAlign w:val="center"/>
          </w:tcPr>
          <w:p w:rsidR="00D4091C" w:rsidRPr="00BE6FA1" w:rsidRDefault="00D4091C" w:rsidP="001335EB">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17,80</w:t>
            </w:r>
          </w:p>
        </w:tc>
      </w:tr>
      <w:tr w:rsidR="00970CF4" w:rsidRPr="00BE6FA1" w:rsidTr="001335EB">
        <w:trPr>
          <w:jc w:val="center"/>
        </w:trPr>
        <w:tc>
          <w:tcPr>
            <w:tcW w:w="1666"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D4091C" w:rsidRPr="00BE6FA1" w:rsidRDefault="00D4091C"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139,75</w:t>
            </w:r>
          </w:p>
        </w:tc>
        <w:tc>
          <w:tcPr>
            <w:tcW w:w="1667" w:type="pct"/>
            <w:vAlign w:val="center"/>
          </w:tcPr>
          <w:p w:rsidR="00D4091C" w:rsidRPr="00BE6FA1" w:rsidRDefault="00D4091C" w:rsidP="001335EB">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7,80</w:t>
            </w:r>
          </w:p>
        </w:tc>
      </w:tr>
    </w:tbl>
    <w:p w:rsidR="009916AC" w:rsidRPr="00BE6FA1" w:rsidRDefault="009916AC" w:rsidP="003A27DA">
      <w:pPr>
        <w:pStyle w:val="Legenda"/>
        <w:spacing w:line="360" w:lineRule="auto"/>
        <w:rPr>
          <w:rFonts w:ascii="Times New Roman" w:hAnsi="Times New Roman" w:cs="Times New Roman"/>
          <w:color w:val="auto"/>
        </w:rPr>
      </w:pPr>
      <w:bookmarkStart w:id="136" w:name="_Toc445289861"/>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 obiektach sakralnych</w:t>
      </w:r>
      <w:bookmarkEnd w:id="135"/>
      <w:bookmarkEnd w:id="136"/>
    </w:p>
    <w:p w:rsidR="00425222" w:rsidRPr="00BE6FA1" w:rsidRDefault="00425222" w:rsidP="00425222">
      <w:pPr>
        <w:rPr>
          <w:rFonts w:ascii="Times New Roman" w:hAnsi="Times New Roman" w:cs="Times New Roman"/>
        </w:rPr>
      </w:pPr>
    </w:p>
    <w:p w:rsidR="00425222" w:rsidRPr="00BE6FA1" w:rsidRDefault="00425222" w:rsidP="00425222">
      <w:pPr>
        <w:rPr>
          <w:rFonts w:ascii="Times New Roman" w:hAnsi="Times New Roman" w:cs="Times New Roman"/>
        </w:rPr>
      </w:pPr>
    </w:p>
    <w:p w:rsidR="00D4091C" w:rsidRPr="00BE6FA1" w:rsidRDefault="00D4091C" w:rsidP="00D4091C">
      <w:pPr>
        <w:keepNext/>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6CC2E777" wp14:editId="0C36A097">
            <wp:extent cx="5398634" cy="3510643"/>
            <wp:effectExtent l="19050" t="0" r="11566" b="0"/>
            <wp:docPr id="75"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4091C" w:rsidRPr="00BE6FA1" w:rsidRDefault="00D4091C" w:rsidP="00D4091C">
      <w:pPr>
        <w:pStyle w:val="Legenda"/>
        <w:rPr>
          <w:rFonts w:ascii="Times New Roman" w:hAnsi="Times New Roman" w:cs="Times New Roman"/>
          <w:color w:val="auto"/>
        </w:rPr>
      </w:pPr>
      <w:bookmarkStart w:id="137" w:name="_Toc448844741"/>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przez obiekty sakralne w podziale na nośniki energii</w:t>
      </w:r>
      <w:bookmarkEnd w:id="137"/>
    </w:p>
    <w:p w:rsidR="00D4091C" w:rsidRPr="00BE6FA1" w:rsidRDefault="00D4091C" w:rsidP="00D4091C">
      <w:pPr>
        <w:keepNext/>
        <w:rPr>
          <w:rFonts w:ascii="Times New Roman" w:hAnsi="Times New Roman" w:cs="Times New Roman"/>
        </w:rPr>
      </w:pPr>
      <w:r w:rsidRPr="00BE6FA1">
        <w:rPr>
          <w:rFonts w:ascii="Times New Roman" w:hAnsi="Times New Roman" w:cs="Times New Roman"/>
          <w:noProof/>
        </w:rPr>
        <w:lastRenderedPageBreak/>
        <w:drawing>
          <wp:inline distT="0" distB="0" distL="0" distR="0" wp14:anchorId="26BB8AF6" wp14:editId="03CECB80">
            <wp:extent cx="5441156" cy="3440905"/>
            <wp:effectExtent l="19050" t="0" r="26194" b="7145"/>
            <wp:docPr id="76"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4091C" w:rsidRPr="00BE6FA1" w:rsidRDefault="00D4091C" w:rsidP="00D4091C">
      <w:pPr>
        <w:pStyle w:val="Legenda"/>
        <w:rPr>
          <w:rFonts w:ascii="Times New Roman" w:hAnsi="Times New Roman" w:cs="Times New Roman"/>
          <w:color w:val="auto"/>
          <w:sz w:val="24"/>
        </w:rPr>
      </w:pPr>
      <w:bookmarkStart w:id="138" w:name="_Toc448844742"/>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przez obiekty sakralne w podziale na nośniki energii</w:t>
      </w:r>
      <w:bookmarkEnd w:id="138"/>
    </w:p>
    <w:p w:rsidR="00D4091C" w:rsidRPr="00BE6FA1" w:rsidRDefault="00D4091C" w:rsidP="00D4091C">
      <w:pPr>
        <w:pStyle w:val="Legenda"/>
        <w:rPr>
          <w:rFonts w:ascii="Times New Roman" w:hAnsi="Times New Roman" w:cs="Times New Roman"/>
          <w:color w:val="auto"/>
        </w:rPr>
      </w:pPr>
    </w:p>
    <w:p w:rsidR="006F54FB" w:rsidRPr="00BE6FA1" w:rsidRDefault="006F54FB" w:rsidP="00D4091C">
      <w:pPr>
        <w:pStyle w:val="Legenda"/>
        <w:rPr>
          <w:rFonts w:ascii="Times New Roman" w:hAnsi="Times New Roman" w:cs="Times New Roman"/>
          <w:color w:val="auto"/>
        </w:rPr>
      </w:pPr>
    </w:p>
    <w:p w:rsidR="00425222" w:rsidRPr="00BE6FA1" w:rsidRDefault="00425222" w:rsidP="00425222">
      <w:pPr>
        <w:rPr>
          <w:rFonts w:ascii="Times New Roman" w:hAnsi="Times New Roman" w:cs="Times New Roman"/>
        </w:rPr>
      </w:pPr>
    </w:p>
    <w:p w:rsidR="006F54FB" w:rsidRPr="00BE6FA1" w:rsidRDefault="006F54FB" w:rsidP="003A27DA">
      <w:pPr>
        <w:pStyle w:val="Nagwek2"/>
        <w:spacing w:line="360" w:lineRule="auto"/>
        <w:rPr>
          <w:rFonts w:ascii="Times New Roman" w:hAnsi="Times New Roman" w:cs="Times New Roman"/>
          <w:color w:val="auto"/>
        </w:rPr>
      </w:pPr>
      <w:bookmarkStart w:id="139" w:name="_Toc442426528"/>
      <w:bookmarkStart w:id="140" w:name="_Toc449097746"/>
      <w:r w:rsidRPr="00BE6FA1">
        <w:rPr>
          <w:rFonts w:ascii="Times New Roman" w:hAnsi="Times New Roman" w:cs="Times New Roman"/>
          <w:color w:val="auto"/>
        </w:rPr>
        <w:t>Oświetlenie uliczne</w:t>
      </w:r>
      <w:bookmarkEnd w:id="139"/>
      <w:bookmarkEnd w:id="140"/>
    </w:p>
    <w:p w:rsidR="009916AC" w:rsidRPr="00BE6FA1" w:rsidRDefault="009916AC" w:rsidP="003A27DA">
      <w:pPr>
        <w:spacing w:line="360" w:lineRule="auto"/>
        <w:rPr>
          <w:rFonts w:ascii="Times New Roman" w:hAnsi="Times New Roman" w:cs="Times New Roman"/>
        </w:rPr>
      </w:pPr>
    </w:p>
    <w:p w:rsidR="00A737E2" w:rsidRPr="00BE6FA1" w:rsidRDefault="00A737E2" w:rsidP="003A27DA">
      <w:pPr>
        <w:shd w:val="clear" w:color="auto" w:fill="FFFFFF"/>
        <w:spacing w:after="0" w:line="360" w:lineRule="auto"/>
        <w:ind w:firstLine="708"/>
        <w:jc w:val="both"/>
        <w:rPr>
          <w:rFonts w:ascii="Times New Roman" w:eastAsia="Times New Roman" w:hAnsi="Times New Roman" w:cs="Times New Roman"/>
          <w:sz w:val="24"/>
          <w:szCs w:val="24"/>
        </w:rPr>
      </w:pPr>
      <w:r w:rsidRPr="00BE6FA1">
        <w:rPr>
          <w:rFonts w:ascii="Times New Roman" w:hAnsi="Times New Roman" w:cs="Times New Roman"/>
          <w:sz w:val="24"/>
          <w:szCs w:val="24"/>
        </w:rPr>
        <w:t xml:space="preserve">Roczne zużycie energii elektrycznej na oświetlenie uliczne i drogowe w Gminie Kańczuga w 2015r. wyniosło </w:t>
      </w:r>
      <w:r w:rsidRPr="00BE6FA1">
        <w:rPr>
          <w:rFonts w:ascii="Times New Roman" w:eastAsia="Times New Roman" w:hAnsi="Times New Roman" w:cs="Times New Roman"/>
          <w:sz w:val="24"/>
          <w:szCs w:val="24"/>
        </w:rPr>
        <w:t xml:space="preserve">411,562 MWh. System oświetlenia ulic składa się łącznie </w:t>
      </w:r>
      <w:r w:rsidRPr="00BE6FA1">
        <w:rPr>
          <w:rFonts w:ascii="Times New Roman" w:eastAsia="Times New Roman" w:hAnsi="Times New Roman" w:cs="Times New Roman"/>
          <w:sz w:val="24"/>
          <w:szCs w:val="24"/>
        </w:rPr>
        <w:br/>
        <w:t>z 1 202 opraw oświetleniowych.</w:t>
      </w:r>
    </w:p>
    <w:p w:rsidR="009916AC" w:rsidRPr="00BE6FA1" w:rsidRDefault="009916AC" w:rsidP="003A27DA">
      <w:pPr>
        <w:spacing w:line="360" w:lineRule="auto"/>
        <w:jc w:val="both"/>
        <w:rPr>
          <w:rFonts w:ascii="Times New Roman" w:eastAsia="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3025"/>
        <w:gridCol w:w="3021"/>
        <w:gridCol w:w="3016"/>
      </w:tblGrid>
      <w:tr w:rsidR="009916AC" w:rsidRPr="00BE6FA1" w:rsidTr="001451E6">
        <w:trPr>
          <w:jc w:val="center"/>
        </w:trPr>
        <w:tc>
          <w:tcPr>
            <w:tcW w:w="3070" w:type="dxa"/>
            <w:vMerge w:val="restar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3071" w:type="dxa"/>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3071" w:type="dxa"/>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9916AC" w:rsidRPr="00BE6FA1" w:rsidTr="001451E6">
        <w:trPr>
          <w:jc w:val="center"/>
        </w:trPr>
        <w:tc>
          <w:tcPr>
            <w:tcW w:w="3070" w:type="dxa"/>
            <w:vMerge/>
            <w:vAlign w:val="center"/>
          </w:tcPr>
          <w:p w:rsidR="009916AC" w:rsidRPr="00BE6FA1" w:rsidRDefault="009916AC" w:rsidP="003A27DA">
            <w:pPr>
              <w:spacing w:line="360" w:lineRule="auto"/>
              <w:jc w:val="center"/>
              <w:rPr>
                <w:rFonts w:ascii="Times New Roman" w:hAnsi="Times New Roman" w:cs="Times New Roman"/>
                <w:b/>
                <w:sz w:val="24"/>
                <w:szCs w:val="24"/>
              </w:rPr>
            </w:pPr>
          </w:p>
        </w:tc>
        <w:tc>
          <w:tcPr>
            <w:tcW w:w="3071" w:type="dxa"/>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3071" w:type="dxa"/>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9916AC" w:rsidRPr="00BE6FA1" w:rsidTr="001451E6">
        <w:trPr>
          <w:jc w:val="center"/>
        </w:trPr>
        <w:tc>
          <w:tcPr>
            <w:tcW w:w="3070" w:type="dxa"/>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3071" w:type="dxa"/>
            <w:vAlign w:val="center"/>
          </w:tcPr>
          <w:p w:rsidR="009916AC" w:rsidRPr="00BE6FA1" w:rsidRDefault="00795191"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1481,62</w:t>
            </w:r>
          </w:p>
        </w:tc>
        <w:tc>
          <w:tcPr>
            <w:tcW w:w="3071" w:type="dxa"/>
            <w:vAlign w:val="center"/>
          </w:tcPr>
          <w:p w:rsidR="009916AC" w:rsidRPr="00BE6FA1" w:rsidRDefault="00795191"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342,21</w:t>
            </w:r>
          </w:p>
        </w:tc>
      </w:tr>
    </w:tbl>
    <w:p w:rsidR="009916AC" w:rsidRPr="00BE6FA1" w:rsidRDefault="009916AC" w:rsidP="003A27DA">
      <w:pPr>
        <w:pStyle w:val="Legenda"/>
        <w:spacing w:line="360" w:lineRule="auto"/>
        <w:rPr>
          <w:rFonts w:ascii="Times New Roman" w:hAnsi="Times New Roman" w:cs="Times New Roman"/>
          <w:color w:val="auto"/>
        </w:rPr>
      </w:pPr>
      <w:bookmarkStart w:id="141" w:name="_Toc439280132"/>
      <w:bookmarkStart w:id="142" w:name="_Toc445289862"/>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15</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z oświetlenia ulicznego</w:t>
      </w:r>
      <w:bookmarkEnd w:id="141"/>
      <w:bookmarkEnd w:id="142"/>
    </w:p>
    <w:p w:rsidR="006F54FB" w:rsidRPr="00BE6FA1" w:rsidRDefault="006F54FB" w:rsidP="003A27DA">
      <w:pPr>
        <w:spacing w:line="360" w:lineRule="auto"/>
        <w:rPr>
          <w:rFonts w:ascii="Times New Roman" w:hAnsi="Times New Roman" w:cs="Times New Roman"/>
        </w:rPr>
      </w:pPr>
    </w:p>
    <w:p w:rsidR="00A737E2" w:rsidRPr="00BE6FA1" w:rsidRDefault="00A737E2" w:rsidP="003A27DA">
      <w:pPr>
        <w:spacing w:line="360" w:lineRule="auto"/>
        <w:rPr>
          <w:rFonts w:ascii="Times New Roman" w:hAnsi="Times New Roman" w:cs="Times New Roman"/>
        </w:rPr>
      </w:pPr>
    </w:p>
    <w:p w:rsidR="00A737E2" w:rsidRPr="00BE6FA1" w:rsidRDefault="00A737E2" w:rsidP="003A27DA">
      <w:pPr>
        <w:spacing w:line="360" w:lineRule="auto"/>
        <w:rPr>
          <w:rFonts w:ascii="Times New Roman" w:hAnsi="Times New Roman" w:cs="Times New Roman"/>
        </w:rPr>
      </w:pPr>
    </w:p>
    <w:p w:rsidR="009916AC" w:rsidRPr="00BE6FA1" w:rsidRDefault="006F54FB" w:rsidP="003A27DA">
      <w:pPr>
        <w:pStyle w:val="Nagwek2"/>
        <w:spacing w:line="360" w:lineRule="auto"/>
        <w:rPr>
          <w:rFonts w:ascii="Times New Roman" w:hAnsi="Times New Roman" w:cs="Times New Roman"/>
          <w:color w:val="auto"/>
        </w:rPr>
      </w:pPr>
      <w:bookmarkStart w:id="143" w:name="_Toc442426529"/>
      <w:bookmarkStart w:id="144" w:name="_Toc449097747"/>
      <w:r w:rsidRPr="00BE6FA1">
        <w:rPr>
          <w:rFonts w:ascii="Times New Roman" w:hAnsi="Times New Roman" w:cs="Times New Roman"/>
          <w:color w:val="auto"/>
        </w:rPr>
        <w:lastRenderedPageBreak/>
        <w:t>Transport</w:t>
      </w:r>
      <w:bookmarkEnd w:id="143"/>
      <w:bookmarkEnd w:id="144"/>
    </w:p>
    <w:p w:rsidR="009916AC" w:rsidRPr="00BE6FA1" w:rsidRDefault="009916AC" w:rsidP="003A27DA">
      <w:pPr>
        <w:spacing w:line="360" w:lineRule="auto"/>
        <w:rPr>
          <w:rFonts w:ascii="Times New Roman" w:hAnsi="Times New Roman" w:cs="Times New Roman"/>
        </w:rPr>
      </w:pPr>
    </w:p>
    <w:p w:rsidR="00FE25A8" w:rsidRPr="00BE6FA1" w:rsidRDefault="009916AC"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Jednym z elementów ankiety przeprowadzonej wśród mieszkańców było zużycie  paliw na cele transportowe oraz rodzaj środków transportu z których korzystają. Pod uwagę wzięto motocykle, samochody osobowe, ciężarowe</w:t>
      </w:r>
      <w:r w:rsidR="00795191" w:rsidRPr="00BE6FA1">
        <w:rPr>
          <w:rFonts w:ascii="Times New Roman" w:hAnsi="Times New Roman" w:cs="Times New Roman"/>
          <w:sz w:val="24"/>
        </w:rPr>
        <w:t>,</w:t>
      </w:r>
      <w:r w:rsidRPr="00BE6FA1">
        <w:rPr>
          <w:rFonts w:ascii="Times New Roman" w:hAnsi="Times New Roman" w:cs="Times New Roman"/>
          <w:sz w:val="24"/>
        </w:rPr>
        <w:t xml:space="preserve"> dostawcze</w:t>
      </w:r>
      <w:r w:rsidR="00795191" w:rsidRPr="00BE6FA1">
        <w:rPr>
          <w:rFonts w:ascii="Times New Roman" w:hAnsi="Times New Roman" w:cs="Times New Roman"/>
          <w:sz w:val="24"/>
        </w:rPr>
        <w:t xml:space="preserve"> oraz rolnicze</w:t>
      </w:r>
      <w:r w:rsidRPr="00BE6FA1">
        <w:rPr>
          <w:rFonts w:ascii="Times New Roman" w:hAnsi="Times New Roman" w:cs="Times New Roman"/>
          <w:sz w:val="24"/>
        </w:rPr>
        <w:t xml:space="preserve">. Dominującym </w:t>
      </w:r>
      <w:r w:rsidR="00FE25A8" w:rsidRPr="00BE6FA1">
        <w:rPr>
          <w:rFonts w:ascii="Times New Roman" w:hAnsi="Times New Roman" w:cs="Times New Roman"/>
          <w:sz w:val="24"/>
        </w:rPr>
        <w:t xml:space="preserve">środkiem transportu mieszkańców Miasta i </w:t>
      </w:r>
      <w:r w:rsidRPr="00BE6FA1">
        <w:rPr>
          <w:rFonts w:ascii="Times New Roman" w:hAnsi="Times New Roman" w:cs="Times New Roman"/>
          <w:sz w:val="24"/>
        </w:rPr>
        <w:t xml:space="preserve">Gminy </w:t>
      </w:r>
      <w:r w:rsidR="00795191" w:rsidRPr="00BE6FA1">
        <w:rPr>
          <w:rFonts w:ascii="Times New Roman" w:hAnsi="Times New Roman" w:cs="Times New Roman"/>
          <w:sz w:val="24"/>
        </w:rPr>
        <w:t>Kańczuga</w:t>
      </w:r>
      <w:r w:rsidRPr="00BE6FA1">
        <w:rPr>
          <w:rFonts w:ascii="Times New Roman" w:hAnsi="Times New Roman" w:cs="Times New Roman"/>
          <w:sz w:val="24"/>
        </w:rPr>
        <w:t xml:space="preserve"> są samochody osobowe. </w:t>
      </w:r>
      <w:r w:rsidR="00FE25A8" w:rsidRPr="00BE6FA1">
        <w:rPr>
          <w:rFonts w:ascii="Times New Roman" w:hAnsi="Times New Roman" w:cs="Times New Roman"/>
          <w:sz w:val="24"/>
        </w:rPr>
        <w:t xml:space="preserve">Poniższa analiza nie uwzględnia emisji z transportu publicznego, gdyż stanowi on marginalny środek komunikacji na terenie Miasta i Gminy Kańczuga, oraz nie są planowane nowe systemu organizacji ruchu. </w:t>
      </w:r>
    </w:p>
    <w:p w:rsidR="009916AC" w:rsidRPr="00BE6FA1" w:rsidRDefault="009916AC" w:rsidP="003A27DA">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 xml:space="preserve">Zanieczyszczenie powietrza dwutlenkiem węgla w sektorze transportu prywatnego spowodowane było w głównej mierze przez spalanie oleju napędowego </w:t>
      </w:r>
      <w:r w:rsidR="00002138" w:rsidRPr="00BE6FA1">
        <w:rPr>
          <w:rFonts w:ascii="Times New Roman" w:hAnsi="Times New Roman" w:cs="Times New Roman"/>
          <w:sz w:val="24"/>
        </w:rPr>
        <w:t>(5</w:t>
      </w:r>
      <w:r w:rsidR="00795191" w:rsidRPr="00BE6FA1">
        <w:rPr>
          <w:rFonts w:ascii="Times New Roman" w:hAnsi="Times New Roman" w:cs="Times New Roman"/>
          <w:sz w:val="24"/>
        </w:rPr>
        <w:t>1,9</w:t>
      </w:r>
      <w:r w:rsidRPr="00BE6FA1">
        <w:rPr>
          <w:rFonts w:ascii="Times New Roman" w:hAnsi="Times New Roman" w:cs="Times New Roman"/>
          <w:sz w:val="24"/>
        </w:rPr>
        <w:t>%)</w:t>
      </w:r>
      <w:r w:rsidR="00563D06" w:rsidRPr="00BE6FA1">
        <w:rPr>
          <w:rFonts w:ascii="Times New Roman" w:hAnsi="Times New Roman" w:cs="Times New Roman"/>
          <w:sz w:val="24"/>
        </w:rPr>
        <w:t>.</w:t>
      </w:r>
    </w:p>
    <w:tbl>
      <w:tblPr>
        <w:tblStyle w:val="Tabela-Siatka"/>
        <w:tblW w:w="5000" w:type="pct"/>
        <w:jc w:val="center"/>
        <w:tblLook w:val="04A0" w:firstRow="1" w:lastRow="0" w:firstColumn="1" w:lastColumn="0" w:noHBand="0" w:noVBand="1"/>
      </w:tblPr>
      <w:tblGrid>
        <w:gridCol w:w="3020"/>
        <w:gridCol w:w="3021"/>
        <w:gridCol w:w="3021"/>
      </w:tblGrid>
      <w:tr w:rsidR="00970CF4" w:rsidRPr="00BE6FA1" w:rsidTr="001451E6">
        <w:trPr>
          <w:jc w:val="center"/>
        </w:trPr>
        <w:tc>
          <w:tcPr>
            <w:tcW w:w="1666" w:type="pct"/>
            <w:vMerge w:val="restar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970CF4" w:rsidRPr="00BE6FA1" w:rsidTr="001451E6">
        <w:trPr>
          <w:jc w:val="center"/>
        </w:trPr>
        <w:tc>
          <w:tcPr>
            <w:tcW w:w="1666" w:type="pct"/>
            <w:vMerge/>
            <w:vAlign w:val="center"/>
          </w:tcPr>
          <w:p w:rsidR="009916AC" w:rsidRPr="00BE6FA1" w:rsidRDefault="009916AC" w:rsidP="003A27DA">
            <w:pPr>
              <w:spacing w:line="360" w:lineRule="auto"/>
              <w:jc w:val="center"/>
              <w:rPr>
                <w:rFonts w:ascii="Times New Roman" w:hAnsi="Times New Roman" w:cs="Times New Roman"/>
                <w:b/>
                <w:sz w:val="24"/>
                <w:szCs w:val="24"/>
              </w:rPr>
            </w:pP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970CF4" w:rsidRPr="00BE6FA1" w:rsidTr="001451E6">
        <w:trPr>
          <w:jc w:val="center"/>
        </w:trPr>
        <w:tc>
          <w:tcPr>
            <w:tcW w:w="1666" w:type="pct"/>
            <w:vAlign w:val="center"/>
          </w:tcPr>
          <w:p w:rsidR="00795191" w:rsidRPr="00BE6FA1" w:rsidRDefault="00795191"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Benzyna</w:t>
            </w:r>
          </w:p>
        </w:tc>
        <w:tc>
          <w:tcPr>
            <w:tcW w:w="1667" w:type="pct"/>
            <w:vAlign w:val="center"/>
          </w:tcPr>
          <w:p w:rsidR="00795191" w:rsidRPr="00BE6FA1" w:rsidRDefault="00795191"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55880,64</w:t>
            </w:r>
          </w:p>
        </w:tc>
        <w:tc>
          <w:tcPr>
            <w:tcW w:w="1667" w:type="pct"/>
            <w:vAlign w:val="center"/>
          </w:tcPr>
          <w:p w:rsidR="00795191" w:rsidRPr="00BE6FA1" w:rsidRDefault="00795191"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3833,97</w:t>
            </w:r>
          </w:p>
        </w:tc>
      </w:tr>
      <w:tr w:rsidR="00970CF4" w:rsidRPr="00BE6FA1" w:rsidTr="001451E6">
        <w:trPr>
          <w:jc w:val="center"/>
        </w:trPr>
        <w:tc>
          <w:tcPr>
            <w:tcW w:w="1666" w:type="pct"/>
            <w:vAlign w:val="center"/>
          </w:tcPr>
          <w:p w:rsidR="00795191" w:rsidRPr="00BE6FA1" w:rsidRDefault="00795191"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Olej napędowy</w:t>
            </w:r>
          </w:p>
        </w:tc>
        <w:tc>
          <w:tcPr>
            <w:tcW w:w="1667" w:type="pct"/>
            <w:vAlign w:val="center"/>
          </w:tcPr>
          <w:p w:rsidR="00795191" w:rsidRPr="00BE6FA1" w:rsidRDefault="00795191"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126553,44</w:t>
            </w:r>
          </w:p>
        </w:tc>
        <w:tc>
          <w:tcPr>
            <w:tcW w:w="1667" w:type="pct"/>
            <w:vAlign w:val="center"/>
          </w:tcPr>
          <w:p w:rsidR="00795191" w:rsidRPr="00BE6FA1" w:rsidRDefault="00795191"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9280,16</w:t>
            </w:r>
          </w:p>
        </w:tc>
      </w:tr>
      <w:tr w:rsidR="00970CF4" w:rsidRPr="00BE6FA1" w:rsidTr="001451E6">
        <w:trPr>
          <w:jc w:val="center"/>
        </w:trPr>
        <w:tc>
          <w:tcPr>
            <w:tcW w:w="1666" w:type="pct"/>
            <w:vAlign w:val="center"/>
          </w:tcPr>
          <w:p w:rsidR="00795191" w:rsidRPr="00BE6FA1" w:rsidRDefault="00795191"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LPG</w:t>
            </w:r>
          </w:p>
        </w:tc>
        <w:tc>
          <w:tcPr>
            <w:tcW w:w="1667" w:type="pct"/>
            <w:vAlign w:val="center"/>
          </w:tcPr>
          <w:p w:rsidR="00795191" w:rsidRPr="00BE6FA1" w:rsidRDefault="00795191" w:rsidP="001335EB">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61641,79</w:t>
            </w:r>
          </w:p>
        </w:tc>
        <w:tc>
          <w:tcPr>
            <w:tcW w:w="1667" w:type="pct"/>
            <w:vAlign w:val="center"/>
          </w:tcPr>
          <w:p w:rsidR="00795191" w:rsidRPr="00BE6FA1" w:rsidRDefault="00795191" w:rsidP="001335EB">
            <w:pPr>
              <w:keepNext/>
              <w:tabs>
                <w:tab w:val="left" w:pos="2839"/>
              </w:tabs>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3848,91</w:t>
            </w:r>
          </w:p>
        </w:tc>
      </w:tr>
    </w:tbl>
    <w:p w:rsidR="009916AC" w:rsidRPr="00BE6FA1" w:rsidRDefault="009916AC" w:rsidP="003A27DA">
      <w:pPr>
        <w:pStyle w:val="Legenda"/>
        <w:spacing w:line="360" w:lineRule="auto"/>
        <w:rPr>
          <w:rFonts w:ascii="Times New Roman" w:hAnsi="Times New Roman" w:cs="Times New Roman"/>
          <w:color w:val="auto"/>
        </w:rPr>
      </w:pPr>
      <w:bookmarkStart w:id="145" w:name="_Toc439280133"/>
      <w:bookmarkStart w:id="146" w:name="_Toc445289863"/>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16</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z transportu</w:t>
      </w:r>
      <w:bookmarkEnd w:id="145"/>
      <w:bookmarkEnd w:id="146"/>
    </w:p>
    <w:p w:rsidR="00B43862" w:rsidRPr="00BE6FA1" w:rsidRDefault="00B43862" w:rsidP="003A27DA">
      <w:pPr>
        <w:spacing w:line="360" w:lineRule="auto"/>
        <w:rPr>
          <w:rFonts w:ascii="Times New Roman" w:hAnsi="Times New Roman" w:cs="Times New Roman"/>
        </w:rPr>
      </w:pPr>
    </w:p>
    <w:p w:rsidR="00B43862" w:rsidRPr="00BE6FA1" w:rsidRDefault="00E207B0" w:rsidP="003A27DA">
      <w:pPr>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2F618F98" wp14:editId="4CCE867F">
            <wp:extent cx="5041106" cy="3214688"/>
            <wp:effectExtent l="19050" t="0" r="26194" b="4762"/>
            <wp:docPr id="70"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43862" w:rsidRPr="00BE6FA1" w:rsidRDefault="00B43862" w:rsidP="00425222">
      <w:pPr>
        <w:pStyle w:val="Legenda"/>
        <w:spacing w:line="360" w:lineRule="auto"/>
        <w:rPr>
          <w:rFonts w:ascii="Times New Roman" w:hAnsi="Times New Roman" w:cs="Times New Roman"/>
          <w:color w:val="auto"/>
          <w:sz w:val="24"/>
        </w:rPr>
      </w:pPr>
      <w:bookmarkStart w:id="147" w:name="_Toc448844743"/>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t>
      </w:r>
      <w:r w:rsidR="00E207B0" w:rsidRPr="00BE6FA1">
        <w:rPr>
          <w:rFonts w:ascii="Times New Roman" w:hAnsi="Times New Roman" w:cs="Times New Roman"/>
          <w:color w:val="auto"/>
        </w:rPr>
        <w:t>Zużycie energii przez transport w podziale na nośniki energii</w:t>
      </w:r>
      <w:bookmarkEnd w:id="147"/>
    </w:p>
    <w:p w:rsidR="00B43862" w:rsidRPr="00BE6FA1" w:rsidRDefault="00E207B0" w:rsidP="003A27DA">
      <w:pPr>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2A0A8C88" wp14:editId="71BE0170">
            <wp:extent cx="4978253" cy="3094075"/>
            <wp:effectExtent l="19050" t="0" r="12847" b="0"/>
            <wp:docPr id="71"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25222" w:rsidRPr="00BE6FA1" w:rsidRDefault="00B43862" w:rsidP="001F0217">
      <w:pPr>
        <w:pStyle w:val="Legenda"/>
        <w:spacing w:line="360" w:lineRule="auto"/>
        <w:rPr>
          <w:rFonts w:ascii="Times New Roman" w:hAnsi="Times New Roman" w:cs="Times New Roman"/>
          <w:color w:val="auto"/>
        </w:rPr>
      </w:pPr>
      <w:bookmarkStart w:id="148" w:name="_Toc448844744"/>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15</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t>
      </w:r>
      <w:r w:rsidR="00E207B0" w:rsidRPr="00BE6FA1">
        <w:rPr>
          <w:rFonts w:ascii="Times New Roman" w:hAnsi="Times New Roman" w:cs="Times New Roman"/>
          <w:color w:val="auto"/>
        </w:rPr>
        <w:t>Zużycie energii przez transport w podziale na nośniki energii</w:t>
      </w:r>
      <w:bookmarkEnd w:id="148"/>
    </w:p>
    <w:p w:rsidR="001F0217" w:rsidRPr="00BE6FA1" w:rsidRDefault="001F0217" w:rsidP="001F0217">
      <w:pPr>
        <w:rPr>
          <w:rFonts w:ascii="Times New Roman" w:hAnsi="Times New Roman" w:cs="Times New Roman"/>
        </w:rPr>
      </w:pPr>
    </w:p>
    <w:p w:rsidR="009916AC" w:rsidRPr="00BE6FA1" w:rsidRDefault="006F54FB" w:rsidP="001F0217">
      <w:pPr>
        <w:pStyle w:val="Nagwek2"/>
        <w:spacing w:line="360" w:lineRule="auto"/>
        <w:rPr>
          <w:rFonts w:ascii="Times New Roman" w:hAnsi="Times New Roman" w:cs="Times New Roman"/>
          <w:color w:val="auto"/>
        </w:rPr>
      </w:pPr>
      <w:bookmarkStart w:id="149" w:name="_Toc442426530"/>
      <w:bookmarkStart w:id="150" w:name="_Toc449097748"/>
      <w:r w:rsidRPr="00BE6FA1">
        <w:rPr>
          <w:rFonts w:ascii="Times New Roman" w:hAnsi="Times New Roman" w:cs="Times New Roman"/>
          <w:color w:val="auto"/>
        </w:rPr>
        <w:t>Przemysł</w:t>
      </w:r>
      <w:bookmarkEnd w:id="149"/>
      <w:bookmarkEnd w:id="150"/>
    </w:p>
    <w:p w:rsidR="001F0217" w:rsidRPr="00BE6FA1" w:rsidRDefault="001F0217" w:rsidP="001F0217">
      <w:pPr>
        <w:rPr>
          <w:rFonts w:ascii="Times New Roman" w:hAnsi="Times New Roman" w:cs="Times New Roman"/>
        </w:rPr>
      </w:pPr>
    </w:p>
    <w:p w:rsidR="009916AC" w:rsidRPr="00BE6FA1" w:rsidRDefault="009916AC" w:rsidP="003A27DA">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Przeważająca liczba przedsię</w:t>
      </w:r>
      <w:r w:rsidR="00C63E22" w:rsidRPr="00BE6FA1">
        <w:rPr>
          <w:rFonts w:ascii="Times New Roman" w:hAnsi="Times New Roman" w:cs="Times New Roman"/>
          <w:sz w:val="24"/>
          <w:szCs w:val="24"/>
        </w:rPr>
        <w:t>biorstw na terenie</w:t>
      </w:r>
      <w:r w:rsidR="001F0217" w:rsidRPr="00BE6FA1">
        <w:rPr>
          <w:rFonts w:ascii="Times New Roman" w:hAnsi="Times New Roman" w:cs="Times New Roman"/>
          <w:sz w:val="24"/>
          <w:szCs w:val="24"/>
        </w:rPr>
        <w:t xml:space="preserve"> Miasta i</w:t>
      </w:r>
      <w:r w:rsidR="00C63E22" w:rsidRPr="00BE6FA1">
        <w:rPr>
          <w:rFonts w:ascii="Times New Roman" w:hAnsi="Times New Roman" w:cs="Times New Roman"/>
          <w:sz w:val="24"/>
          <w:szCs w:val="24"/>
        </w:rPr>
        <w:t xml:space="preserve"> Gminy Kańczuga</w:t>
      </w:r>
      <w:r w:rsidRPr="00BE6FA1">
        <w:rPr>
          <w:rFonts w:ascii="Times New Roman" w:hAnsi="Times New Roman" w:cs="Times New Roman"/>
          <w:sz w:val="24"/>
          <w:szCs w:val="24"/>
        </w:rPr>
        <w:t xml:space="preserve"> kwalifikowana jest do podmiotów </w:t>
      </w:r>
      <w:r w:rsidR="00990837" w:rsidRPr="00BE6FA1">
        <w:rPr>
          <w:rFonts w:ascii="Times New Roman" w:hAnsi="Times New Roman" w:cs="Times New Roman"/>
          <w:sz w:val="24"/>
          <w:szCs w:val="24"/>
        </w:rPr>
        <w:t>usługowych oraz produkcyjno-handlowych</w:t>
      </w:r>
      <w:r w:rsidRPr="00BE6FA1">
        <w:rPr>
          <w:rFonts w:ascii="Times New Roman" w:hAnsi="Times New Roman" w:cs="Times New Roman"/>
          <w:sz w:val="24"/>
          <w:szCs w:val="24"/>
        </w:rPr>
        <w:t>. W niniejszym rozdziale wzięto pod uwagę dane uzyskane od dużych firm znajdując</w:t>
      </w:r>
      <w:r w:rsidR="00990837" w:rsidRPr="00BE6FA1">
        <w:rPr>
          <w:rFonts w:ascii="Times New Roman" w:hAnsi="Times New Roman" w:cs="Times New Roman"/>
          <w:sz w:val="24"/>
          <w:szCs w:val="24"/>
        </w:rPr>
        <w:t xml:space="preserve">ych się na terenie </w:t>
      </w:r>
      <w:r w:rsidR="001F0217" w:rsidRPr="00BE6FA1">
        <w:rPr>
          <w:rFonts w:ascii="Times New Roman" w:hAnsi="Times New Roman" w:cs="Times New Roman"/>
          <w:sz w:val="24"/>
          <w:szCs w:val="24"/>
        </w:rPr>
        <w:t xml:space="preserve">Miasta i </w:t>
      </w:r>
      <w:r w:rsidR="00990837" w:rsidRPr="00BE6FA1">
        <w:rPr>
          <w:rFonts w:ascii="Times New Roman" w:hAnsi="Times New Roman" w:cs="Times New Roman"/>
          <w:sz w:val="24"/>
          <w:szCs w:val="24"/>
        </w:rPr>
        <w:t>Gminy Kańczuga.</w:t>
      </w:r>
    </w:p>
    <w:p w:rsidR="009916AC" w:rsidRPr="00BE6FA1" w:rsidRDefault="009916AC" w:rsidP="003A27DA">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Dominującym</w:t>
      </w:r>
      <w:r w:rsidR="00C63E22" w:rsidRPr="00BE6FA1">
        <w:rPr>
          <w:rFonts w:ascii="Times New Roman" w:hAnsi="Times New Roman" w:cs="Times New Roman"/>
          <w:sz w:val="24"/>
          <w:szCs w:val="24"/>
        </w:rPr>
        <w:t xml:space="preserve"> nośnikiem energii, powodującym emisję</w:t>
      </w:r>
      <w:r w:rsidRPr="00BE6FA1">
        <w:rPr>
          <w:rFonts w:ascii="Times New Roman" w:hAnsi="Times New Roman" w:cs="Times New Roman"/>
          <w:sz w:val="24"/>
          <w:szCs w:val="24"/>
        </w:rPr>
        <w:t xml:space="preserve"> CO</w:t>
      </w:r>
      <w:r w:rsidRPr="00BE6FA1">
        <w:rPr>
          <w:rFonts w:ascii="Times New Roman" w:hAnsi="Times New Roman" w:cs="Times New Roman"/>
          <w:sz w:val="24"/>
          <w:szCs w:val="24"/>
          <w:vertAlign w:val="subscript"/>
        </w:rPr>
        <w:t>2</w:t>
      </w:r>
      <w:r w:rsidR="00C63E22" w:rsidRPr="00BE6FA1">
        <w:rPr>
          <w:rFonts w:ascii="Times New Roman" w:hAnsi="Times New Roman" w:cs="Times New Roman"/>
          <w:sz w:val="24"/>
          <w:szCs w:val="24"/>
        </w:rPr>
        <w:t xml:space="preserve"> w tego sektora, było drewno(88</w:t>
      </w:r>
      <w:r w:rsidRPr="00BE6FA1">
        <w:rPr>
          <w:rFonts w:ascii="Times New Roman" w:hAnsi="Times New Roman" w:cs="Times New Roman"/>
          <w:sz w:val="24"/>
          <w:szCs w:val="24"/>
        </w:rPr>
        <w:t xml:space="preserve">%). Istotne zanieczyszczenie powietrza powodowało również wykorzystanie </w:t>
      </w:r>
      <w:r w:rsidR="00C63E22" w:rsidRPr="00BE6FA1">
        <w:rPr>
          <w:rFonts w:ascii="Times New Roman" w:hAnsi="Times New Roman" w:cs="Times New Roman"/>
          <w:sz w:val="24"/>
          <w:szCs w:val="24"/>
        </w:rPr>
        <w:t>gazu ziemnego</w:t>
      </w:r>
      <w:r w:rsidRPr="00BE6FA1">
        <w:rPr>
          <w:rFonts w:ascii="Times New Roman" w:hAnsi="Times New Roman" w:cs="Times New Roman"/>
          <w:sz w:val="24"/>
          <w:szCs w:val="24"/>
        </w:rPr>
        <w:t xml:space="preserve"> w przemyśle (</w:t>
      </w:r>
      <w:r w:rsidR="00C63E22" w:rsidRPr="00BE6FA1">
        <w:rPr>
          <w:rFonts w:ascii="Times New Roman" w:hAnsi="Times New Roman" w:cs="Times New Roman"/>
          <w:sz w:val="24"/>
          <w:szCs w:val="24"/>
        </w:rPr>
        <w:t>11</w:t>
      </w:r>
      <w:r w:rsidRPr="00BE6FA1">
        <w:rPr>
          <w:rFonts w:ascii="Times New Roman" w:hAnsi="Times New Roman" w:cs="Times New Roman"/>
          <w:sz w:val="24"/>
          <w:szCs w:val="24"/>
        </w:rPr>
        <w:t>%).</w:t>
      </w:r>
    </w:p>
    <w:tbl>
      <w:tblPr>
        <w:tblStyle w:val="Tabela-Siatka"/>
        <w:tblW w:w="5000" w:type="pct"/>
        <w:jc w:val="center"/>
        <w:tblLook w:val="04A0" w:firstRow="1" w:lastRow="0" w:firstColumn="1" w:lastColumn="0" w:noHBand="0" w:noVBand="1"/>
      </w:tblPr>
      <w:tblGrid>
        <w:gridCol w:w="3020"/>
        <w:gridCol w:w="3021"/>
        <w:gridCol w:w="3021"/>
      </w:tblGrid>
      <w:tr w:rsidR="009916AC" w:rsidRPr="00BE6FA1" w:rsidTr="001451E6">
        <w:trPr>
          <w:jc w:val="center"/>
        </w:trPr>
        <w:tc>
          <w:tcPr>
            <w:tcW w:w="1666" w:type="pct"/>
            <w:vMerge w:val="restar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9916AC" w:rsidRPr="00BE6FA1" w:rsidTr="001451E6">
        <w:trPr>
          <w:jc w:val="center"/>
        </w:trPr>
        <w:tc>
          <w:tcPr>
            <w:tcW w:w="1666" w:type="pct"/>
            <w:vMerge/>
            <w:vAlign w:val="center"/>
          </w:tcPr>
          <w:p w:rsidR="009916AC" w:rsidRPr="00BE6FA1" w:rsidRDefault="009916AC" w:rsidP="003A27DA">
            <w:pPr>
              <w:spacing w:line="360" w:lineRule="auto"/>
              <w:jc w:val="center"/>
              <w:rPr>
                <w:rFonts w:ascii="Times New Roman" w:hAnsi="Times New Roman" w:cs="Times New Roman"/>
                <w:b/>
                <w:sz w:val="24"/>
                <w:szCs w:val="24"/>
              </w:rPr>
            </w:pP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9916AC" w:rsidRPr="00BE6FA1" w:rsidRDefault="009916AC"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9916AC" w:rsidRPr="00BE6FA1" w:rsidTr="001451E6">
        <w:trPr>
          <w:jc w:val="center"/>
        </w:trPr>
        <w:tc>
          <w:tcPr>
            <w:tcW w:w="1666" w:type="pct"/>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Węgiel</w:t>
            </w:r>
          </w:p>
        </w:tc>
        <w:tc>
          <w:tcPr>
            <w:tcW w:w="1667" w:type="pct"/>
            <w:vAlign w:val="center"/>
          </w:tcPr>
          <w:p w:rsidR="009916AC" w:rsidRPr="00BE6FA1" w:rsidRDefault="001451E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356,42</w:t>
            </w:r>
          </w:p>
        </w:tc>
        <w:tc>
          <w:tcPr>
            <w:tcW w:w="1667" w:type="pct"/>
            <w:vAlign w:val="center"/>
          </w:tcPr>
          <w:p w:rsidR="009916AC" w:rsidRPr="00BE6FA1" w:rsidRDefault="00C63E22"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3</w:t>
            </w:r>
            <w:r w:rsidR="001451E6" w:rsidRPr="00BE6FA1">
              <w:rPr>
                <w:rFonts w:ascii="Times New Roman" w:hAnsi="Times New Roman" w:cs="Times New Roman"/>
                <w:sz w:val="24"/>
                <w:szCs w:val="20"/>
              </w:rPr>
              <w:t>3,76</w:t>
            </w:r>
          </w:p>
        </w:tc>
      </w:tr>
      <w:tr w:rsidR="009916AC" w:rsidRPr="00BE6FA1" w:rsidTr="001451E6">
        <w:trPr>
          <w:jc w:val="center"/>
        </w:trPr>
        <w:tc>
          <w:tcPr>
            <w:tcW w:w="1666" w:type="pct"/>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Olej opałowy</w:t>
            </w:r>
          </w:p>
        </w:tc>
        <w:tc>
          <w:tcPr>
            <w:tcW w:w="1667" w:type="pct"/>
            <w:vAlign w:val="center"/>
          </w:tcPr>
          <w:p w:rsidR="009916AC" w:rsidRPr="00BE6FA1" w:rsidRDefault="00C63E22"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0,0</w:t>
            </w:r>
            <w:r w:rsidR="001451E6" w:rsidRPr="00BE6FA1">
              <w:rPr>
                <w:rFonts w:ascii="Times New Roman" w:hAnsi="Times New Roman" w:cs="Times New Roman"/>
                <w:sz w:val="24"/>
                <w:szCs w:val="20"/>
              </w:rPr>
              <w:t>8</w:t>
            </w:r>
          </w:p>
        </w:tc>
        <w:tc>
          <w:tcPr>
            <w:tcW w:w="1667" w:type="pct"/>
            <w:vAlign w:val="center"/>
          </w:tcPr>
          <w:p w:rsidR="009916AC" w:rsidRPr="00BE6FA1" w:rsidRDefault="00C63E22"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0,01</w:t>
            </w:r>
          </w:p>
        </w:tc>
      </w:tr>
      <w:tr w:rsidR="009916AC" w:rsidRPr="00BE6FA1" w:rsidTr="001451E6">
        <w:trPr>
          <w:jc w:val="center"/>
        </w:trPr>
        <w:tc>
          <w:tcPr>
            <w:tcW w:w="1666" w:type="pct"/>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Drewno</w:t>
            </w:r>
          </w:p>
        </w:tc>
        <w:tc>
          <w:tcPr>
            <w:tcW w:w="1667" w:type="pct"/>
            <w:vAlign w:val="center"/>
          </w:tcPr>
          <w:p w:rsidR="009916AC" w:rsidRPr="00BE6FA1" w:rsidRDefault="00C63E22"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1</w:t>
            </w:r>
            <w:r w:rsidR="001451E6" w:rsidRPr="00BE6FA1">
              <w:rPr>
                <w:rFonts w:ascii="Times New Roman" w:hAnsi="Times New Roman" w:cs="Times New Roman"/>
                <w:sz w:val="24"/>
                <w:szCs w:val="20"/>
              </w:rPr>
              <w:t>70096,36</w:t>
            </w:r>
          </w:p>
        </w:tc>
        <w:tc>
          <w:tcPr>
            <w:tcW w:w="1667" w:type="pct"/>
            <w:vAlign w:val="center"/>
          </w:tcPr>
          <w:p w:rsidR="009916AC" w:rsidRPr="00BE6FA1" w:rsidRDefault="001451E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18669,78</w:t>
            </w:r>
          </w:p>
        </w:tc>
      </w:tr>
      <w:tr w:rsidR="009916AC" w:rsidRPr="00BE6FA1" w:rsidTr="001451E6">
        <w:trPr>
          <w:jc w:val="center"/>
        </w:trPr>
        <w:tc>
          <w:tcPr>
            <w:tcW w:w="1666" w:type="pct"/>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9916AC" w:rsidRPr="00BE6FA1" w:rsidRDefault="001451E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534,37</w:t>
            </w:r>
          </w:p>
        </w:tc>
        <w:tc>
          <w:tcPr>
            <w:tcW w:w="1667" w:type="pct"/>
            <w:vAlign w:val="center"/>
          </w:tcPr>
          <w:p w:rsidR="009916AC" w:rsidRPr="00BE6FA1" w:rsidRDefault="001451E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123,42</w:t>
            </w:r>
          </w:p>
        </w:tc>
      </w:tr>
      <w:tr w:rsidR="009916AC" w:rsidRPr="00BE6FA1" w:rsidTr="001451E6">
        <w:trPr>
          <w:jc w:val="center"/>
        </w:trPr>
        <w:tc>
          <w:tcPr>
            <w:tcW w:w="1666" w:type="pct"/>
            <w:vAlign w:val="center"/>
          </w:tcPr>
          <w:p w:rsidR="009916AC" w:rsidRPr="00BE6FA1" w:rsidRDefault="009916AC"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9916AC" w:rsidRPr="00BE6FA1" w:rsidRDefault="001451E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40883,04</w:t>
            </w:r>
          </w:p>
        </w:tc>
        <w:tc>
          <w:tcPr>
            <w:tcW w:w="1667" w:type="pct"/>
            <w:vAlign w:val="center"/>
          </w:tcPr>
          <w:p w:rsidR="009916AC" w:rsidRPr="00BE6FA1" w:rsidRDefault="001451E6" w:rsidP="003A27D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0"/>
              </w:rPr>
              <w:t>2282,09</w:t>
            </w:r>
          </w:p>
        </w:tc>
      </w:tr>
    </w:tbl>
    <w:p w:rsidR="00C63E22" w:rsidRPr="00BE6FA1" w:rsidRDefault="009916AC" w:rsidP="003A27DA">
      <w:pPr>
        <w:pStyle w:val="Legenda"/>
        <w:spacing w:line="360" w:lineRule="auto"/>
        <w:rPr>
          <w:rFonts w:ascii="Times New Roman" w:hAnsi="Times New Roman" w:cs="Times New Roman"/>
          <w:color w:val="auto"/>
        </w:rPr>
      </w:pPr>
      <w:bookmarkStart w:id="151" w:name="_Toc439280134"/>
      <w:bookmarkStart w:id="152" w:name="_Toc445289864"/>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17</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 xml:space="preserve">2 </w:t>
      </w:r>
      <w:r w:rsidRPr="00BE6FA1">
        <w:rPr>
          <w:rFonts w:ascii="Times New Roman" w:hAnsi="Times New Roman" w:cs="Times New Roman"/>
          <w:color w:val="auto"/>
        </w:rPr>
        <w:t>z przemysłu</w:t>
      </w:r>
      <w:bookmarkEnd w:id="151"/>
      <w:bookmarkEnd w:id="152"/>
    </w:p>
    <w:p w:rsidR="00990837" w:rsidRPr="00BE6FA1" w:rsidRDefault="00DE35CA" w:rsidP="003A27DA">
      <w:pPr>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214A2332" wp14:editId="3434F23B">
            <wp:extent cx="5535086" cy="3153832"/>
            <wp:effectExtent l="19050" t="0" r="27514" b="8468"/>
            <wp:docPr id="73"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90837" w:rsidRPr="00BE6FA1" w:rsidRDefault="00990837" w:rsidP="00DE35CA">
      <w:pPr>
        <w:pStyle w:val="Legenda"/>
        <w:spacing w:line="360" w:lineRule="auto"/>
        <w:rPr>
          <w:rFonts w:ascii="Times New Roman" w:hAnsi="Times New Roman" w:cs="Times New Roman"/>
          <w:color w:val="auto"/>
        </w:rPr>
      </w:pPr>
      <w:bookmarkStart w:id="153" w:name="_Toc448844745"/>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16</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t>
      </w:r>
      <w:r w:rsidR="00DE35CA" w:rsidRPr="00BE6FA1">
        <w:rPr>
          <w:rFonts w:ascii="Times New Roman" w:hAnsi="Times New Roman" w:cs="Times New Roman"/>
          <w:color w:val="auto"/>
        </w:rPr>
        <w:t>Zużycie energii przez budynki przedsiębiorstw w podziale na nośniki energii</w:t>
      </w:r>
      <w:bookmarkEnd w:id="153"/>
    </w:p>
    <w:p w:rsidR="00AB1486" w:rsidRPr="00BE6FA1" w:rsidRDefault="00AB1486" w:rsidP="00AB1486">
      <w:pPr>
        <w:rPr>
          <w:rFonts w:ascii="Times New Roman" w:hAnsi="Times New Roman" w:cs="Times New Roman"/>
        </w:rPr>
      </w:pPr>
    </w:p>
    <w:p w:rsidR="00AB1486" w:rsidRPr="00BE6FA1" w:rsidRDefault="00AB1486" w:rsidP="00AB1486">
      <w:pPr>
        <w:rPr>
          <w:rFonts w:ascii="Times New Roman" w:hAnsi="Times New Roman" w:cs="Times New Roman"/>
        </w:rPr>
      </w:pPr>
    </w:p>
    <w:p w:rsidR="00990837" w:rsidRPr="00BE6FA1" w:rsidRDefault="00DE35CA" w:rsidP="003A27DA">
      <w:pPr>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6E3D9CB2" wp14:editId="4CB13BA5">
            <wp:extent cx="5461002" cy="3227914"/>
            <wp:effectExtent l="19050" t="0" r="25398" b="0"/>
            <wp:docPr id="74"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E35CA" w:rsidRPr="00BE6FA1" w:rsidRDefault="00990837" w:rsidP="00DE35CA">
      <w:pPr>
        <w:pStyle w:val="Legenda"/>
        <w:rPr>
          <w:rFonts w:ascii="Times New Roman" w:hAnsi="Times New Roman" w:cs="Times New Roman"/>
          <w:color w:val="auto"/>
          <w:sz w:val="24"/>
        </w:rPr>
      </w:pPr>
      <w:bookmarkStart w:id="154" w:name="_Toc448844746"/>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17</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t>
      </w:r>
      <w:r w:rsidR="00DE35CA" w:rsidRPr="00BE6FA1">
        <w:rPr>
          <w:rFonts w:ascii="Times New Roman" w:hAnsi="Times New Roman" w:cs="Times New Roman"/>
          <w:color w:val="auto"/>
        </w:rPr>
        <w:t>Emisja CO</w:t>
      </w:r>
      <w:r w:rsidR="00DE35CA" w:rsidRPr="00BE6FA1">
        <w:rPr>
          <w:rFonts w:ascii="Times New Roman" w:hAnsi="Times New Roman" w:cs="Times New Roman"/>
          <w:color w:val="auto"/>
          <w:vertAlign w:val="subscript"/>
        </w:rPr>
        <w:t>2</w:t>
      </w:r>
      <w:r w:rsidR="00DE35CA" w:rsidRPr="00BE6FA1">
        <w:rPr>
          <w:rFonts w:ascii="Times New Roman" w:hAnsi="Times New Roman" w:cs="Times New Roman"/>
          <w:color w:val="auto"/>
        </w:rPr>
        <w:t xml:space="preserve"> przez budynki przedsiębiorstw w podziale na nośniki energii</w:t>
      </w:r>
      <w:bookmarkEnd w:id="154"/>
    </w:p>
    <w:p w:rsidR="00990837" w:rsidRPr="00BE6FA1" w:rsidRDefault="00990837" w:rsidP="00DE35CA">
      <w:pPr>
        <w:pStyle w:val="Legenda"/>
        <w:spacing w:line="360" w:lineRule="auto"/>
        <w:rPr>
          <w:rFonts w:ascii="Times New Roman" w:hAnsi="Times New Roman" w:cs="Times New Roman"/>
          <w:color w:val="auto"/>
          <w:sz w:val="24"/>
        </w:rPr>
      </w:pPr>
    </w:p>
    <w:p w:rsidR="00AB1486" w:rsidRPr="00BE6FA1" w:rsidRDefault="00AB1486" w:rsidP="003A27DA">
      <w:pPr>
        <w:spacing w:line="360" w:lineRule="auto"/>
        <w:rPr>
          <w:rFonts w:ascii="Times New Roman" w:hAnsi="Times New Roman" w:cs="Times New Roman"/>
        </w:rPr>
      </w:pPr>
    </w:p>
    <w:p w:rsidR="006276B6" w:rsidRPr="00BE6FA1" w:rsidRDefault="006F54FB" w:rsidP="00DE35CA">
      <w:pPr>
        <w:pStyle w:val="Nagwek2"/>
        <w:spacing w:line="360" w:lineRule="auto"/>
        <w:rPr>
          <w:rFonts w:ascii="Times New Roman" w:hAnsi="Times New Roman" w:cs="Times New Roman"/>
          <w:color w:val="auto"/>
        </w:rPr>
      </w:pPr>
      <w:bookmarkStart w:id="155" w:name="_Toc442426531"/>
      <w:bookmarkStart w:id="156" w:name="_Toc449097749"/>
      <w:r w:rsidRPr="00BE6FA1">
        <w:rPr>
          <w:rFonts w:ascii="Times New Roman" w:hAnsi="Times New Roman" w:cs="Times New Roman"/>
          <w:color w:val="auto"/>
        </w:rPr>
        <w:lastRenderedPageBreak/>
        <w:t>Usługi</w:t>
      </w:r>
      <w:bookmarkEnd w:id="155"/>
      <w:bookmarkEnd w:id="156"/>
    </w:p>
    <w:p w:rsidR="006276B6" w:rsidRPr="00BE6FA1" w:rsidRDefault="006276B6" w:rsidP="00AB1486">
      <w:pPr>
        <w:spacing w:line="360" w:lineRule="auto"/>
        <w:ind w:firstLine="720"/>
        <w:jc w:val="both"/>
        <w:rPr>
          <w:rFonts w:ascii="Times New Roman" w:hAnsi="Times New Roman" w:cs="Times New Roman"/>
          <w:sz w:val="24"/>
        </w:rPr>
      </w:pPr>
      <w:r w:rsidRPr="00BE6FA1">
        <w:rPr>
          <w:rFonts w:ascii="Times New Roman" w:hAnsi="Times New Roman" w:cs="Times New Roman"/>
          <w:sz w:val="24"/>
        </w:rPr>
        <w:t>Sektor podmiotów usługowych oraz usługowo handlowych stanowi liczną gałąź gospodarki w</w:t>
      </w:r>
      <w:r w:rsidR="001F0217" w:rsidRPr="00BE6FA1">
        <w:rPr>
          <w:rFonts w:ascii="Times New Roman" w:hAnsi="Times New Roman" w:cs="Times New Roman"/>
          <w:sz w:val="24"/>
        </w:rPr>
        <w:t xml:space="preserve"> Mieście i</w:t>
      </w:r>
      <w:r w:rsidRPr="00BE6FA1">
        <w:rPr>
          <w:rFonts w:ascii="Times New Roman" w:hAnsi="Times New Roman" w:cs="Times New Roman"/>
          <w:sz w:val="24"/>
        </w:rPr>
        <w:t xml:space="preserve"> Gminie Kańczuga. Dominującym paliwem wykorzystywanym do ogrzewania pomieszczeń jest </w:t>
      </w:r>
      <w:r w:rsidR="00E72737" w:rsidRPr="00BE6FA1">
        <w:rPr>
          <w:rFonts w:ascii="Times New Roman" w:hAnsi="Times New Roman" w:cs="Times New Roman"/>
          <w:sz w:val="24"/>
        </w:rPr>
        <w:t>drewno (45%) oraz węgiel (35%). N</w:t>
      </w:r>
      <w:r w:rsidRPr="00BE6FA1">
        <w:rPr>
          <w:rFonts w:ascii="Times New Roman" w:hAnsi="Times New Roman" w:cs="Times New Roman"/>
          <w:sz w:val="24"/>
        </w:rPr>
        <w:t xml:space="preserve">ajwiększy wpływ na emisję </w:t>
      </w:r>
      <w:r w:rsidR="00AB1486" w:rsidRPr="00BE6FA1">
        <w:rPr>
          <w:rFonts w:ascii="Times New Roman" w:hAnsi="Times New Roman" w:cs="Times New Roman"/>
          <w:sz w:val="24"/>
        </w:rPr>
        <w:br/>
      </w:r>
      <w:r w:rsidRPr="00BE6FA1">
        <w:rPr>
          <w:rFonts w:ascii="Times New Roman" w:hAnsi="Times New Roman" w:cs="Times New Roman"/>
          <w:sz w:val="24"/>
        </w:rPr>
        <w:t>CO</w:t>
      </w:r>
      <w:r w:rsidRPr="00BE6FA1">
        <w:rPr>
          <w:rFonts w:ascii="Times New Roman" w:hAnsi="Times New Roman" w:cs="Times New Roman"/>
          <w:sz w:val="24"/>
          <w:vertAlign w:val="subscript"/>
        </w:rPr>
        <w:t>2</w:t>
      </w:r>
      <w:r w:rsidRPr="00BE6FA1">
        <w:rPr>
          <w:rFonts w:ascii="Times New Roman" w:hAnsi="Times New Roman" w:cs="Times New Roman"/>
          <w:sz w:val="24"/>
        </w:rPr>
        <w:t xml:space="preserve"> do atmosfery ma </w:t>
      </w:r>
      <w:r w:rsidR="00E72737" w:rsidRPr="00BE6FA1">
        <w:rPr>
          <w:rFonts w:ascii="Times New Roman" w:hAnsi="Times New Roman" w:cs="Times New Roman"/>
          <w:sz w:val="24"/>
        </w:rPr>
        <w:t>drewno oraz węgiel, które po</w:t>
      </w:r>
      <w:r w:rsidR="007036E7" w:rsidRPr="00BE6FA1">
        <w:rPr>
          <w:rFonts w:ascii="Times New Roman" w:hAnsi="Times New Roman" w:cs="Times New Roman"/>
          <w:sz w:val="24"/>
        </w:rPr>
        <w:t xml:space="preserve">wodują emisję odpowiednio </w:t>
      </w:r>
      <w:r w:rsidR="00AB1486" w:rsidRPr="00BE6FA1">
        <w:rPr>
          <w:rFonts w:ascii="Times New Roman" w:hAnsi="Times New Roman" w:cs="Times New Roman"/>
          <w:sz w:val="24"/>
        </w:rPr>
        <w:br/>
      </w:r>
      <w:r w:rsidR="007036E7" w:rsidRPr="00BE6FA1">
        <w:rPr>
          <w:rFonts w:ascii="Times New Roman" w:hAnsi="Times New Roman" w:cs="Times New Roman"/>
          <w:sz w:val="24"/>
        </w:rPr>
        <w:t>7422,99</w:t>
      </w:r>
      <w:r w:rsidRPr="00BE6FA1">
        <w:rPr>
          <w:rFonts w:ascii="Times New Roman" w:hAnsi="Times New Roman" w:cs="Times New Roman"/>
          <w:sz w:val="24"/>
        </w:rPr>
        <w:t xml:space="preserve"> Mg CO</w:t>
      </w:r>
      <w:r w:rsidRPr="00BE6FA1">
        <w:rPr>
          <w:rFonts w:ascii="Times New Roman" w:hAnsi="Times New Roman" w:cs="Times New Roman"/>
          <w:sz w:val="24"/>
          <w:vertAlign w:val="subscript"/>
        </w:rPr>
        <w:t>2</w:t>
      </w:r>
      <w:r w:rsidR="00563D06" w:rsidRPr="00BE6FA1">
        <w:rPr>
          <w:rFonts w:ascii="Times New Roman" w:hAnsi="Times New Roman" w:cs="Times New Roman"/>
          <w:sz w:val="24"/>
          <w:vertAlign w:val="subscript"/>
        </w:rPr>
        <w:t xml:space="preserve"> </w:t>
      </w:r>
      <w:r w:rsidR="00E63AB4" w:rsidRPr="00BE6FA1">
        <w:rPr>
          <w:rFonts w:ascii="Times New Roman" w:hAnsi="Times New Roman" w:cs="Times New Roman"/>
          <w:sz w:val="24"/>
        </w:rPr>
        <w:t>oraz 5865,41</w:t>
      </w:r>
      <w:r w:rsidR="00AB1486" w:rsidRPr="00BE6FA1">
        <w:rPr>
          <w:rFonts w:ascii="Times New Roman" w:hAnsi="Times New Roman" w:cs="Times New Roman"/>
          <w:sz w:val="24"/>
        </w:rPr>
        <w:t xml:space="preserve"> </w:t>
      </w:r>
      <w:r w:rsidR="00E72737" w:rsidRPr="00BE6FA1">
        <w:rPr>
          <w:rFonts w:ascii="Times New Roman" w:hAnsi="Times New Roman" w:cs="Times New Roman"/>
          <w:sz w:val="24"/>
        </w:rPr>
        <w:t>Mg CO</w:t>
      </w:r>
      <w:r w:rsidR="00E72737" w:rsidRPr="00BE6FA1">
        <w:rPr>
          <w:rFonts w:ascii="Times New Roman" w:hAnsi="Times New Roman" w:cs="Times New Roman"/>
          <w:sz w:val="24"/>
          <w:vertAlign w:val="subscript"/>
        </w:rPr>
        <w:t>2</w:t>
      </w:r>
      <w:r w:rsidR="00E72737" w:rsidRPr="00BE6FA1">
        <w:rPr>
          <w:rFonts w:ascii="Times New Roman" w:hAnsi="Times New Roman" w:cs="Times New Roman"/>
          <w:sz w:val="24"/>
        </w:rPr>
        <w:t xml:space="preserve"> rocznie.</w:t>
      </w:r>
    </w:p>
    <w:tbl>
      <w:tblPr>
        <w:tblStyle w:val="Tabela-Siatka"/>
        <w:tblW w:w="5000" w:type="pct"/>
        <w:jc w:val="center"/>
        <w:tblLook w:val="04A0" w:firstRow="1" w:lastRow="0" w:firstColumn="1" w:lastColumn="0" w:noHBand="0" w:noVBand="1"/>
      </w:tblPr>
      <w:tblGrid>
        <w:gridCol w:w="3020"/>
        <w:gridCol w:w="3021"/>
        <w:gridCol w:w="3021"/>
      </w:tblGrid>
      <w:tr w:rsidR="006276B6" w:rsidRPr="00BE6FA1" w:rsidTr="001451E6">
        <w:trPr>
          <w:jc w:val="center"/>
        </w:trPr>
        <w:tc>
          <w:tcPr>
            <w:tcW w:w="1666" w:type="pct"/>
            <w:vMerge w:val="restart"/>
            <w:vAlign w:val="center"/>
          </w:tcPr>
          <w:p w:rsidR="006276B6" w:rsidRPr="00BE6FA1" w:rsidRDefault="006276B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Nośnik energii</w:t>
            </w:r>
          </w:p>
        </w:tc>
        <w:tc>
          <w:tcPr>
            <w:tcW w:w="1667" w:type="pct"/>
            <w:vAlign w:val="center"/>
          </w:tcPr>
          <w:p w:rsidR="006276B6" w:rsidRPr="00BE6FA1" w:rsidRDefault="006276B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Zużycie energii</w:t>
            </w:r>
          </w:p>
        </w:tc>
        <w:tc>
          <w:tcPr>
            <w:tcW w:w="1667" w:type="pct"/>
            <w:vAlign w:val="center"/>
          </w:tcPr>
          <w:p w:rsidR="006276B6" w:rsidRPr="00BE6FA1" w:rsidRDefault="006276B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Emisja CO</w:t>
            </w:r>
            <w:r w:rsidRPr="00BE6FA1">
              <w:rPr>
                <w:rFonts w:ascii="Times New Roman" w:hAnsi="Times New Roman" w:cs="Times New Roman"/>
                <w:b/>
                <w:sz w:val="24"/>
                <w:szCs w:val="24"/>
                <w:vertAlign w:val="subscript"/>
              </w:rPr>
              <w:t>2</w:t>
            </w:r>
          </w:p>
        </w:tc>
      </w:tr>
      <w:tr w:rsidR="006276B6" w:rsidRPr="00BE6FA1" w:rsidTr="001451E6">
        <w:trPr>
          <w:jc w:val="center"/>
        </w:trPr>
        <w:tc>
          <w:tcPr>
            <w:tcW w:w="1666" w:type="pct"/>
            <w:vMerge/>
            <w:vAlign w:val="center"/>
          </w:tcPr>
          <w:p w:rsidR="006276B6" w:rsidRPr="00BE6FA1" w:rsidRDefault="006276B6" w:rsidP="003A27DA">
            <w:pPr>
              <w:spacing w:line="360" w:lineRule="auto"/>
              <w:jc w:val="center"/>
              <w:rPr>
                <w:rFonts w:ascii="Times New Roman" w:hAnsi="Times New Roman" w:cs="Times New Roman"/>
                <w:b/>
                <w:sz w:val="24"/>
                <w:szCs w:val="24"/>
              </w:rPr>
            </w:pPr>
          </w:p>
        </w:tc>
        <w:tc>
          <w:tcPr>
            <w:tcW w:w="1667" w:type="pct"/>
            <w:vAlign w:val="center"/>
          </w:tcPr>
          <w:p w:rsidR="006276B6" w:rsidRPr="00BE6FA1" w:rsidRDefault="006276B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[GJ/rok]</w:t>
            </w:r>
          </w:p>
        </w:tc>
        <w:tc>
          <w:tcPr>
            <w:tcW w:w="1667" w:type="pct"/>
            <w:vAlign w:val="center"/>
          </w:tcPr>
          <w:p w:rsidR="006276B6" w:rsidRPr="00BE6FA1" w:rsidRDefault="006276B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t>[Mg / rok]</w:t>
            </w:r>
          </w:p>
        </w:tc>
      </w:tr>
      <w:tr w:rsidR="006276B6" w:rsidRPr="00BE6FA1" w:rsidTr="001451E6">
        <w:trPr>
          <w:jc w:val="center"/>
        </w:trPr>
        <w:tc>
          <w:tcPr>
            <w:tcW w:w="1666" w:type="pct"/>
            <w:vAlign w:val="center"/>
          </w:tcPr>
          <w:p w:rsidR="006276B6" w:rsidRPr="00BE6FA1" w:rsidRDefault="006276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Węgiel</w:t>
            </w:r>
          </w:p>
        </w:tc>
        <w:tc>
          <w:tcPr>
            <w:tcW w:w="1667" w:type="pct"/>
            <w:vAlign w:val="center"/>
          </w:tcPr>
          <w:p w:rsidR="006276B6" w:rsidRPr="00BE6FA1" w:rsidRDefault="002705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5865,41</w:t>
            </w:r>
          </w:p>
        </w:tc>
        <w:tc>
          <w:tcPr>
            <w:tcW w:w="1667" w:type="pct"/>
            <w:vAlign w:val="center"/>
          </w:tcPr>
          <w:p w:rsidR="006276B6" w:rsidRPr="00BE6FA1" w:rsidRDefault="002705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555,63</w:t>
            </w:r>
          </w:p>
        </w:tc>
      </w:tr>
      <w:tr w:rsidR="006276B6" w:rsidRPr="00BE6FA1" w:rsidTr="001451E6">
        <w:trPr>
          <w:jc w:val="center"/>
        </w:trPr>
        <w:tc>
          <w:tcPr>
            <w:tcW w:w="1666" w:type="pct"/>
            <w:vAlign w:val="center"/>
          </w:tcPr>
          <w:p w:rsidR="006276B6" w:rsidRPr="00BE6FA1" w:rsidRDefault="006276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Drewno</w:t>
            </w:r>
          </w:p>
        </w:tc>
        <w:tc>
          <w:tcPr>
            <w:tcW w:w="1667" w:type="pct"/>
            <w:vAlign w:val="center"/>
          </w:tcPr>
          <w:p w:rsidR="006276B6" w:rsidRPr="00BE6FA1" w:rsidRDefault="002F0DB4"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7422,99</w:t>
            </w:r>
          </w:p>
        </w:tc>
        <w:tc>
          <w:tcPr>
            <w:tcW w:w="1667" w:type="pct"/>
            <w:vAlign w:val="center"/>
          </w:tcPr>
          <w:p w:rsidR="006276B6" w:rsidRPr="00BE6FA1" w:rsidRDefault="002F0DB4"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814,75</w:t>
            </w:r>
          </w:p>
        </w:tc>
      </w:tr>
      <w:tr w:rsidR="006276B6" w:rsidRPr="00BE6FA1" w:rsidTr="001451E6">
        <w:trPr>
          <w:jc w:val="center"/>
        </w:trPr>
        <w:tc>
          <w:tcPr>
            <w:tcW w:w="1666" w:type="pct"/>
            <w:vAlign w:val="center"/>
          </w:tcPr>
          <w:p w:rsidR="006276B6" w:rsidRPr="00BE6FA1" w:rsidRDefault="006276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Energia elektryczna</w:t>
            </w:r>
          </w:p>
        </w:tc>
        <w:tc>
          <w:tcPr>
            <w:tcW w:w="1667" w:type="pct"/>
            <w:vAlign w:val="center"/>
          </w:tcPr>
          <w:p w:rsidR="006276B6" w:rsidRPr="00BE6FA1" w:rsidRDefault="002F0DB4"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1184,01</w:t>
            </w:r>
          </w:p>
        </w:tc>
        <w:tc>
          <w:tcPr>
            <w:tcW w:w="1667" w:type="pct"/>
            <w:vAlign w:val="center"/>
          </w:tcPr>
          <w:p w:rsidR="006276B6" w:rsidRPr="00BE6FA1" w:rsidRDefault="002F0DB4"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273,47</w:t>
            </w:r>
          </w:p>
        </w:tc>
      </w:tr>
      <w:tr w:rsidR="00970CF4" w:rsidRPr="00BE6FA1" w:rsidTr="001451E6">
        <w:trPr>
          <w:jc w:val="center"/>
        </w:trPr>
        <w:tc>
          <w:tcPr>
            <w:tcW w:w="1666" w:type="pct"/>
            <w:vAlign w:val="center"/>
          </w:tcPr>
          <w:p w:rsidR="006276B6" w:rsidRPr="00BE6FA1" w:rsidRDefault="006276B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Gaz ziemny</w:t>
            </w:r>
          </w:p>
        </w:tc>
        <w:tc>
          <w:tcPr>
            <w:tcW w:w="1667" w:type="pct"/>
            <w:vAlign w:val="center"/>
          </w:tcPr>
          <w:p w:rsidR="006276B6" w:rsidRPr="00BE6FA1" w:rsidRDefault="002F0DB4"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2076,36</w:t>
            </w:r>
          </w:p>
        </w:tc>
        <w:tc>
          <w:tcPr>
            <w:tcW w:w="1667" w:type="pct"/>
            <w:vAlign w:val="center"/>
          </w:tcPr>
          <w:p w:rsidR="006276B6" w:rsidRPr="00BE6FA1" w:rsidRDefault="002F0DB4" w:rsidP="00DE35CA">
            <w:pPr>
              <w:keepNext/>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115,90</w:t>
            </w:r>
          </w:p>
        </w:tc>
      </w:tr>
    </w:tbl>
    <w:p w:rsidR="006F54FB" w:rsidRPr="00BE6FA1" w:rsidRDefault="00DE35CA" w:rsidP="00DE35CA">
      <w:pPr>
        <w:pStyle w:val="Legenda"/>
        <w:rPr>
          <w:rFonts w:ascii="Times New Roman" w:hAnsi="Times New Roman" w:cs="Times New Roman"/>
          <w:color w:val="auto"/>
        </w:rPr>
      </w:pPr>
      <w:bookmarkStart w:id="157" w:name="_Toc445289865"/>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18</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z podmiotów usługowych</w:t>
      </w:r>
      <w:bookmarkEnd w:id="157"/>
    </w:p>
    <w:p w:rsidR="00334DAC" w:rsidRPr="00BE6FA1" w:rsidRDefault="00334DAC" w:rsidP="003A27DA">
      <w:pPr>
        <w:spacing w:line="360" w:lineRule="auto"/>
        <w:rPr>
          <w:rFonts w:ascii="Times New Roman" w:hAnsi="Times New Roman" w:cs="Times New Roman"/>
        </w:rPr>
      </w:pPr>
    </w:p>
    <w:p w:rsidR="00425222" w:rsidRPr="00BE6FA1" w:rsidRDefault="00425222" w:rsidP="003A27DA">
      <w:pPr>
        <w:spacing w:line="360" w:lineRule="auto"/>
        <w:rPr>
          <w:rFonts w:ascii="Times New Roman" w:hAnsi="Times New Roman" w:cs="Times New Roman"/>
        </w:rPr>
      </w:pPr>
    </w:p>
    <w:p w:rsidR="00A42E97" w:rsidRPr="00BE6FA1" w:rsidRDefault="005F3785" w:rsidP="003A27DA">
      <w:pPr>
        <w:spacing w:line="360" w:lineRule="auto"/>
        <w:rPr>
          <w:rFonts w:ascii="Times New Roman" w:hAnsi="Times New Roman" w:cs="Times New Roman"/>
        </w:rPr>
      </w:pPr>
      <w:r w:rsidRPr="00BE6FA1">
        <w:rPr>
          <w:rFonts w:ascii="Times New Roman" w:hAnsi="Times New Roman" w:cs="Times New Roman"/>
          <w:noProof/>
        </w:rPr>
        <w:drawing>
          <wp:inline distT="0" distB="0" distL="0" distR="0" wp14:anchorId="464A00D5" wp14:editId="200EC7B1">
            <wp:extent cx="5191124" cy="3036093"/>
            <wp:effectExtent l="19050" t="0" r="9526" b="0"/>
            <wp:docPr id="4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42E97" w:rsidRPr="00BE6FA1" w:rsidRDefault="00A42E97" w:rsidP="003A27DA">
      <w:pPr>
        <w:pStyle w:val="Legenda"/>
        <w:spacing w:line="360" w:lineRule="auto"/>
        <w:rPr>
          <w:rFonts w:ascii="Times New Roman" w:hAnsi="Times New Roman" w:cs="Times New Roman"/>
          <w:color w:val="auto"/>
          <w:sz w:val="24"/>
        </w:rPr>
      </w:pPr>
      <w:bookmarkStart w:id="158" w:name="_Toc448844747"/>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18</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Zużycie energii przez budynki </w:t>
      </w:r>
      <w:r w:rsidR="005F3785" w:rsidRPr="00BE6FA1">
        <w:rPr>
          <w:rFonts w:ascii="Times New Roman" w:hAnsi="Times New Roman" w:cs="Times New Roman"/>
          <w:color w:val="auto"/>
        </w:rPr>
        <w:t>usługowe</w:t>
      </w:r>
      <w:r w:rsidRPr="00BE6FA1">
        <w:rPr>
          <w:rFonts w:ascii="Times New Roman" w:hAnsi="Times New Roman" w:cs="Times New Roman"/>
          <w:color w:val="auto"/>
        </w:rPr>
        <w:t xml:space="preserve"> w podziale na nośniki energii</w:t>
      </w:r>
      <w:bookmarkEnd w:id="158"/>
    </w:p>
    <w:p w:rsidR="00A42E97" w:rsidRPr="00BE6FA1" w:rsidRDefault="00B43862" w:rsidP="003A27DA">
      <w:pPr>
        <w:tabs>
          <w:tab w:val="left" w:pos="2235"/>
        </w:tabs>
        <w:spacing w:line="360" w:lineRule="auto"/>
        <w:rPr>
          <w:rFonts w:ascii="Times New Roman" w:hAnsi="Times New Roman" w:cs="Times New Roman"/>
        </w:rPr>
      </w:pPr>
      <w:r w:rsidRPr="00BE6FA1">
        <w:rPr>
          <w:rFonts w:ascii="Times New Roman" w:hAnsi="Times New Roman" w:cs="Times New Roman"/>
        </w:rPr>
        <w:tab/>
      </w:r>
    </w:p>
    <w:p w:rsidR="00A42E97" w:rsidRPr="00BE6FA1" w:rsidRDefault="005F3785" w:rsidP="003A27DA">
      <w:pPr>
        <w:spacing w:line="360" w:lineRule="auto"/>
        <w:rPr>
          <w:rFonts w:ascii="Times New Roman" w:hAnsi="Times New Roman" w:cs="Times New Roman"/>
        </w:rPr>
      </w:pPr>
      <w:r w:rsidRPr="00BE6FA1">
        <w:rPr>
          <w:rFonts w:ascii="Times New Roman" w:hAnsi="Times New Roman" w:cs="Times New Roman"/>
          <w:noProof/>
        </w:rPr>
        <w:lastRenderedPageBreak/>
        <w:drawing>
          <wp:inline distT="0" distB="0" distL="0" distR="0" wp14:anchorId="720FA2BF" wp14:editId="5CE3643C">
            <wp:extent cx="5000623" cy="3036093"/>
            <wp:effectExtent l="19050" t="0" r="9527" b="0"/>
            <wp:docPr id="4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42E97" w:rsidRPr="00BE6FA1" w:rsidRDefault="00A42E97" w:rsidP="00C74073">
      <w:pPr>
        <w:pStyle w:val="Legenda"/>
        <w:spacing w:line="360" w:lineRule="auto"/>
        <w:rPr>
          <w:rFonts w:ascii="Times New Roman" w:hAnsi="Times New Roman" w:cs="Times New Roman"/>
          <w:color w:val="auto"/>
          <w:sz w:val="24"/>
        </w:rPr>
      </w:pPr>
      <w:bookmarkStart w:id="159" w:name="_Toc448844748"/>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19</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przez </w:t>
      </w:r>
      <w:r w:rsidR="005F3785" w:rsidRPr="00BE6FA1">
        <w:rPr>
          <w:rFonts w:ascii="Times New Roman" w:hAnsi="Times New Roman" w:cs="Times New Roman"/>
          <w:color w:val="auto"/>
        </w:rPr>
        <w:t xml:space="preserve">budynki usługowe </w:t>
      </w:r>
      <w:r w:rsidRPr="00BE6FA1">
        <w:rPr>
          <w:rFonts w:ascii="Times New Roman" w:hAnsi="Times New Roman" w:cs="Times New Roman"/>
          <w:color w:val="auto"/>
        </w:rPr>
        <w:t>w podziale na nośniki energii</w:t>
      </w:r>
      <w:bookmarkEnd w:id="159"/>
    </w:p>
    <w:p w:rsidR="00425222" w:rsidRPr="00BE6FA1" w:rsidRDefault="00425222" w:rsidP="00C74073">
      <w:pPr>
        <w:pStyle w:val="Nagwek2"/>
        <w:spacing w:line="360" w:lineRule="auto"/>
        <w:rPr>
          <w:rFonts w:ascii="Times New Roman" w:hAnsi="Times New Roman" w:cs="Times New Roman"/>
          <w:color w:val="auto"/>
          <w:sz w:val="24"/>
          <w:szCs w:val="24"/>
        </w:rPr>
      </w:pPr>
      <w:bookmarkStart w:id="160" w:name="_Toc442426532"/>
    </w:p>
    <w:p w:rsidR="00425222" w:rsidRPr="00BE6FA1" w:rsidRDefault="00425222" w:rsidP="00C74073">
      <w:pPr>
        <w:pStyle w:val="Nagwek2"/>
        <w:spacing w:line="360" w:lineRule="auto"/>
        <w:rPr>
          <w:rFonts w:ascii="Times New Roman" w:hAnsi="Times New Roman" w:cs="Times New Roman"/>
          <w:color w:val="auto"/>
          <w:sz w:val="24"/>
          <w:szCs w:val="24"/>
        </w:rPr>
      </w:pPr>
    </w:p>
    <w:p w:rsidR="006F54FB" w:rsidRPr="00BE6FA1" w:rsidRDefault="006F54FB" w:rsidP="00C74073">
      <w:pPr>
        <w:pStyle w:val="Nagwek2"/>
        <w:spacing w:line="360" w:lineRule="auto"/>
        <w:rPr>
          <w:rFonts w:ascii="Times New Roman" w:hAnsi="Times New Roman" w:cs="Times New Roman"/>
          <w:color w:val="auto"/>
          <w:sz w:val="24"/>
          <w:szCs w:val="24"/>
        </w:rPr>
      </w:pPr>
      <w:bookmarkStart w:id="161" w:name="_Toc449097750"/>
      <w:r w:rsidRPr="00BE6FA1">
        <w:rPr>
          <w:rFonts w:ascii="Times New Roman" w:hAnsi="Times New Roman" w:cs="Times New Roman"/>
          <w:color w:val="auto"/>
          <w:sz w:val="24"/>
          <w:szCs w:val="24"/>
        </w:rPr>
        <w:t>Podsumowanie inwentaryzacji</w:t>
      </w:r>
      <w:bookmarkEnd w:id="160"/>
      <w:bookmarkEnd w:id="161"/>
    </w:p>
    <w:p w:rsidR="00C74073" w:rsidRPr="00BE6FA1" w:rsidRDefault="00C74073" w:rsidP="00C74073">
      <w:pPr>
        <w:spacing w:line="360" w:lineRule="auto"/>
        <w:ind w:firstLine="720"/>
        <w:jc w:val="both"/>
        <w:rPr>
          <w:rFonts w:ascii="Times New Roman" w:hAnsi="Times New Roman" w:cs="Times New Roman"/>
          <w:sz w:val="24"/>
          <w:szCs w:val="24"/>
        </w:rPr>
      </w:pPr>
    </w:p>
    <w:p w:rsidR="00C74073" w:rsidRPr="00BE6FA1" w:rsidRDefault="00C74073" w:rsidP="00C74073">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Emisja dwutlenku węgla w </w:t>
      </w:r>
      <w:r w:rsidR="001F0217" w:rsidRPr="00BE6FA1">
        <w:rPr>
          <w:rFonts w:ascii="Times New Roman" w:hAnsi="Times New Roman" w:cs="Times New Roman"/>
          <w:sz w:val="24"/>
          <w:szCs w:val="24"/>
        </w:rPr>
        <w:t xml:space="preserve">Mieście i </w:t>
      </w:r>
      <w:r w:rsidRPr="00BE6FA1">
        <w:rPr>
          <w:rFonts w:ascii="Times New Roman" w:hAnsi="Times New Roman" w:cs="Times New Roman"/>
          <w:sz w:val="24"/>
          <w:szCs w:val="24"/>
        </w:rPr>
        <w:t>Gminie Kańczuga wynika przede wszystkim ze spalania drewna (31%), węgla (22%) oraz zużycia energii oleju napędowego (15%). Największymi „producentami” tego zanieczyszczenia jest przemysł (34%), sektor budownictwa mieszkalnego (33%) oraz transport (27%). Wynikać może to m.in. ze złej jakości spalanego paliwa lub nieefektownej instalacji. Uwidacznia to również niską  świadomość ekologiczną mieszkańców Gminy.</w:t>
      </w:r>
    </w:p>
    <w:p w:rsidR="00425222" w:rsidRPr="00BE6FA1" w:rsidRDefault="00425222" w:rsidP="00C74073">
      <w:pPr>
        <w:spacing w:line="360" w:lineRule="auto"/>
        <w:ind w:firstLine="720"/>
        <w:jc w:val="both"/>
        <w:rPr>
          <w:rFonts w:ascii="Times New Roman" w:hAnsi="Times New Roman" w:cs="Times New Roman"/>
          <w:sz w:val="24"/>
          <w:szCs w:val="24"/>
        </w:rPr>
      </w:pPr>
    </w:p>
    <w:p w:rsidR="00425222" w:rsidRPr="00BE6FA1" w:rsidRDefault="00425222" w:rsidP="00C74073">
      <w:pPr>
        <w:spacing w:line="360" w:lineRule="auto"/>
        <w:ind w:firstLine="720"/>
        <w:jc w:val="both"/>
        <w:rPr>
          <w:rFonts w:ascii="Times New Roman" w:hAnsi="Times New Roman" w:cs="Times New Roman"/>
          <w:sz w:val="24"/>
          <w:szCs w:val="24"/>
        </w:rPr>
      </w:pPr>
    </w:p>
    <w:p w:rsidR="00425222" w:rsidRPr="00BE6FA1" w:rsidRDefault="00425222" w:rsidP="00C74073">
      <w:pPr>
        <w:spacing w:line="360" w:lineRule="auto"/>
        <w:ind w:firstLine="720"/>
        <w:jc w:val="both"/>
        <w:rPr>
          <w:rFonts w:ascii="Times New Roman" w:hAnsi="Times New Roman" w:cs="Times New Roman"/>
          <w:sz w:val="24"/>
          <w:szCs w:val="24"/>
        </w:rPr>
      </w:pPr>
    </w:p>
    <w:p w:rsidR="00425222" w:rsidRPr="00BE6FA1" w:rsidRDefault="00425222" w:rsidP="00C74073">
      <w:pPr>
        <w:spacing w:line="360" w:lineRule="auto"/>
        <w:ind w:firstLine="720"/>
        <w:jc w:val="both"/>
        <w:rPr>
          <w:rFonts w:ascii="Times New Roman" w:hAnsi="Times New Roman" w:cs="Times New Roman"/>
          <w:sz w:val="24"/>
          <w:szCs w:val="24"/>
        </w:rPr>
      </w:pPr>
    </w:p>
    <w:p w:rsidR="00425222" w:rsidRPr="00BE6FA1" w:rsidRDefault="00425222" w:rsidP="00C74073">
      <w:pPr>
        <w:spacing w:line="360" w:lineRule="auto"/>
        <w:ind w:firstLine="720"/>
        <w:jc w:val="both"/>
        <w:rPr>
          <w:rFonts w:ascii="Times New Roman" w:hAnsi="Times New Roman" w:cs="Times New Roman"/>
          <w:sz w:val="24"/>
          <w:szCs w:val="24"/>
        </w:rPr>
      </w:pPr>
    </w:p>
    <w:tbl>
      <w:tblPr>
        <w:tblW w:w="8628" w:type="dxa"/>
        <w:jc w:val="center"/>
        <w:tblCellMar>
          <w:left w:w="70" w:type="dxa"/>
          <w:right w:w="70" w:type="dxa"/>
        </w:tblCellMar>
        <w:tblLook w:val="04A0" w:firstRow="1" w:lastRow="0" w:firstColumn="1" w:lastColumn="0" w:noHBand="0" w:noVBand="1"/>
      </w:tblPr>
      <w:tblGrid>
        <w:gridCol w:w="3099"/>
        <w:gridCol w:w="2835"/>
        <w:gridCol w:w="2694"/>
      </w:tblGrid>
      <w:tr w:rsidR="00C74073" w:rsidRPr="00BE6FA1" w:rsidTr="00C74073">
        <w:trPr>
          <w:trHeight w:val="338"/>
          <w:jc w:val="center"/>
        </w:trPr>
        <w:tc>
          <w:tcPr>
            <w:tcW w:w="3099" w:type="dxa"/>
            <w:vMerge w:val="restart"/>
            <w:tcBorders>
              <w:top w:val="single" w:sz="8" w:space="0" w:color="auto"/>
              <w:left w:val="single" w:sz="8" w:space="0" w:color="auto"/>
              <w:bottom w:val="single" w:sz="8" w:space="0" w:color="000000"/>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lastRenderedPageBreak/>
              <w:t>Nośnik energii</w:t>
            </w:r>
          </w:p>
        </w:tc>
        <w:tc>
          <w:tcPr>
            <w:tcW w:w="2835" w:type="dxa"/>
            <w:tcBorders>
              <w:top w:val="single" w:sz="8" w:space="0" w:color="auto"/>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Zużycie energii</w:t>
            </w:r>
          </w:p>
        </w:tc>
        <w:tc>
          <w:tcPr>
            <w:tcW w:w="2694" w:type="dxa"/>
            <w:tcBorders>
              <w:top w:val="single" w:sz="8" w:space="0" w:color="auto"/>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Emisja CO</w:t>
            </w:r>
            <w:r w:rsidRPr="00BE6FA1">
              <w:rPr>
                <w:rFonts w:ascii="Times New Roman" w:eastAsia="Times New Roman" w:hAnsi="Times New Roman" w:cs="Times New Roman"/>
                <w:b/>
                <w:bCs/>
                <w:sz w:val="24"/>
                <w:szCs w:val="24"/>
                <w:vertAlign w:val="subscript"/>
              </w:rPr>
              <w:t>2</w:t>
            </w:r>
          </w:p>
        </w:tc>
      </w:tr>
      <w:tr w:rsidR="00C74073" w:rsidRPr="00BE6FA1" w:rsidTr="00C74073">
        <w:trPr>
          <w:trHeight w:val="4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74073" w:rsidRPr="00BE6FA1" w:rsidRDefault="00C74073">
            <w:pPr>
              <w:spacing w:after="0" w:line="240" w:lineRule="auto"/>
              <w:rPr>
                <w:rFonts w:ascii="Times New Roman" w:eastAsia="Times New Roman" w:hAnsi="Times New Roman" w:cs="Times New Roman"/>
                <w:b/>
                <w:bCs/>
                <w:sz w:val="24"/>
                <w:szCs w:val="24"/>
              </w:rPr>
            </w:pP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[GJ/rok]</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[Mg / rok]</w:t>
            </w:r>
          </w:p>
        </w:tc>
      </w:tr>
      <w:tr w:rsidR="00C74073" w:rsidRPr="00BE6FA1" w:rsidTr="00C74073">
        <w:trPr>
          <w:trHeight w:val="450"/>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Gaz ziemny</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85104,59</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4750,57</w:t>
            </w:r>
          </w:p>
        </w:tc>
      </w:tr>
      <w:tr w:rsidR="00C74073" w:rsidRPr="00BE6FA1" w:rsidTr="00C74073">
        <w:trPr>
          <w:trHeight w:val="330"/>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Drewno</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378034,37</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19603,52</w:t>
            </w:r>
          </w:p>
        </w:tc>
      </w:tr>
      <w:tr w:rsidR="00C74073" w:rsidRPr="00BE6FA1" w:rsidTr="00C74073">
        <w:trPr>
          <w:trHeight w:val="330"/>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Węgiel</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144352,43</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13674,5</w:t>
            </w:r>
          </w:p>
        </w:tc>
      </w:tr>
      <w:tr w:rsidR="00C74073" w:rsidRPr="00BE6FA1" w:rsidTr="00C74073">
        <w:trPr>
          <w:trHeight w:val="555"/>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Energia elektryczna</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30402,29</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7022</w:t>
            </w:r>
          </w:p>
        </w:tc>
      </w:tr>
      <w:tr w:rsidR="00C74073" w:rsidRPr="00BE6FA1" w:rsidTr="00C74073">
        <w:trPr>
          <w:trHeight w:val="447"/>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Odnawialne źródła energii</w:t>
            </w:r>
          </w:p>
        </w:tc>
        <w:tc>
          <w:tcPr>
            <w:tcW w:w="2835" w:type="dxa"/>
            <w:tcBorders>
              <w:top w:val="nil"/>
              <w:left w:val="nil"/>
              <w:bottom w:val="single" w:sz="8" w:space="0" w:color="auto"/>
              <w:right w:val="single" w:sz="8" w:space="0" w:color="auto"/>
            </w:tcBorders>
            <w:vAlign w:val="center"/>
            <w:hideMark/>
          </w:tcPr>
          <w:p w:rsidR="00C74073" w:rsidRPr="00BE6FA1" w:rsidRDefault="00B00577">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951,57</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r>
      <w:tr w:rsidR="00C74073" w:rsidRPr="00BE6FA1" w:rsidTr="00C74073">
        <w:trPr>
          <w:trHeight w:val="330"/>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Benzyna</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55880,64</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3833,97</w:t>
            </w:r>
          </w:p>
        </w:tc>
      </w:tr>
      <w:tr w:rsidR="00C74073" w:rsidRPr="00BE6FA1" w:rsidTr="00C74073">
        <w:trPr>
          <w:trHeight w:val="363"/>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Olej napędowy</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126553,44</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9280,16</w:t>
            </w:r>
          </w:p>
        </w:tc>
      </w:tr>
      <w:tr w:rsidR="00C74073" w:rsidRPr="00BE6FA1" w:rsidTr="00C74073">
        <w:trPr>
          <w:trHeight w:val="330"/>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Gaz LPG</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66241,47</w:t>
            </w:r>
          </w:p>
        </w:tc>
        <w:tc>
          <w:tcPr>
            <w:tcW w:w="2694"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4136,11</w:t>
            </w:r>
          </w:p>
        </w:tc>
      </w:tr>
      <w:tr w:rsidR="00C74073" w:rsidRPr="00BE6FA1" w:rsidTr="00C74073">
        <w:trPr>
          <w:trHeight w:val="319"/>
          <w:jc w:val="center"/>
        </w:trPr>
        <w:tc>
          <w:tcPr>
            <w:tcW w:w="3099"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Olej opałowy</w:t>
            </w:r>
          </w:p>
        </w:tc>
        <w:tc>
          <w:tcPr>
            <w:tcW w:w="2835"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0,08</w:t>
            </w:r>
          </w:p>
        </w:tc>
        <w:tc>
          <w:tcPr>
            <w:tcW w:w="2694" w:type="dxa"/>
            <w:tcBorders>
              <w:top w:val="nil"/>
              <w:left w:val="nil"/>
              <w:bottom w:val="single" w:sz="8" w:space="0" w:color="auto"/>
              <w:right w:val="single" w:sz="8" w:space="0" w:color="auto"/>
            </w:tcBorders>
            <w:vAlign w:val="center"/>
            <w:hideMark/>
          </w:tcPr>
          <w:p w:rsidR="00C74073" w:rsidRPr="00BE6FA1" w:rsidRDefault="00C74073" w:rsidP="00C74073">
            <w:pPr>
              <w:keepNext/>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0,01</w:t>
            </w:r>
          </w:p>
        </w:tc>
      </w:tr>
    </w:tbl>
    <w:p w:rsidR="00C74073" w:rsidRPr="00BE6FA1" w:rsidRDefault="00C74073" w:rsidP="00C74073">
      <w:pPr>
        <w:pStyle w:val="Legenda"/>
        <w:rPr>
          <w:rFonts w:ascii="Times New Roman" w:hAnsi="Times New Roman" w:cs="Times New Roman"/>
          <w:color w:val="auto"/>
        </w:rPr>
      </w:pPr>
      <w:bookmarkStart w:id="162" w:name="_Toc445289866"/>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19</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i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t>
      </w:r>
      <w:r w:rsidR="008A241B" w:rsidRPr="00BE6FA1">
        <w:rPr>
          <w:rFonts w:ascii="Times New Roman" w:hAnsi="Times New Roman" w:cs="Times New Roman"/>
          <w:color w:val="auto"/>
        </w:rPr>
        <w:t>–</w:t>
      </w:r>
      <w:r w:rsidRPr="00BE6FA1">
        <w:rPr>
          <w:rFonts w:ascii="Times New Roman" w:hAnsi="Times New Roman" w:cs="Times New Roman"/>
          <w:color w:val="auto"/>
        </w:rPr>
        <w:t xml:space="preserve"> podsumowanie inwentaryzacji</w:t>
      </w:r>
      <w:bookmarkEnd w:id="162"/>
    </w:p>
    <w:p w:rsidR="00B00577" w:rsidRPr="00BE6FA1" w:rsidRDefault="00B00577" w:rsidP="00B00577">
      <w:pPr>
        <w:rPr>
          <w:rFonts w:ascii="Times New Roman" w:hAnsi="Times New Roman" w:cs="Times New Roman"/>
        </w:rPr>
      </w:pPr>
    </w:p>
    <w:p w:rsidR="00B00577" w:rsidRPr="00BE6FA1" w:rsidRDefault="00B00577" w:rsidP="00B00577">
      <w:pPr>
        <w:rPr>
          <w:rFonts w:ascii="Times New Roman" w:hAnsi="Times New Roman" w:cs="Times New Roman"/>
        </w:rPr>
      </w:pPr>
    </w:p>
    <w:p w:rsidR="00C74073" w:rsidRPr="00BE6FA1" w:rsidRDefault="00C74073" w:rsidP="00C74073">
      <w:pPr>
        <w:keepNext/>
        <w:rPr>
          <w:rFonts w:ascii="Times New Roman" w:hAnsi="Times New Roman" w:cs="Times New Roman"/>
        </w:rPr>
      </w:pPr>
      <w:r w:rsidRPr="00BE6FA1">
        <w:rPr>
          <w:rFonts w:ascii="Times New Roman" w:hAnsi="Times New Roman" w:cs="Times New Roman"/>
          <w:noProof/>
        </w:rPr>
        <w:drawing>
          <wp:inline distT="0" distB="0" distL="0" distR="0" wp14:anchorId="1A892C63" wp14:editId="1B789C99">
            <wp:extent cx="5712460" cy="3684270"/>
            <wp:effectExtent l="0" t="0" r="254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74073" w:rsidRPr="00BE6FA1" w:rsidRDefault="00C74073" w:rsidP="00C74073">
      <w:pPr>
        <w:pStyle w:val="Legenda"/>
        <w:rPr>
          <w:rFonts w:ascii="Times New Roman" w:hAnsi="Times New Roman" w:cs="Times New Roman"/>
          <w:color w:val="auto"/>
        </w:rPr>
      </w:pPr>
      <w:bookmarkStart w:id="163" w:name="_Toc448844749"/>
      <w:r w:rsidRPr="00BE6FA1">
        <w:rPr>
          <w:rFonts w:ascii="Times New Roman" w:hAnsi="Times New Roman" w:cs="Times New Roman"/>
          <w:color w:val="auto"/>
        </w:rPr>
        <w:t xml:space="preserve">Wykres </w:t>
      </w:r>
      <w:r w:rsidR="000E0556" w:rsidRPr="00BE6FA1">
        <w:rPr>
          <w:rFonts w:ascii="Times New Roman" w:hAnsi="Times New Roman" w:cs="Times New Roman"/>
          <w:color w:val="auto"/>
        </w:rPr>
        <w:fldChar w:fldCharType="begin"/>
      </w:r>
      <w:r w:rsidR="000E0556" w:rsidRPr="00BE6FA1">
        <w:rPr>
          <w:rFonts w:ascii="Times New Roman" w:hAnsi="Times New Roman" w:cs="Times New Roman"/>
          <w:color w:val="auto"/>
        </w:rPr>
        <w:instrText xml:space="preserve"> SEQ Wykres \* ARABIC </w:instrText>
      </w:r>
      <w:r w:rsidR="000E0556" w:rsidRPr="00BE6FA1">
        <w:rPr>
          <w:rFonts w:ascii="Times New Roman" w:hAnsi="Times New Roman" w:cs="Times New Roman"/>
          <w:color w:val="auto"/>
        </w:rPr>
        <w:fldChar w:fldCharType="separate"/>
      </w:r>
      <w:r w:rsidR="003D63ED">
        <w:rPr>
          <w:rFonts w:ascii="Times New Roman" w:hAnsi="Times New Roman" w:cs="Times New Roman"/>
          <w:noProof/>
          <w:color w:val="auto"/>
        </w:rPr>
        <w:t>20</w:t>
      </w:r>
      <w:r w:rsidR="000E0556" w:rsidRPr="00BE6FA1">
        <w:rPr>
          <w:rFonts w:ascii="Times New Roman" w:hAnsi="Times New Roman" w:cs="Times New Roman"/>
          <w:noProof/>
          <w:color w:val="auto"/>
        </w:rPr>
        <w:fldChar w:fldCharType="end"/>
      </w:r>
      <w:r w:rsidRPr="00BE6FA1">
        <w:rPr>
          <w:rFonts w:ascii="Times New Roman" w:hAnsi="Times New Roman" w:cs="Times New Roman"/>
          <w:color w:val="auto"/>
        </w:rPr>
        <w:t xml:space="preserve">. Zużycie energii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 w podziale na nośniki energii</w:t>
      </w:r>
      <w:bookmarkEnd w:id="163"/>
    </w:p>
    <w:p w:rsidR="00C74073" w:rsidRPr="00BE6FA1" w:rsidRDefault="00C74073" w:rsidP="00C74073">
      <w:pPr>
        <w:keepNext/>
        <w:rPr>
          <w:rFonts w:ascii="Times New Roman" w:hAnsi="Times New Roman" w:cs="Times New Roman"/>
        </w:rPr>
      </w:pPr>
      <w:r w:rsidRPr="00BE6FA1">
        <w:rPr>
          <w:rFonts w:ascii="Times New Roman" w:hAnsi="Times New Roman" w:cs="Times New Roman"/>
          <w:noProof/>
        </w:rPr>
        <w:lastRenderedPageBreak/>
        <w:drawing>
          <wp:inline distT="0" distB="0" distL="0" distR="0" wp14:anchorId="7D1C49C2" wp14:editId="41468FD0">
            <wp:extent cx="5760720" cy="3523434"/>
            <wp:effectExtent l="19050" t="0" r="0" b="127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74073" w:rsidRPr="00BE6FA1" w:rsidRDefault="00C74073" w:rsidP="00C74073">
      <w:pPr>
        <w:pStyle w:val="Legenda"/>
        <w:rPr>
          <w:rFonts w:ascii="Times New Roman" w:hAnsi="Times New Roman" w:cs="Times New Roman"/>
          <w:color w:val="auto"/>
        </w:rPr>
      </w:pPr>
      <w:bookmarkStart w:id="164" w:name="_Toc448844750"/>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 w podziale na nośniki energii</w:t>
      </w:r>
      <w:bookmarkEnd w:id="164"/>
    </w:p>
    <w:p w:rsidR="00C74073" w:rsidRPr="00BE6FA1" w:rsidRDefault="00C74073" w:rsidP="00C74073">
      <w:pPr>
        <w:rPr>
          <w:rFonts w:ascii="Times New Roman" w:hAnsi="Times New Roman" w:cs="Times New Roman"/>
        </w:rPr>
      </w:pPr>
    </w:p>
    <w:p w:rsidR="00C74073" w:rsidRPr="00BE6FA1" w:rsidRDefault="00C74073" w:rsidP="00C74073">
      <w:pPr>
        <w:rPr>
          <w:rFonts w:ascii="Times New Roman" w:hAnsi="Times New Roman" w:cs="Times New Roman"/>
        </w:rPr>
      </w:pPr>
    </w:p>
    <w:tbl>
      <w:tblPr>
        <w:tblW w:w="9180" w:type="dxa"/>
        <w:jc w:val="center"/>
        <w:tblCellMar>
          <w:left w:w="70" w:type="dxa"/>
          <w:right w:w="70" w:type="dxa"/>
        </w:tblCellMar>
        <w:tblLook w:val="04A0" w:firstRow="1" w:lastRow="0" w:firstColumn="1" w:lastColumn="0" w:noHBand="0" w:noVBand="1"/>
      </w:tblPr>
      <w:tblGrid>
        <w:gridCol w:w="2720"/>
        <w:gridCol w:w="1960"/>
        <w:gridCol w:w="2240"/>
        <w:gridCol w:w="2260"/>
      </w:tblGrid>
      <w:tr w:rsidR="00C74073" w:rsidRPr="00BE6FA1" w:rsidTr="00C74073">
        <w:trPr>
          <w:trHeight w:val="705"/>
          <w:jc w:val="center"/>
        </w:trPr>
        <w:tc>
          <w:tcPr>
            <w:tcW w:w="2720" w:type="dxa"/>
            <w:vMerge w:val="restart"/>
            <w:tcBorders>
              <w:top w:val="single" w:sz="8" w:space="0" w:color="auto"/>
              <w:left w:val="single" w:sz="8" w:space="0" w:color="auto"/>
              <w:bottom w:val="single" w:sz="8" w:space="0" w:color="000000"/>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Sektory odbiorców</w:t>
            </w:r>
          </w:p>
        </w:tc>
        <w:tc>
          <w:tcPr>
            <w:tcW w:w="1960" w:type="dxa"/>
            <w:tcBorders>
              <w:top w:val="single" w:sz="8" w:space="0" w:color="auto"/>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Zużycie energii</w:t>
            </w:r>
          </w:p>
        </w:tc>
        <w:tc>
          <w:tcPr>
            <w:tcW w:w="2240" w:type="dxa"/>
            <w:tcBorders>
              <w:top w:val="single" w:sz="8" w:space="0" w:color="auto"/>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Energia ze źródeł odnawialnych</w:t>
            </w:r>
          </w:p>
        </w:tc>
        <w:tc>
          <w:tcPr>
            <w:tcW w:w="2260" w:type="dxa"/>
            <w:tcBorders>
              <w:top w:val="single" w:sz="8" w:space="0" w:color="auto"/>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Emisja CO</w:t>
            </w:r>
            <w:r w:rsidRPr="00BE6FA1">
              <w:rPr>
                <w:rFonts w:ascii="Times New Roman" w:eastAsia="Times New Roman" w:hAnsi="Times New Roman" w:cs="Times New Roman"/>
                <w:b/>
                <w:bCs/>
                <w:sz w:val="24"/>
                <w:szCs w:val="24"/>
                <w:vertAlign w:val="subscript"/>
              </w:rPr>
              <w:t>2</w:t>
            </w:r>
          </w:p>
        </w:tc>
      </w:tr>
      <w:tr w:rsidR="00C74073" w:rsidRPr="00BE6FA1" w:rsidTr="00C74073">
        <w:trPr>
          <w:trHeight w:val="43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74073" w:rsidRPr="00BE6FA1" w:rsidRDefault="00C74073">
            <w:pPr>
              <w:spacing w:after="0" w:line="240" w:lineRule="auto"/>
              <w:rPr>
                <w:rFonts w:ascii="Times New Roman" w:eastAsia="Times New Roman" w:hAnsi="Times New Roman" w:cs="Times New Roman"/>
                <w:b/>
                <w:bCs/>
                <w:sz w:val="24"/>
                <w:szCs w:val="24"/>
              </w:rPr>
            </w:pP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[GJ/rok]</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[GJ/rok]</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b/>
                <w:bCs/>
                <w:sz w:val="24"/>
                <w:szCs w:val="24"/>
              </w:rPr>
            </w:pPr>
            <w:r w:rsidRPr="00BE6FA1">
              <w:rPr>
                <w:rFonts w:ascii="Times New Roman" w:eastAsia="Times New Roman" w:hAnsi="Times New Roman" w:cs="Times New Roman"/>
                <w:b/>
                <w:bCs/>
                <w:sz w:val="24"/>
                <w:szCs w:val="24"/>
              </w:rPr>
              <w:t>[Mg / rok]</w:t>
            </w:r>
          </w:p>
        </w:tc>
      </w:tr>
      <w:tr w:rsidR="00C74073" w:rsidRPr="00BE6FA1" w:rsidTr="00C74073">
        <w:trPr>
          <w:trHeight w:val="675"/>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mieszkalne</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392927,08</w:t>
            </w:r>
          </w:p>
        </w:tc>
        <w:tc>
          <w:tcPr>
            <w:tcW w:w="2240" w:type="dxa"/>
            <w:tcBorders>
              <w:top w:val="nil"/>
              <w:left w:val="nil"/>
              <w:bottom w:val="single" w:sz="8" w:space="0" w:color="auto"/>
              <w:right w:val="single" w:sz="8" w:space="0" w:color="auto"/>
            </w:tcBorders>
            <w:shd w:val="clear" w:color="auto" w:fill="FFFFFF"/>
            <w:vAlign w:val="center"/>
            <w:hideMark/>
          </w:tcPr>
          <w:p w:rsidR="00C74073" w:rsidRPr="00BE6FA1" w:rsidRDefault="00D3680C">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951,57</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20829,01</w:t>
            </w:r>
          </w:p>
        </w:tc>
      </w:tr>
      <w:tr w:rsidR="00C74073" w:rsidRPr="00BE6FA1" w:rsidTr="00C74073">
        <w:trPr>
          <w:trHeight w:val="705"/>
          <w:jc w:val="center"/>
        </w:trPr>
        <w:tc>
          <w:tcPr>
            <w:tcW w:w="2720" w:type="dxa"/>
            <w:tcBorders>
              <w:top w:val="nil"/>
              <w:left w:val="single" w:sz="8" w:space="0" w:color="auto"/>
              <w:bottom w:val="single" w:sz="8" w:space="0" w:color="auto"/>
              <w:right w:val="single" w:sz="8" w:space="0" w:color="auto"/>
            </w:tcBorders>
            <w:shd w:val="clear" w:color="auto" w:fill="FFFFFF"/>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użyteczności publicznej</w:t>
            </w:r>
          </w:p>
        </w:tc>
        <w:tc>
          <w:tcPr>
            <w:tcW w:w="1960" w:type="dxa"/>
            <w:tcBorders>
              <w:top w:val="nil"/>
              <w:left w:val="nil"/>
              <w:bottom w:val="single" w:sz="8" w:space="0" w:color="auto"/>
              <w:right w:val="single" w:sz="8" w:space="0" w:color="auto"/>
            </w:tcBorders>
            <w:shd w:val="clear" w:color="auto" w:fill="FFFFFF"/>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3654,44</w:t>
            </w:r>
          </w:p>
        </w:tc>
        <w:tc>
          <w:tcPr>
            <w:tcW w:w="2240" w:type="dxa"/>
            <w:tcBorders>
              <w:top w:val="nil"/>
              <w:left w:val="nil"/>
              <w:bottom w:val="single" w:sz="8" w:space="0" w:color="auto"/>
              <w:right w:val="single" w:sz="8" w:space="0" w:color="auto"/>
            </w:tcBorders>
            <w:shd w:val="clear" w:color="auto" w:fill="FFFFFF"/>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0,04</w:t>
            </w:r>
          </w:p>
        </w:tc>
        <w:tc>
          <w:tcPr>
            <w:tcW w:w="2260" w:type="dxa"/>
            <w:tcBorders>
              <w:top w:val="nil"/>
              <w:left w:val="nil"/>
              <w:bottom w:val="single" w:sz="8" w:space="0" w:color="auto"/>
              <w:right w:val="single" w:sz="8" w:space="0" w:color="auto"/>
            </w:tcBorders>
            <w:shd w:val="clear" w:color="auto" w:fill="FFFFFF"/>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301,5</w:t>
            </w:r>
          </w:p>
        </w:tc>
      </w:tr>
      <w:tr w:rsidR="00C74073" w:rsidRPr="00BE6FA1" w:rsidTr="00C74073">
        <w:trPr>
          <w:trHeight w:val="645"/>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spółdzielnie mieszkaniowe</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15442,1</w:t>
            </w:r>
          </w:p>
        </w:tc>
        <w:tc>
          <w:tcPr>
            <w:tcW w:w="2240" w:type="dxa"/>
            <w:tcBorders>
              <w:top w:val="nil"/>
              <w:left w:val="nil"/>
              <w:bottom w:val="single" w:sz="8" w:space="0" w:color="auto"/>
              <w:right w:val="single" w:sz="8" w:space="0" w:color="auto"/>
            </w:tcBorders>
            <w:shd w:val="clear" w:color="auto" w:fill="FFFFFF"/>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932</w:t>
            </w:r>
          </w:p>
        </w:tc>
      </w:tr>
      <w:tr w:rsidR="00C74073" w:rsidRPr="00BE6FA1" w:rsidTr="00C74073">
        <w:trPr>
          <w:trHeight w:val="330"/>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obiekty sakralne</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569,16</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64,27</w:t>
            </w:r>
          </w:p>
        </w:tc>
      </w:tr>
      <w:tr w:rsidR="00C74073" w:rsidRPr="00BE6FA1" w:rsidTr="00C74073">
        <w:trPr>
          <w:trHeight w:val="645"/>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oświetlenie uliczne</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1481,62</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342,21</w:t>
            </w:r>
          </w:p>
        </w:tc>
      </w:tr>
      <w:tr w:rsidR="00C74073" w:rsidRPr="00BE6FA1" w:rsidTr="00C74073">
        <w:trPr>
          <w:trHeight w:val="330"/>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transport</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244075,87</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16963,04</w:t>
            </w:r>
          </w:p>
        </w:tc>
      </w:tr>
      <w:tr w:rsidR="00C74073" w:rsidRPr="00BE6FA1" w:rsidTr="00C74073">
        <w:trPr>
          <w:trHeight w:val="330"/>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przemysł</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211870,27</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21109,06</w:t>
            </w:r>
          </w:p>
        </w:tc>
      </w:tr>
      <w:tr w:rsidR="00BE6FA1" w:rsidRPr="00BE6FA1" w:rsidTr="00C74073">
        <w:trPr>
          <w:trHeight w:val="645"/>
          <w:jc w:val="center"/>
        </w:trPr>
        <w:tc>
          <w:tcPr>
            <w:tcW w:w="2720" w:type="dxa"/>
            <w:tcBorders>
              <w:top w:val="nil"/>
              <w:left w:val="single" w:sz="8" w:space="0" w:color="auto"/>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usługowe (niekomunalne)</w:t>
            </w:r>
          </w:p>
        </w:tc>
        <w:tc>
          <w:tcPr>
            <w:tcW w:w="196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16548,77</w:t>
            </w:r>
          </w:p>
        </w:tc>
        <w:tc>
          <w:tcPr>
            <w:tcW w:w="2240" w:type="dxa"/>
            <w:tcBorders>
              <w:top w:val="nil"/>
              <w:left w:val="nil"/>
              <w:bottom w:val="single" w:sz="8" w:space="0" w:color="auto"/>
              <w:right w:val="single" w:sz="8" w:space="0" w:color="auto"/>
            </w:tcBorders>
            <w:vAlign w:val="center"/>
            <w:hideMark/>
          </w:tcPr>
          <w:p w:rsidR="00C74073" w:rsidRPr="00BE6FA1" w:rsidRDefault="00C74073">
            <w:pPr>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t>
            </w:r>
          </w:p>
        </w:tc>
        <w:tc>
          <w:tcPr>
            <w:tcW w:w="2260" w:type="dxa"/>
            <w:tcBorders>
              <w:top w:val="nil"/>
              <w:left w:val="nil"/>
              <w:bottom w:val="single" w:sz="8" w:space="0" w:color="auto"/>
              <w:right w:val="single" w:sz="8" w:space="0" w:color="auto"/>
            </w:tcBorders>
            <w:vAlign w:val="center"/>
            <w:hideMark/>
          </w:tcPr>
          <w:p w:rsidR="00C74073" w:rsidRPr="00BE6FA1" w:rsidRDefault="00C74073" w:rsidP="0005685C">
            <w:pPr>
              <w:keepNext/>
              <w:spacing w:after="0" w:line="240" w:lineRule="auto"/>
              <w:jc w:val="center"/>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1759,75</w:t>
            </w:r>
          </w:p>
        </w:tc>
      </w:tr>
    </w:tbl>
    <w:p w:rsidR="0005685C" w:rsidRPr="00BE6FA1" w:rsidRDefault="0005685C">
      <w:pPr>
        <w:pStyle w:val="Legenda"/>
        <w:rPr>
          <w:rFonts w:ascii="Times New Roman" w:hAnsi="Times New Roman" w:cs="Times New Roman"/>
          <w:color w:val="auto"/>
        </w:rPr>
      </w:pPr>
      <w:r w:rsidRPr="00BE6FA1">
        <w:rPr>
          <w:rFonts w:ascii="Times New Roman" w:hAnsi="Times New Roman" w:cs="Times New Roman"/>
          <w:color w:val="auto"/>
        </w:rPr>
        <w:t xml:space="preserve">Tabela </w:t>
      </w:r>
      <w:r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Pr="00BE6FA1">
        <w:rPr>
          <w:rFonts w:ascii="Times New Roman" w:hAnsi="Times New Roman" w:cs="Times New Roman"/>
          <w:color w:val="auto"/>
        </w:rPr>
        <w:fldChar w:fldCharType="separate"/>
      </w:r>
      <w:r w:rsidR="003D63ED">
        <w:rPr>
          <w:rFonts w:ascii="Times New Roman" w:hAnsi="Times New Roman" w:cs="Times New Roman"/>
          <w:noProof/>
          <w:color w:val="auto"/>
        </w:rPr>
        <w:t>20</w:t>
      </w:r>
      <w:r w:rsidRPr="00BE6FA1">
        <w:rPr>
          <w:rFonts w:ascii="Times New Roman" w:hAnsi="Times New Roman" w:cs="Times New Roman"/>
          <w:color w:val="auto"/>
        </w:rPr>
        <w:fldChar w:fldCharType="end"/>
      </w:r>
      <w:r w:rsidRPr="00BE6FA1">
        <w:rPr>
          <w:rFonts w:ascii="Times New Roman" w:hAnsi="Times New Roman" w:cs="Times New Roman"/>
          <w:color w:val="auto"/>
        </w:rPr>
        <w:t>. Zużycie energii, energia ze źródeł odnawialnych i emisja CO2 – podsumowanie inwentaryzacji</w:t>
      </w:r>
    </w:p>
    <w:p w:rsidR="00C74073" w:rsidRPr="00BE6FA1" w:rsidRDefault="00C74073" w:rsidP="00C74073">
      <w:pPr>
        <w:rPr>
          <w:rFonts w:ascii="Times New Roman" w:hAnsi="Times New Roman" w:cs="Times New Roman"/>
        </w:rPr>
      </w:pPr>
    </w:p>
    <w:p w:rsidR="00C74073" w:rsidRPr="00BE6FA1" w:rsidRDefault="00C74073" w:rsidP="00C74073">
      <w:pPr>
        <w:keepNext/>
        <w:jc w:val="center"/>
        <w:rPr>
          <w:rFonts w:ascii="Times New Roman" w:hAnsi="Times New Roman" w:cs="Times New Roman"/>
        </w:rPr>
      </w:pPr>
      <w:r w:rsidRPr="00BE6FA1">
        <w:rPr>
          <w:rFonts w:ascii="Times New Roman" w:hAnsi="Times New Roman" w:cs="Times New Roman"/>
          <w:noProof/>
        </w:rPr>
        <w:lastRenderedPageBreak/>
        <w:drawing>
          <wp:inline distT="0" distB="0" distL="0" distR="0" wp14:anchorId="4B07ED76" wp14:editId="0A2DABFA">
            <wp:extent cx="5760720" cy="3906216"/>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74073" w:rsidRPr="00BE6FA1" w:rsidRDefault="00C74073" w:rsidP="00C74073">
      <w:pPr>
        <w:pStyle w:val="Legenda"/>
        <w:jc w:val="center"/>
        <w:rPr>
          <w:rFonts w:ascii="Times New Roman" w:hAnsi="Times New Roman" w:cs="Times New Roman"/>
          <w:color w:val="auto"/>
        </w:rPr>
      </w:pPr>
      <w:bookmarkStart w:id="165" w:name="_Toc448844751"/>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22</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Zużycie energii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 w podziale na sektory odbiorców</w:t>
      </w:r>
      <w:bookmarkEnd w:id="165"/>
    </w:p>
    <w:p w:rsidR="00B00577" w:rsidRPr="00BE6FA1" w:rsidRDefault="00B00577" w:rsidP="00B00577">
      <w:pPr>
        <w:rPr>
          <w:rFonts w:ascii="Times New Roman" w:hAnsi="Times New Roman" w:cs="Times New Roman"/>
        </w:rPr>
      </w:pPr>
    </w:p>
    <w:p w:rsidR="00C74073" w:rsidRPr="00BE6FA1" w:rsidRDefault="00C74073" w:rsidP="00C74073">
      <w:pPr>
        <w:keepNext/>
        <w:rPr>
          <w:rFonts w:ascii="Times New Roman" w:hAnsi="Times New Roman" w:cs="Times New Roman"/>
        </w:rPr>
      </w:pPr>
      <w:r w:rsidRPr="00BE6FA1">
        <w:rPr>
          <w:rFonts w:ascii="Times New Roman" w:hAnsi="Times New Roman" w:cs="Times New Roman"/>
          <w:noProof/>
        </w:rPr>
        <w:drawing>
          <wp:inline distT="0" distB="0" distL="0" distR="0" wp14:anchorId="152B3CB6" wp14:editId="36C4D002">
            <wp:extent cx="5672455" cy="3745865"/>
            <wp:effectExtent l="0" t="0" r="4445" b="698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74073" w:rsidRPr="00BE6FA1" w:rsidRDefault="00C74073" w:rsidP="00B00577">
      <w:pPr>
        <w:pStyle w:val="Legenda"/>
        <w:rPr>
          <w:rFonts w:ascii="Times New Roman" w:hAnsi="Times New Roman" w:cs="Times New Roman"/>
          <w:color w:val="auto"/>
        </w:rPr>
      </w:pPr>
      <w:bookmarkStart w:id="166" w:name="_Toc448844752"/>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Emisja CO</w:t>
      </w:r>
      <w:r w:rsidRPr="00BE6FA1">
        <w:rPr>
          <w:rFonts w:ascii="Times New Roman" w:hAnsi="Times New Roman" w:cs="Times New Roman"/>
          <w:color w:val="auto"/>
          <w:vertAlign w:val="subscript"/>
        </w:rPr>
        <w:t>2</w:t>
      </w:r>
      <w:r w:rsidRPr="00BE6FA1">
        <w:rPr>
          <w:rFonts w:ascii="Times New Roman" w:hAnsi="Times New Roman" w:cs="Times New Roman"/>
          <w:color w:val="auto"/>
        </w:rPr>
        <w:t xml:space="preserve">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 w podziale na sektory odbiorców</w:t>
      </w:r>
      <w:bookmarkEnd w:id="166"/>
    </w:p>
    <w:p w:rsidR="006F54FB" w:rsidRPr="00BE6FA1" w:rsidRDefault="006F54FB" w:rsidP="003A27DA">
      <w:pPr>
        <w:pStyle w:val="Nagwek2"/>
        <w:spacing w:line="360" w:lineRule="auto"/>
        <w:rPr>
          <w:rFonts w:ascii="Times New Roman" w:hAnsi="Times New Roman" w:cs="Times New Roman"/>
          <w:color w:val="auto"/>
        </w:rPr>
      </w:pPr>
      <w:bookmarkStart w:id="167" w:name="_Toc442426533"/>
      <w:bookmarkStart w:id="168" w:name="_Toc449097751"/>
      <w:r w:rsidRPr="00BE6FA1">
        <w:rPr>
          <w:rFonts w:ascii="Times New Roman" w:hAnsi="Times New Roman" w:cs="Times New Roman"/>
          <w:color w:val="auto"/>
        </w:rPr>
        <w:lastRenderedPageBreak/>
        <w:t>Modernizacje budynków jednorodzinnych</w:t>
      </w:r>
      <w:bookmarkEnd w:id="167"/>
      <w:bookmarkEnd w:id="168"/>
    </w:p>
    <w:p w:rsidR="006F54FB" w:rsidRPr="00BE6FA1" w:rsidRDefault="006F54FB" w:rsidP="003A27DA">
      <w:pPr>
        <w:spacing w:line="360" w:lineRule="auto"/>
        <w:rPr>
          <w:rFonts w:ascii="Times New Roman" w:hAnsi="Times New Roman" w:cs="Times New Roman"/>
        </w:rPr>
      </w:pPr>
    </w:p>
    <w:p w:rsidR="000418AB" w:rsidRPr="00BE6FA1" w:rsidRDefault="000418AB" w:rsidP="003A27DA">
      <w:pPr>
        <w:spacing w:line="360" w:lineRule="auto"/>
        <w:ind w:firstLine="360"/>
        <w:jc w:val="both"/>
        <w:rPr>
          <w:rFonts w:ascii="Times New Roman" w:hAnsi="Times New Roman" w:cs="Times New Roman"/>
          <w:sz w:val="24"/>
        </w:rPr>
      </w:pPr>
      <w:r w:rsidRPr="00BE6FA1">
        <w:rPr>
          <w:rFonts w:ascii="Times New Roman" w:hAnsi="Times New Roman" w:cs="Times New Roman"/>
          <w:sz w:val="24"/>
        </w:rPr>
        <w:t xml:space="preserve">Istotnym elementem inwentaryzacji były informacje dotyczące termomodernizacji budynków. Dane te uwidaczniają, iż </w:t>
      </w:r>
      <w:r w:rsidR="00806262" w:rsidRPr="00BE6FA1">
        <w:rPr>
          <w:rFonts w:ascii="Times New Roman" w:hAnsi="Times New Roman" w:cs="Times New Roman"/>
          <w:sz w:val="24"/>
        </w:rPr>
        <w:t>mieszkańcy</w:t>
      </w:r>
      <w:r w:rsidRPr="00BE6FA1">
        <w:rPr>
          <w:rFonts w:ascii="Times New Roman" w:hAnsi="Times New Roman" w:cs="Times New Roman"/>
          <w:sz w:val="24"/>
        </w:rPr>
        <w:t xml:space="preserve"> gminy zainteresowani </w:t>
      </w:r>
      <w:r w:rsidR="00563D06" w:rsidRPr="00BE6FA1">
        <w:rPr>
          <w:rFonts w:ascii="Times New Roman" w:hAnsi="Times New Roman" w:cs="Times New Roman"/>
          <w:sz w:val="24"/>
        </w:rPr>
        <w:br/>
      </w:r>
      <w:r w:rsidRPr="00BE6FA1">
        <w:rPr>
          <w:rFonts w:ascii="Times New Roman" w:hAnsi="Times New Roman" w:cs="Times New Roman"/>
          <w:sz w:val="24"/>
        </w:rPr>
        <w:t xml:space="preserve">są zracjonalizowaniem zużycia energii i zmianami sposobu ogrzewania swoich domów </w:t>
      </w:r>
      <w:r w:rsidR="00563D06" w:rsidRPr="00BE6FA1">
        <w:rPr>
          <w:rFonts w:ascii="Times New Roman" w:hAnsi="Times New Roman" w:cs="Times New Roman"/>
          <w:sz w:val="24"/>
        </w:rPr>
        <w:br/>
      </w:r>
      <w:r w:rsidRPr="00BE6FA1">
        <w:rPr>
          <w:rFonts w:ascii="Times New Roman" w:hAnsi="Times New Roman" w:cs="Times New Roman"/>
          <w:sz w:val="24"/>
        </w:rPr>
        <w:t>na instalacje bardziej wydajne i ekologiczne. Wyniki przedstawiają się następująco:</w:t>
      </w:r>
    </w:p>
    <w:p w:rsidR="00C74073" w:rsidRPr="00BE6FA1" w:rsidRDefault="00C74073" w:rsidP="00C74073">
      <w:pPr>
        <w:keepNext/>
        <w:spacing w:line="360" w:lineRule="auto"/>
        <w:jc w:val="both"/>
        <w:rPr>
          <w:rFonts w:ascii="Times New Roman" w:hAnsi="Times New Roman" w:cs="Times New Roman"/>
        </w:rPr>
      </w:pPr>
      <w:r w:rsidRPr="00BE6FA1">
        <w:rPr>
          <w:rFonts w:ascii="Times New Roman" w:hAnsi="Times New Roman" w:cs="Times New Roman"/>
          <w:noProof/>
        </w:rPr>
        <w:drawing>
          <wp:inline distT="0" distB="0" distL="0" distR="0" wp14:anchorId="376CB7EA" wp14:editId="60D86805">
            <wp:extent cx="5972810" cy="3988435"/>
            <wp:effectExtent l="0" t="0" r="27940" b="1206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74073" w:rsidRPr="00BE6FA1" w:rsidRDefault="00C74073" w:rsidP="00C74073">
      <w:pPr>
        <w:pStyle w:val="Legenda"/>
        <w:jc w:val="both"/>
        <w:rPr>
          <w:rFonts w:ascii="Times New Roman" w:hAnsi="Times New Roman" w:cs="Times New Roman"/>
          <w:color w:val="auto"/>
        </w:rPr>
      </w:pPr>
      <w:bookmarkStart w:id="169" w:name="_Toc448844753"/>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24</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Wykonane termomodernizacje budynków jednorodzinnych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w:t>
      </w:r>
      <w:bookmarkEnd w:id="169"/>
    </w:p>
    <w:p w:rsidR="00C74073" w:rsidRPr="00BE6FA1" w:rsidRDefault="00C74073" w:rsidP="00C74073">
      <w:pPr>
        <w:rPr>
          <w:rFonts w:ascii="Times New Roman" w:hAnsi="Times New Roman" w:cs="Times New Roman"/>
          <w:highlight w:val="yellow"/>
        </w:rPr>
      </w:pPr>
    </w:p>
    <w:p w:rsidR="00C74073" w:rsidRPr="00BE6FA1" w:rsidRDefault="00C74073" w:rsidP="00C74073">
      <w:pPr>
        <w:keepNext/>
        <w:spacing w:line="360" w:lineRule="auto"/>
        <w:jc w:val="both"/>
        <w:rPr>
          <w:rFonts w:ascii="Times New Roman" w:hAnsi="Times New Roman" w:cs="Times New Roman"/>
        </w:rPr>
      </w:pPr>
      <w:r w:rsidRPr="00BE6FA1">
        <w:rPr>
          <w:rFonts w:ascii="Times New Roman" w:hAnsi="Times New Roman" w:cs="Times New Roman"/>
          <w:noProof/>
        </w:rPr>
        <w:lastRenderedPageBreak/>
        <w:drawing>
          <wp:inline distT="0" distB="0" distL="0" distR="0" wp14:anchorId="691B63C0" wp14:editId="5ACEB815">
            <wp:extent cx="5972810" cy="3536315"/>
            <wp:effectExtent l="0" t="0" r="27940" b="2603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74073" w:rsidRPr="00BE6FA1" w:rsidRDefault="00C74073" w:rsidP="00C74073">
      <w:pPr>
        <w:pStyle w:val="Legenda"/>
        <w:jc w:val="both"/>
        <w:rPr>
          <w:rFonts w:ascii="Times New Roman" w:hAnsi="Times New Roman" w:cs="Times New Roman"/>
          <w:color w:val="auto"/>
        </w:rPr>
      </w:pPr>
      <w:bookmarkStart w:id="170" w:name="_Toc448844754"/>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25</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Planowane termomodernizacje budynków jednorodzinnych w </w:t>
      </w:r>
      <w:r w:rsidR="001F0217" w:rsidRPr="00BE6FA1">
        <w:rPr>
          <w:rFonts w:ascii="Times New Roman" w:hAnsi="Times New Roman" w:cs="Times New Roman"/>
          <w:color w:val="auto"/>
        </w:rPr>
        <w:t xml:space="preserve">Mieście i </w:t>
      </w:r>
      <w:r w:rsidRPr="00BE6FA1">
        <w:rPr>
          <w:rFonts w:ascii="Times New Roman" w:hAnsi="Times New Roman" w:cs="Times New Roman"/>
          <w:color w:val="auto"/>
        </w:rPr>
        <w:t>Gminie Kańczuga</w:t>
      </w:r>
      <w:bookmarkEnd w:id="170"/>
    </w:p>
    <w:p w:rsidR="00F75B97" w:rsidRPr="00BE6FA1" w:rsidRDefault="00735BDD" w:rsidP="00F75B97">
      <w:pPr>
        <w:keepNext/>
        <w:spacing w:line="360" w:lineRule="auto"/>
        <w:jc w:val="center"/>
        <w:rPr>
          <w:rFonts w:ascii="Times New Roman" w:hAnsi="Times New Roman" w:cs="Times New Roman"/>
        </w:rPr>
      </w:pPr>
      <w:r w:rsidRPr="00BE6FA1">
        <w:rPr>
          <w:rFonts w:ascii="Times New Roman" w:hAnsi="Times New Roman" w:cs="Times New Roman"/>
          <w:noProof/>
          <w:sz w:val="24"/>
          <w:szCs w:val="24"/>
        </w:rPr>
        <w:lastRenderedPageBreak/>
        <w:drawing>
          <wp:inline distT="0" distB="0" distL="0" distR="0" wp14:anchorId="4778D6B8" wp14:editId="01D22990">
            <wp:extent cx="5760720" cy="4799965"/>
            <wp:effectExtent l="19050" t="0" r="11430" b="635"/>
            <wp:docPr id="83"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35BDD" w:rsidRPr="00BE6FA1" w:rsidRDefault="00F75B97" w:rsidP="00F75B97">
      <w:pPr>
        <w:pStyle w:val="Legenda"/>
        <w:jc w:val="center"/>
        <w:rPr>
          <w:rFonts w:ascii="Times New Roman" w:hAnsi="Times New Roman" w:cs="Times New Roman"/>
          <w:color w:val="auto"/>
        </w:rPr>
      </w:pPr>
      <w:bookmarkStart w:id="171" w:name="_Toc448844755"/>
      <w:r w:rsidRPr="00BE6FA1">
        <w:rPr>
          <w:rFonts w:ascii="Times New Roman" w:hAnsi="Times New Roman" w:cs="Times New Roman"/>
          <w:color w:val="auto"/>
        </w:rPr>
        <w:t xml:space="preserve">Wykres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Wykres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26</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xml:space="preserve">. Zainteresowanie mieszkańców </w:t>
      </w:r>
      <w:r w:rsidR="00726810" w:rsidRPr="00BE6FA1">
        <w:rPr>
          <w:rFonts w:ascii="Times New Roman" w:hAnsi="Times New Roman" w:cs="Times New Roman"/>
          <w:color w:val="auto"/>
        </w:rPr>
        <w:t xml:space="preserve">Miasta i </w:t>
      </w:r>
      <w:r w:rsidRPr="00BE6FA1">
        <w:rPr>
          <w:rFonts w:ascii="Times New Roman" w:hAnsi="Times New Roman" w:cs="Times New Roman"/>
          <w:color w:val="auto"/>
        </w:rPr>
        <w:t>Gminy Kańczuga dofinansowaniem na zmianę sposobu ogrzewania</w:t>
      </w:r>
      <w:bookmarkEnd w:id="171"/>
    </w:p>
    <w:p w:rsidR="00F75B97" w:rsidRPr="00BE6FA1" w:rsidRDefault="00F75B97" w:rsidP="00F75B97">
      <w:pPr>
        <w:rPr>
          <w:rFonts w:ascii="Times New Roman" w:hAnsi="Times New Roman" w:cs="Times New Roman"/>
        </w:rPr>
      </w:pPr>
    </w:p>
    <w:p w:rsidR="00B00577" w:rsidRPr="00BE6FA1" w:rsidRDefault="00B00577" w:rsidP="00F75B97">
      <w:pPr>
        <w:rPr>
          <w:rFonts w:ascii="Times New Roman" w:hAnsi="Times New Roman" w:cs="Times New Roman"/>
        </w:rPr>
      </w:pPr>
    </w:p>
    <w:p w:rsidR="006F54FB" w:rsidRPr="00BE6FA1" w:rsidRDefault="006F54FB" w:rsidP="00F75B97">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rPr>
        <w:t xml:space="preserve">Jak pokazuje powyższy wykres mieszkańcy </w:t>
      </w:r>
      <w:r w:rsidR="00726810" w:rsidRPr="00BE6FA1">
        <w:rPr>
          <w:rFonts w:ascii="Times New Roman" w:hAnsi="Times New Roman" w:cs="Times New Roman"/>
          <w:sz w:val="24"/>
        </w:rPr>
        <w:t xml:space="preserve">Miasta i </w:t>
      </w:r>
      <w:r w:rsidRPr="00BE6FA1">
        <w:rPr>
          <w:rFonts w:ascii="Times New Roman" w:hAnsi="Times New Roman" w:cs="Times New Roman"/>
          <w:sz w:val="24"/>
        </w:rPr>
        <w:t xml:space="preserve">Gminy </w:t>
      </w:r>
      <w:r w:rsidR="000418AB" w:rsidRPr="00BE6FA1">
        <w:rPr>
          <w:rFonts w:ascii="Times New Roman" w:hAnsi="Times New Roman" w:cs="Times New Roman"/>
          <w:sz w:val="24"/>
        </w:rPr>
        <w:t>Kańczuga</w:t>
      </w:r>
      <w:r w:rsidRPr="00BE6FA1">
        <w:rPr>
          <w:rFonts w:ascii="Times New Roman" w:hAnsi="Times New Roman" w:cs="Times New Roman"/>
          <w:sz w:val="24"/>
        </w:rPr>
        <w:t xml:space="preserve"> są zainteresowani wsparciem finansowym na działania modernizacyjne, takie jak zmiana sposobu ogrzewania, w celu zmniejszenia zanieczyszczenia powietrza w gminie. Aby umożliwić wykonanie termomodernizacji budynków oraz wzrost wykorzystania odnawialnych </w:t>
      </w:r>
      <w:r w:rsidRPr="00BE6FA1">
        <w:rPr>
          <w:rFonts w:ascii="Times New Roman" w:hAnsi="Times New Roman" w:cs="Times New Roman"/>
          <w:sz w:val="24"/>
          <w:szCs w:val="24"/>
        </w:rPr>
        <w:t>źródeł energii istnieją liczne formy finansowania, z</w:t>
      </w:r>
      <w:r w:rsidR="00DA3C66" w:rsidRPr="00BE6FA1">
        <w:rPr>
          <w:rFonts w:ascii="Times New Roman" w:hAnsi="Times New Roman" w:cs="Times New Roman"/>
          <w:sz w:val="24"/>
          <w:szCs w:val="24"/>
        </w:rPr>
        <w:t xml:space="preserve">arówno ze źródeł unijnych jaki </w:t>
      </w:r>
      <w:r w:rsidRPr="00BE6FA1">
        <w:rPr>
          <w:rFonts w:ascii="Times New Roman" w:hAnsi="Times New Roman" w:cs="Times New Roman"/>
          <w:sz w:val="24"/>
          <w:szCs w:val="24"/>
        </w:rPr>
        <w:t>i krajowych, polegające na dotacjach lub pożyczkach na wspieranie efektywności ekologicznej, odnawialnych źródeł energii oraz wielu inwestycji ekologicznych.</w:t>
      </w:r>
    </w:p>
    <w:p w:rsidR="006F54FB" w:rsidRPr="00BE6FA1" w:rsidRDefault="006F54FB" w:rsidP="003A27DA">
      <w:pPr>
        <w:spacing w:line="360" w:lineRule="auto"/>
        <w:ind w:firstLine="708"/>
        <w:jc w:val="both"/>
        <w:rPr>
          <w:rFonts w:ascii="Times New Roman" w:hAnsi="Times New Roman" w:cs="Times New Roman"/>
          <w:sz w:val="24"/>
          <w:szCs w:val="24"/>
        </w:rPr>
      </w:pPr>
    </w:p>
    <w:p w:rsidR="00283D34" w:rsidRPr="00BE6FA1" w:rsidRDefault="00283D34" w:rsidP="003A27DA">
      <w:pPr>
        <w:spacing w:line="360" w:lineRule="auto"/>
        <w:ind w:firstLine="708"/>
        <w:jc w:val="both"/>
        <w:rPr>
          <w:rFonts w:ascii="Times New Roman" w:hAnsi="Times New Roman" w:cs="Times New Roman"/>
          <w:sz w:val="24"/>
          <w:szCs w:val="24"/>
        </w:rPr>
      </w:pPr>
    </w:p>
    <w:p w:rsidR="00283D34" w:rsidRPr="00BE6FA1" w:rsidRDefault="00283D34" w:rsidP="003A27DA">
      <w:pPr>
        <w:spacing w:line="360" w:lineRule="auto"/>
        <w:ind w:firstLine="708"/>
        <w:jc w:val="both"/>
        <w:rPr>
          <w:rFonts w:ascii="Times New Roman" w:hAnsi="Times New Roman" w:cs="Times New Roman"/>
          <w:sz w:val="24"/>
          <w:szCs w:val="24"/>
        </w:rPr>
      </w:pPr>
    </w:p>
    <w:p w:rsidR="006F54FB" w:rsidRPr="00BE6FA1" w:rsidRDefault="006F54FB" w:rsidP="00283D34">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Należy podkreślić przede wszystkim programy takie jak:</w:t>
      </w:r>
    </w:p>
    <w:p w:rsidR="006F54FB" w:rsidRPr="00BE6FA1" w:rsidRDefault="006F54FB" w:rsidP="009A7AFF">
      <w:pPr>
        <w:pStyle w:val="Akapitzlist"/>
        <w:numPr>
          <w:ilvl w:val="0"/>
          <w:numId w:val="59"/>
        </w:numPr>
        <w:spacing w:line="360" w:lineRule="auto"/>
        <w:jc w:val="both"/>
        <w:rPr>
          <w:rFonts w:ascii="Times New Roman" w:hAnsi="Times New Roman" w:cs="Times New Roman"/>
          <w:b/>
          <w:sz w:val="24"/>
          <w:szCs w:val="24"/>
        </w:rPr>
      </w:pPr>
      <w:bookmarkStart w:id="172" w:name="_Toc439321708"/>
      <w:r w:rsidRPr="00BE6FA1">
        <w:rPr>
          <w:rFonts w:ascii="Times New Roman" w:hAnsi="Times New Roman" w:cs="Times New Roman"/>
          <w:b/>
          <w:sz w:val="24"/>
          <w:szCs w:val="24"/>
        </w:rPr>
        <w:t xml:space="preserve">Regionalny Program Operacyjny Województwa Podkarpackiego na lata </w:t>
      </w:r>
      <w:r w:rsidR="00B00577" w:rsidRPr="00BE6FA1">
        <w:rPr>
          <w:rFonts w:ascii="Times New Roman" w:hAnsi="Times New Roman" w:cs="Times New Roman"/>
          <w:b/>
          <w:sz w:val="24"/>
          <w:szCs w:val="24"/>
        </w:rPr>
        <w:br/>
      </w:r>
      <w:r w:rsidRPr="00BE6FA1">
        <w:rPr>
          <w:rFonts w:ascii="Times New Roman" w:hAnsi="Times New Roman" w:cs="Times New Roman"/>
          <w:b/>
          <w:sz w:val="24"/>
          <w:szCs w:val="24"/>
        </w:rPr>
        <w:t>2014-2020</w:t>
      </w:r>
      <w:bookmarkEnd w:id="172"/>
      <w:r w:rsidRPr="00BE6FA1">
        <w:rPr>
          <w:rFonts w:ascii="Times New Roman" w:hAnsi="Times New Roman" w:cs="Times New Roman"/>
          <w:b/>
          <w:sz w:val="24"/>
          <w:szCs w:val="24"/>
        </w:rPr>
        <w:t xml:space="preserve"> </w:t>
      </w:r>
      <w:r w:rsidR="008A241B" w:rsidRPr="00BE6FA1">
        <w:rPr>
          <w:rFonts w:ascii="Times New Roman" w:hAnsi="Times New Roman" w:cs="Times New Roman"/>
          <w:b/>
          <w:sz w:val="24"/>
          <w:szCs w:val="24"/>
        </w:rPr>
        <w:t>–</w:t>
      </w:r>
      <w:r w:rsidRPr="00BE6FA1">
        <w:rPr>
          <w:rFonts w:ascii="Times New Roman" w:hAnsi="Times New Roman" w:cs="Times New Roman"/>
          <w:b/>
          <w:sz w:val="24"/>
          <w:szCs w:val="24"/>
        </w:rPr>
        <w:t xml:space="preserve"> Oś Priorytetowa 3. Czysta energia. </w:t>
      </w:r>
    </w:p>
    <w:p w:rsidR="006F54FB" w:rsidRPr="00BE6FA1" w:rsidRDefault="006F54FB" w:rsidP="003A27DA">
      <w:pPr>
        <w:spacing w:line="360" w:lineRule="auto"/>
        <w:rPr>
          <w:rFonts w:ascii="Times New Roman" w:hAnsi="Times New Roman" w:cs="Times New Roman"/>
          <w:sz w:val="24"/>
          <w:szCs w:val="24"/>
        </w:rPr>
      </w:pPr>
    </w:p>
    <w:p w:rsidR="006F54FB" w:rsidRPr="00BE6FA1" w:rsidRDefault="006F54FB" w:rsidP="003A27DA">
      <w:pPr>
        <w:spacing w:after="0" w:line="360" w:lineRule="auto"/>
        <w:jc w:val="both"/>
        <w:rPr>
          <w:rFonts w:ascii="Times New Roman" w:hAnsi="Times New Roman" w:cs="Times New Roman"/>
          <w:sz w:val="24"/>
          <w:szCs w:val="24"/>
          <w:u w:val="single"/>
        </w:rPr>
      </w:pPr>
      <w:r w:rsidRPr="00BE6FA1">
        <w:rPr>
          <w:rFonts w:ascii="Times New Roman" w:hAnsi="Times New Roman" w:cs="Times New Roman"/>
          <w:sz w:val="24"/>
          <w:szCs w:val="24"/>
          <w:u w:val="single"/>
        </w:rPr>
        <w:t>Działanie 3.1.:  Rozwój OZE</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Typ projektów objętych działaniem:</w:t>
      </w:r>
    </w:p>
    <w:p w:rsidR="006F54FB" w:rsidRPr="00BE6FA1" w:rsidRDefault="006F54FB" w:rsidP="009A7AFF">
      <w:pPr>
        <w:pStyle w:val="Akapitzlist"/>
        <w:numPr>
          <w:ilvl w:val="0"/>
          <w:numId w:val="27"/>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Roboty  budowlane  i/lub  wyposażenie  w zakresie  przedsięwzięć dotyczących wytwarzania energii  z odnawialnych źródeł  w oparciu o energię  wody,  wiatru,  słońca,  geotermii,  biogazu  i biomasy. Inwestycje  o łącznej  mocy  instalowanej elektrowni/jednostki poniżej: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energia wodna (do 5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 xml:space="preserve">e),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energia wiatru (do 5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 xml:space="preserve">e),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energia słoneczna (do 2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e/MWt),</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energia  geotermalna  (do  2  MWt,  brak  limitu  dla  wytwarzania energii elektrycznej),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energia biogazu (do 1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 xml:space="preserve">e, brak limitu dla wytwarzania energii cieplnej),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energia biomasy (do 5 MWt/M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 xml:space="preserve">e). </w:t>
      </w:r>
    </w:p>
    <w:p w:rsidR="006F54FB" w:rsidRPr="00BE6FA1" w:rsidRDefault="006F54FB" w:rsidP="003A27DA">
      <w:pPr>
        <w:spacing w:after="0" w:line="360" w:lineRule="auto"/>
        <w:jc w:val="both"/>
        <w:rPr>
          <w:rFonts w:ascii="Times New Roman" w:hAnsi="Times New Roman" w:cs="Times New Roman"/>
          <w:sz w:val="24"/>
          <w:szCs w:val="24"/>
        </w:rPr>
      </w:pP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Inwestycje mogą być realizowane w formie „projektów parasolowych”.</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”Projekt  parasolowy” – w tego typu projektach beneficjent przygotowuje, zleca </w:t>
      </w:r>
      <w:r w:rsidRPr="00BE6FA1">
        <w:rPr>
          <w:rFonts w:ascii="Times New Roman" w:hAnsi="Times New Roman" w:cs="Times New Roman"/>
          <w:sz w:val="24"/>
          <w:szCs w:val="24"/>
        </w:rPr>
        <w:br/>
        <w:t>i koordynuje  wykonanie  mikroinstalacji  OZE, z których korzystać będą gospodarstwa domowe z terenu danej gminy. Energia  wytworzona  w mikroinstalacji  powinna  być  zużywana na własne potrzeby gospodarstw domowych,  a tylko jej niewykorzystana część  może  być  wprowadzona do sieci elektroenergetycznej. Ostatecznymi  odbiorcami  projektu  mogą  być  osoby  fizyczne. Beneficjent  zobowiązany  jest  do  wybrania  ostatecznych  odbiorców wsparcia w otwartej, przejrzystej i niedyskryminującej  procedurze. Beneficjentem  (wnioskodawcą)  „projektu  parasolowego”  mogą  być wyłącznie  jednostki  samorządu  terytorialnego,  ich  związki i stowarzyszenia.</w:t>
      </w:r>
    </w:p>
    <w:p w:rsidR="006F54FB" w:rsidRPr="00BE6FA1" w:rsidRDefault="006F54FB" w:rsidP="003A27DA">
      <w:pPr>
        <w:pStyle w:val="Akapitzlist"/>
        <w:spacing w:after="0" w:line="360" w:lineRule="auto"/>
        <w:ind w:left="0"/>
        <w:jc w:val="both"/>
        <w:rPr>
          <w:rFonts w:ascii="Times New Roman" w:hAnsi="Times New Roman" w:cs="Times New Roman"/>
          <w:sz w:val="24"/>
          <w:szCs w:val="24"/>
        </w:rPr>
      </w:pPr>
      <w:r w:rsidRPr="00BE6FA1">
        <w:rPr>
          <w:rFonts w:ascii="Times New Roman" w:hAnsi="Times New Roman" w:cs="Times New Roman"/>
          <w:sz w:val="24"/>
          <w:szCs w:val="24"/>
        </w:rPr>
        <w:t xml:space="preserve">2. Roboty budowlane i/lub wyposażenie instalacji wytwarzania energii w procesach  wysokosprawnej  Kogeneracji ze  źródeł odnawialnych. </w:t>
      </w:r>
    </w:p>
    <w:p w:rsidR="006F54FB" w:rsidRPr="00BE6FA1" w:rsidRDefault="006F54FB" w:rsidP="003A27DA">
      <w:pPr>
        <w:pStyle w:val="Akapitzlist"/>
        <w:spacing w:after="0" w:line="360" w:lineRule="auto"/>
        <w:ind w:left="0"/>
        <w:jc w:val="both"/>
        <w:rPr>
          <w:rFonts w:ascii="Times New Roman" w:hAnsi="Times New Roman" w:cs="Times New Roman"/>
          <w:sz w:val="24"/>
          <w:szCs w:val="24"/>
        </w:rPr>
      </w:pPr>
      <w:r w:rsidRPr="00BE6FA1">
        <w:rPr>
          <w:rFonts w:ascii="Times New Roman" w:hAnsi="Times New Roman" w:cs="Times New Roman"/>
          <w:sz w:val="24"/>
          <w:szCs w:val="24"/>
        </w:rPr>
        <w:t>Inwestycje o mocy zainstalowanej energii elektrycznej do 1 MW.</w:t>
      </w:r>
    </w:p>
    <w:p w:rsidR="006F54FB" w:rsidRPr="00BE6FA1" w:rsidRDefault="006F54FB" w:rsidP="003A27DA">
      <w:pPr>
        <w:pStyle w:val="Akapitzlist"/>
        <w:spacing w:after="0" w:line="360" w:lineRule="auto"/>
        <w:ind w:left="0"/>
        <w:jc w:val="both"/>
        <w:rPr>
          <w:rFonts w:ascii="Times New Roman" w:hAnsi="Times New Roman" w:cs="Times New Roman"/>
          <w:sz w:val="24"/>
          <w:szCs w:val="24"/>
        </w:rPr>
      </w:pPr>
    </w:p>
    <w:p w:rsidR="00283D34" w:rsidRPr="00BE6FA1" w:rsidRDefault="00283D34" w:rsidP="003A27DA">
      <w:pPr>
        <w:pStyle w:val="Akapitzlist"/>
        <w:spacing w:after="0" w:line="360" w:lineRule="auto"/>
        <w:ind w:left="0"/>
        <w:jc w:val="both"/>
        <w:rPr>
          <w:rFonts w:ascii="Times New Roman" w:hAnsi="Times New Roman" w:cs="Times New Roman"/>
          <w:sz w:val="24"/>
          <w:szCs w:val="24"/>
        </w:rPr>
      </w:pPr>
    </w:p>
    <w:p w:rsidR="006F54FB" w:rsidRPr="00BE6FA1" w:rsidRDefault="006F54FB" w:rsidP="003A27DA">
      <w:pPr>
        <w:spacing w:after="0" w:line="360" w:lineRule="auto"/>
        <w:jc w:val="both"/>
        <w:rPr>
          <w:rFonts w:ascii="Times New Roman" w:hAnsi="Times New Roman" w:cs="Times New Roman"/>
          <w:sz w:val="24"/>
          <w:szCs w:val="24"/>
          <w:u w:val="single"/>
        </w:rPr>
      </w:pPr>
      <w:r w:rsidRPr="00BE6FA1">
        <w:rPr>
          <w:rFonts w:ascii="Times New Roman" w:hAnsi="Times New Roman" w:cs="Times New Roman"/>
          <w:sz w:val="24"/>
          <w:szCs w:val="24"/>
          <w:u w:val="single"/>
        </w:rPr>
        <w:t>Działanie 3.2.:  Modernizacja energetyczna budynków</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Typ projektów objętych działaniem:</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Głęboka modernizacja energetyczna: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a)  budynków użyteczności publicznej,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b)  wielorodzinnych budynków mieszkalnych, wraz  z wymianą  oświetlenia  tych obiektów  na  energooszczędne, obejmująca takie elementy jak:</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ocieplenie  ścian,  stropów,  fundamentów,  stropodachów  lub dachów,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modernizacja  lub  wymiana  stolarki  okiennej  i drzwiowej  lub wymiana oszkleń </w:t>
      </w:r>
      <w:r w:rsidR="00563D06" w:rsidRPr="00BE6FA1">
        <w:rPr>
          <w:rFonts w:ascii="Times New Roman" w:hAnsi="Times New Roman" w:cs="Times New Roman"/>
          <w:sz w:val="24"/>
          <w:szCs w:val="24"/>
        </w:rPr>
        <w:br/>
      </w:r>
      <w:r w:rsidRPr="00BE6FA1">
        <w:rPr>
          <w:rFonts w:ascii="Times New Roman" w:hAnsi="Times New Roman" w:cs="Times New Roman"/>
          <w:sz w:val="24"/>
          <w:szCs w:val="24"/>
        </w:rPr>
        <w:t xml:space="preserve">w budynkach na efektywne energetycznie,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montaż urządzeń zacieniających okna (np. rolety, żaluzje),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izolacja cieplna, równoważenie hydrauliczne lub kompleksowa modernizacja instalacji ogrzewania  lub  przygotowania  ciepłej wody  użytkowej,  wraz  z podłączeniem  do sieci  </w:t>
      </w:r>
      <w:r w:rsidR="00C5778E" w:rsidRPr="00BE6FA1">
        <w:rPr>
          <w:rFonts w:ascii="Times New Roman" w:hAnsi="Times New Roman" w:cs="Times New Roman"/>
          <w:sz w:val="24"/>
          <w:szCs w:val="24"/>
        </w:rPr>
        <w:t>ciepłowniczej lub</w:t>
      </w:r>
      <w:r w:rsidRPr="00BE6FA1">
        <w:rPr>
          <w:rFonts w:ascii="Times New Roman" w:hAnsi="Times New Roman" w:cs="Times New Roman"/>
          <w:sz w:val="24"/>
          <w:szCs w:val="24"/>
        </w:rPr>
        <w:t xml:space="preserve"> wymianą źródła ciepła,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przebudowa  i/lub  budowa  klimatyzacji  i systemów chłodzących,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likwidacja liniowych i punktowych mostków cieplnych,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modernizacja  systemu  wentylacji  poprzez  montaż  układu odzysku (rekuperacji) ciepła,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zastosowanie  automatyki  pogodowej  i systemów  zarządzania zużyciem energii </w:t>
      </w:r>
      <w:r w:rsidR="00563D06" w:rsidRPr="00BE6FA1">
        <w:rPr>
          <w:rFonts w:ascii="Times New Roman" w:hAnsi="Times New Roman" w:cs="Times New Roman"/>
          <w:sz w:val="24"/>
          <w:szCs w:val="24"/>
        </w:rPr>
        <w:br/>
      </w:r>
      <w:r w:rsidRPr="00BE6FA1">
        <w:rPr>
          <w:rFonts w:ascii="Times New Roman" w:hAnsi="Times New Roman" w:cs="Times New Roman"/>
          <w:sz w:val="24"/>
          <w:szCs w:val="24"/>
        </w:rPr>
        <w:t xml:space="preserve">w budynku (w tym zawory termostatyczne),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modernizacja  instalacji  elektrycznych  budynku,  która skutkować będzie ograniczeniem strat energii,</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instalacja OZE w modernizowanych energetycznie budynkach,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instalacja urząd</w:t>
      </w:r>
      <w:r w:rsidR="00C5778E" w:rsidRPr="00BE6FA1">
        <w:rPr>
          <w:rFonts w:ascii="Times New Roman" w:hAnsi="Times New Roman" w:cs="Times New Roman"/>
          <w:sz w:val="24"/>
          <w:szCs w:val="24"/>
        </w:rPr>
        <w:t>zeń wysokosprawnej kogeneracji,</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modernizacja lub wymiana oświetlenia (zamontowanego w/na budynku na stałe).</w:t>
      </w:r>
    </w:p>
    <w:p w:rsidR="006F54FB" w:rsidRPr="00BE6FA1" w:rsidRDefault="006F54FB" w:rsidP="003A27DA">
      <w:pPr>
        <w:pStyle w:val="Akapitzlist"/>
        <w:spacing w:after="0" w:line="360" w:lineRule="auto"/>
        <w:ind w:left="284"/>
        <w:jc w:val="both"/>
        <w:rPr>
          <w:rFonts w:ascii="Times New Roman" w:hAnsi="Times New Roman" w:cs="Times New Roman"/>
          <w:sz w:val="24"/>
          <w:szCs w:val="24"/>
        </w:rPr>
      </w:pPr>
    </w:p>
    <w:p w:rsidR="006F54FB" w:rsidRPr="00BE6FA1" w:rsidRDefault="006F54FB" w:rsidP="003A27DA">
      <w:pPr>
        <w:spacing w:after="0" w:line="360" w:lineRule="auto"/>
        <w:jc w:val="both"/>
        <w:rPr>
          <w:rFonts w:ascii="Times New Roman" w:hAnsi="Times New Roman" w:cs="Times New Roman"/>
          <w:sz w:val="24"/>
          <w:szCs w:val="24"/>
          <w:u w:val="single"/>
        </w:rPr>
      </w:pPr>
      <w:r w:rsidRPr="00BE6FA1">
        <w:rPr>
          <w:rFonts w:ascii="Times New Roman" w:hAnsi="Times New Roman" w:cs="Times New Roman"/>
          <w:sz w:val="24"/>
          <w:szCs w:val="24"/>
          <w:u w:val="single"/>
        </w:rPr>
        <w:t>Działanie 3.3.:  Poprawa jakości powietrza</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Typ projektów objętych działaniem:</w:t>
      </w:r>
    </w:p>
    <w:p w:rsidR="006F54FB" w:rsidRPr="00BE6FA1" w:rsidRDefault="006F54FB" w:rsidP="009A7AFF">
      <w:pPr>
        <w:pStyle w:val="Akapitzlist"/>
        <w:numPr>
          <w:ilvl w:val="0"/>
          <w:numId w:val="27"/>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Budowa, rozbudowa, przebudowa: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sieci, przyłączy ciepłowniczych,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węzłów cieplnych.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2. Budowa,  rozbudowa,  przebudowa  przyłączy  ciepłowniczych  do budynków,  węzłów  cieplnych  oraz  instalacji  odbiorczych (wewnętrznych instalacji CO i CWU).</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3.  Roboty  budowlane  i/lub  wyposażenie w zakresie  wymiany dotychczasowych źródeł ciepła (pieców, kotłów na paliwa stałe), obejmujące:</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  demontaż i likwidację dotychczasowego źródła ciepła,</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instalację  kotła  gazowego o sprawności  h  powyżej 90  %  lub kotła na biomasę klasy 5 według normy PN EN 303-5:2012,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niezbędną  do  prawidłowego  zaopatrzenia  lokalu/budynku w ciepło  przebudowę,  montaż  wewnętrznych  instalacji  C</w:t>
      </w:r>
      <w:r w:rsidR="00C5778E" w:rsidRPr="00BE6FA1">
        <w:rPr>
          <w:rFonts w:ascii="Times New Roman" w:hAnsi="Times New Roman" w:cs="Times New Roman"/>
          <w:sz w:val="24"/>
          <w:szCs w:val="24"/>
        </w:rPr>
        <w:t>O i</w:t>
      </w:r>
      <w:r w:rsidRPr="00BE6FA1">
        <w:rPr>
          <w:rFonts w:ascii="Times New Roman" w:hAnsi="Times New Roman" w:cs="Times New Roman"/>
          <w:sz w:val="24"/>
          <w:szCs w:val="24"/>
        </w:rPr>
        <w:t xml:space="preserve"> CWU, instalacji gazowej. </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Instalowane będą wyłącznie źródła ciepła o mocy do 500 </w:t>
      </w:r>
      <w:r w:rsidR="008A241B" w:rsidRPr="00BE6FA1">
        <w:rPr>
          <w:rFonts w:ascii="Times New Roman" w:hAnsi="Times New Roman" w:cs="Times New Roman"/>
          <w:sz w:val="24"/>
          <w:szCs w:val="24"/>
        </w:rPr>
        <w:t>Kw</w:t>
      </w:r>
      <w:r w:rsidRPr="00BE6FA1">
        <w:rPr>
          <w:rFonts w:ascii="Times New Roman" w:hAnsi="Times New Roman" w:cs="Times New Roman"/>
          <w:sz w:val="24"/>
          <w:szCs w:val="24"/>
        </w:rPr>
        <w:t>.</w:t>
      </w:r>
    </w:p>
    <w:p w:rsidR="006F54FB" w:rsidRPr="00BE6FA1" w:rsidRDefault="006F54FB" w:rsidP="003A27DA">
      <w:pPr>
        <w:spacing w:after="0" w:line="360" w:lineRule="auto"/>
        <w:jc w:val="both"/>
        <w:rPr>
          <w:rFonts w:ascii="Times New Roman" w:hAnsi="Times New Roman" w:cs="Times New Roman"/>
          <w:sz w:val="24"/>
          <w:szCs w:val="24"/>
        </w:rPr>
      </w:pP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Te  typy  projektów  będą  realizowane  w formie  „projektów parasolowych”</w:t>
      </w:r>
    </w:p>
    <w:p w:rsidR="006F54FB" w:rsidRPr="00BE6FA1" w:rsidRDefault="006F54FB" w:rsidP="003A27DA">
      <w:pPr>
        <w:spacing w:after="0" w:line="360" w:lineRule="auto"/>
        <w:jc w:val="both"/>
        <w:rPr>
          <w:rFonts w:ascii="Times New Roman" w:hAnsi="Times New Roman" w:cs="Times New Roman"/>
          <w:sz w:val="24"/>
          <w:szCs w:val="24"/>
        </w:rPr>
      </w:pPr>
    </w:p>
    <w:p w:rsidR="006F54FB" w:rsidRPr="00BE6FA1" w:rsidRDefault="006F54FB" w:rsidP="009A7AFF">
      <w:pPr>
        <w:pStyle w:val="Akapitzlist"/>
        <w:numPr>
          <w:ilvl w:val="0"/>
          <w:numId w:val="27"/>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Modernizacja  systemów  oświetlenia.  Dotyczy  systemów finansowanych  </w:t>
      </w:r>
      <w:r w:rsidR="00B00577" w:rsidRPr="00BE6FA1">
        <w:rPr>
          <w:rFonts w:ascii="Times New Roman" w:hAnsi="Times New Roman" w:cs="Times New Roman"/>
          <w:sz w:val="24"/>
          <w:szCs w:val="24"/>
        </w:rPr>
        <w:br/>
      </w:r>
      <w:r w:rsidRPr="00BE6FA1">
        <w:rPr>
          <w:rFonts w:ascii="Times New Roman" w:hAnsi="Times New Roman" w:cs="Times New Roman"/>
          <w:sz w:val="24"/>
          <w:szCs w:val="24"/>
        </w:rPr>
        <w:t xml:space="preserve">ze  środków  jednostek  samorządu  terytorialnego. Prace mogą dotyczyć oświetlenia publicznych: dróg, ulic, parków, placów,  ciągów  pieszych  lub  rowerowych,  sygnalizacji  świetlnej, których efektem będzie zmniejszenie zużycia energii elektrycznej. </w:t>
      </w:r>
    </w:p>
    <w:p w:rsidR="00C5778E" w:rsidRPr="00BE6FA1" w:rsidRDefault="00C5778E" w:rsidP="00C5778E">
      <w:pPr>
        <w:spacing w:after="0" w:line="360" w:lineRule="auto"/>
        <w:jc w:val="both"/>
        <w:rPr>
          <w:rFonts w:ascii="Times New Roman" w:hAnsi="Times New Roman" w:cs="Times New Roman"/>
          <w:sz w:val="24"/>
          <w:szCs w:val="24"/>
        </w:rPr>
      </w:pP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Zakres prac obejmuje: </w:t>
      </w: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wymianę źródeł światła na energooszczędne,</w:t>
      </w: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wymianę  opraw  oświetleniowych  wraz  z osprzętem  na energooszczędne, </w:t>
      </w: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wdrażanie systemów oświetlenia  o regulowanych parametrach (natężenie,  wydajność,  sterowanie)  w zależności  od  potrzeb użytkowych,</w:t>
      </w: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stosowanie energooszczędnych systemów zasilania,</w:t>
      </w:r>
    </w:p>
    <w:p w:rsidR="00C5778E" w:rsidRPr="00BE6FA1" w:rsidRDefault="00C5778E" w:rsidP="00C5778E">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budowę,  instalację  nowych  lamp  zasilanych  OZE  lub zasilanych  z sieci  elektroenergetycznej  –  wyłącznie  jako element  projektu.  Wydatki  kwalifikowalne  </w:t>
      </w:r>
      <w:r w:rsidRPr="00BE6FA1">
        <w:rPr>
          <w:rFonts w:ascii="Times New Roman" w:hAnsi="Times New Roman" w:cs="Times New Roman"/>
          <w:sz w:val="24"/>
          <w:szCs w:val="24"/>
        </w:rPr>
        <w:br/>
        <w:t>w tym  zakresie  nie mogą  stanowić  więcej  niż  20%  wydatków  kwalifikowalnych projektu.</w:t>
      </w:r>
    </w:p>
    <w:p w:rsidR="00C5778E" w:rsidRPr="00BE6FA1" w:rsidRDefault="00C5778E" w:rsidP="003A27DA">
      <w:pPr>
        <w:spacing w:after="0" w:line="360" w:lineRule="auto"/>
        <w:jc w:val="both"/>
        <w:rPr>
          <w:rFonts w:ascii="Times New Roman" w:hAnsi="Times New Roman" w:cs="Times New Roman"/>
          <w:sz w:val="24"/>
          <w:szCs w:val="24"/>
        </w:rPr>
      </w:pPr>
    </w:p>
    <w:p w:rsidR="00C5778E" w:rsidRPr="00BE6FA1" w:rsidRDefault="00C5778E" w:rsidP="003A27DA">
      <w:pPr>
        <w:spacing w:after="0" w:line="360" w:lineRule="auto"/>
        <w:jc w:val="both"/>
        <w:rPr>
          <w:rFonts w:ascii="Times New Roman" w:hAnsi="Times New Roman" w:cs="Times New Roman"/>
          <w:sz w:val="24"/>
          <w:szCs w:val="24"/>
        </w:rPr>
      </w:pPr>
    </w:p>
    <w:p w:rsidR="006F54FB" w:rsidRPr="00BE6FA1" w:rsidRDefault="006F54FB" w:rsidP="009A7AFF">
      <w:pPr>
        <w:pStyle w:val="Akapitzlist"/>
        <w:numPr>
          <w:ilvl w:val="0"/>
          <w:numId w:val="27"/>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Budowa  lub  modernizacja  budynków  użyteczności publicznej,</w:t>
      </w:r>
      <w:r w:rsidR="00563D06" w:rsidRPr="00BE6FA1">
        <w:rPr>
          <w:rFonts w:ascii="Times New Roman" w:hAnsi="Times New Roman" w:cs="Times New Roman"/>
          <w:sz w:val="24"/>
          <w:szCs w:val="24"/>
        </w:rPr>
        <w:t xml:space="preserve"> </w:t>
      </w:r>
      <w:r w:rsidRPr="00BE6FA1">
        <w:rPr>
          <w:rFonts w:ascii="Times New Roman" w:hAnsi="Times New Roman" w:cs="Times New Roman"/>
          <w:sz w:val="24"/>
          <w:szCs w:val="24"/>
        </w:rPr>
        <w:t xml:space="preserve">które  będą  spełniać standardy  budownictwa pasywnego. </w:t>
      </w:r>
    </w:p>
    <w:p w:rsidR="006F54FB" w:rsidRPr="00BE6FA1" w:rsidRDefault="006F54FB" w:rsidP="003A27DA">
      <w:pPr>
        <w:spacing w:after="0"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Kosztem</w:t>
      </w:r>
      <w:r w:rsidR="00C5778E" w:rsidRPr="00BE6FA1">
        <w:rPr>
          <w:rFonts w:ascii="Times New Roman" w:hAnsi="Times New Roman" w:cs="Times New Roman"/>
          <w:sz w:val="24"/>
          <w:szCs w:val="24"/>
        </w:rPr>
        <w:t xml:space="preserve"> kwalifikowanym </w:t>
      </w:r>
      <w:r w:rsidRPr="00BE6FA1">
        <w:rPr>
          <w:rFonts w:ascii="Times New Roman" w:hAnsi="Times New Roman" w:cs="Times New Roman"/>
          <w:sz w:val="24"/>
          <w:szCs w:val="24"/>
        </w:rPr>
        <w:t>w tego typu projektach jest różnica między kosztami  budowy  budynku  pasywnego  a kosztami  budowy  budynku spełniającego  aktualne  standardy  w zakresie  efektywności energetycznej.</w:t>
      </w:r>
    </w:p>
    <w:p w:rsidR="006F54FB" w:rsidRPr="00BE6FA1" w:rsidRDefault="006F54FB" w:rsidP="003A27DA">
      <w:pPr>
        <w:spacing w:line="360" w:lineRule="auto"/>
        <w:jc w:val="both"/>
        <w:rPr>
          <w:rFonts w:ascii="Times New Roman" w:hAnsi="Times New Roman" w:cs="Times New Roman"/>
          <w:sz w:val="24"/>
          <w:szCs w:val="24"/>
        </w:rPr>
      </w:pPr>
    </w:p>
    <w:p w:rsidR="006F54FB" w:rsidRPr="00BE6FA1" w:rsidRDefault="006F54FB" w:rsidP="009A7AFF">
      <w:pPr>
        <w:pStyle w:val="Akapitzlist"/>
        <w:numPr>
          <w:ilvl w:val="0"/>
          <w:numId w:val="59"/>
        </w:numPr>
        <w:spacing w:line="360" w:lineRule="auto"/>
        <w:jc w:val="both"/>
        <w:rPr>
          <w:rFonts w:ascii="Times New Roman" w:hAnsi="Times New Roman" w:cs="Times New Roman"/>
          <w:b/>
          <w:sz w:val="24"/>
          <w:szCs w:val="24"/>
        </w:rPr>
      </w:pPr>
      <w:bookmarkStart w:id="173" w:name="_Toc439321706"/>
      <w:r w:rsidRPr="00BE6FA1">
        <w:rPr>
          <w:rFonts w:ascii="Times New Roman" w:hAnsi="Times New Roman" w:cs="Times New Roman"/>
          <w:b/>
          <w:sz w:val="24"/>
          <w:szCs w:val="24"/>
        </w:rPr>
        <w:lastRenderedPageBreak/>
        <w:t>Narodowy Fundusz Ochrony Środowiska i Gospodarki Wodnej</w:t>
      </w:r>
      <w:bookmarkEnd w:id="173"/>
      <w:r w:rsidRPr="00BE6FA1">
        <w:rPr>
          <w:rFonts w:ascii="Times New Roman" w:hAnsi="Times New Roman" w:cs="Times New Roman"/>
          <w:b/>
          <w:sz w:val="24"/>
          <w:szCs w:val="24"/>
        </w:rPr>
        <w:t xml:space="preserve"> </w:t>
      </w:r>
      <w:r w:rsidR="008A241B" w:rsidRPr="00BE6FA1">
        <w:rPr>
          <w:rFonts w:ascii="Times New Roman" w:hAnsi="Times New Roman" w:cs="Times New Roman"/>
          <w:b/>
          <w:sz w:val="24"/>
          <w:szCs w:val="24"/>
        </w:rPr>
        <w:t>–</w:t>
      </w:r>
      <w:r w:rsidRPr="00BE6FA1">
        <w:rPr>
          <w:rFonts w:ascii="Times New Roman" w:hAnsi="Times New Roman" w:cs="Times New Roman"/>
          <w:b/>
          <w:sz w:val="24"/>
          <w:szCs w:val="24"/>
        </w:rPr>
        <w:t xml:space="preserve"> KAWKA – Likwidacja niskiej emisji wspierająca wzrost efektywności energetycznej i rozwój rozproszonych odnawialnych źródeł energii</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ab/>
      </w:r>
    </w:p>
    <w:p w:rsidR="006F54FB" w:rsidRPr="00BE6FA1" w:rsidRDefault="006F54FB" w:rsidP="008A241B">
      <w:pPr>
        <w:tabs>
          <w:tab w:val="left" w:pos="427"/>
        </w:tabs>
        <w:spacing w:before="115" w:after="0" w:line="360" w:lineRule="auto"/>
        <w:ind w:left="720"/>
        <w:jc w:val="both"/>
        <w:rPr>
          <w:rFonts w:ascii="Times New Roman" w:hAnsi="Times New Roman" w:cs="Times New Roman"/>
          <w:sz w:val="24"/>
          <w:szCs w:val="24"/>
        </w:rPr>
      </w:pPr>
      <w:r w:rsidRPr="00BE6FA1">
        <w:rPr>
          <w:rFonts w:ascii="Times New Roman" w:hAnsi="Times New Roman" w:cs="Times New Roman"/>
          <w:sz w:val="24"/>
          <w:szCs w:val="24"/>
        </w:rPr>
        <w:t>Głównym celem programu jest zmniejszenie poziomu zanieczyszczeń powietrza pochodzących m.in. ze spalania paliw stałych w domowych piecach i lokalnych kotłowniach.</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Dofinansowaniem mogą być objęte przedsięwzięcia ujęte w obowiązujących, </w:t>
      </w:r>
      <w:r w:rsidRPr="00BE6FA1">
        <w:rPr>
          <w:rFonts w:ascii="Times New Roman" w:hAnsi="Times New Roman" w:cs="Times New Roman"/>
          <w:sz w:val="24"/>
          <w:szCs w:val="24"/>
        </w:rPr>
        <w:br/>
        <w:t xml:space="preserve">na dzień ogłoszenia przez WFOŚiGW konkursu, programach ochrony powietrza, </w:t>
      </w:r>
      <w:r w:rsidRPr="00BE6FA1">
        <w:rPr>
          <w:rFonts w:ascii="Times New Roman" w:hAnsi="Times New Roman" w:cs="Times New Roman"/>
          <w:sz w:val="24"/>
          <w:szCs w:val="24"/>
        </w:rPr>
        <w:br/>
        <w:t xml:space="preserve">w szczególności: </w:t>
      </w:r>
    </w:p>
    <w:p w:rsidR="006F54FB" w:rsidRPr="00BE6FA1" w:rsidRDefault="006F54FB" w:rsidP="009A7AFF">
      <w:pPr>
        <w:pStyle w:val="Akapitzlist"/>
        <w:numPr>
          <w:ilvl w:val="0"/>
          <w:numId w:val="27"/>
        </w:num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przedsięwzięcia mające na celu ograniczanie niskiej emisji związane </w:t>
      </w:r>
      <w:r w:rsidRPr="00BE6FA1">
        <w:rPr>
          <w:rFonts w:ascii="Times New Roman" w:hAnsi="Times New Roman" w:cs="Times New Roman"/>
          <w:sz w:val="24"/>
          <w:szCs w:val="24"/>
        </w:rPr>
        <w:br/>
        <w:t>z podnoszeniem efektywności energetycznej oraz wykorzystaniem układów wysokosprawnej  odnawialnych źródeł energii, w szczególności:</w:t>
      </w:r>
    </w:p>
    <w:p w:rsidR="006F54FB" w:rsidRPr="00BE6FA1" w:rsidRDefault="006F54FB" w:rsidP="009A7AFF">
      <w:pPr>
        <w:pStyle w:val="Akapitzlist"/>
        <w:numPr>
          <w:ilvl w:val="0"/>
          <w:numId w:val="55"/>
        </w:num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likwidacja lokalnych źródeł ciepła tj.: indywidualnych kotłowni lub palenisk węglowych, kotłowni zasilających kilka budynków oraz kotłowni osiedlowych</w:t>
      </w:r>
      <w:r w:rsidRPr="00BE6FA1">
        <w:rPr>
          <w:rFonts w:ascii="Times New Roman" w:hAnsi="Times New Roman" w:cs="Times New Roman"/>
          <w:sz w:val="24"/>
          <w:szCs w:val="24"/>
        </w:rPr>
        <w:br/>
        <w:t>i podłączenie obiektów do miejskiej sieci ciepłowniczej lub ich zastąpienie przez źródło o wyższej niż dotychczas sprawności wytwarzania ciepła (w tym pompy ciepła oraz paleniska i palniki) spełniające wymagania emisyjne określone przez właściwy organ.</w:t>
      </w:r>
    </w:p>
    <w:p w:rsidR="006F54FB" w:rsidRPr="00BE6FA1" w:rsidRDefault="006F54FB" w:rsidP="009A7AFF">
      <w:pPr>
        <w:pStyle w:val="Akapitzlist"/>
        <w:numPr>
          <w:ilvl w:val="0"/>
          <w:numId w:val="55"/>
        </w:num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rozbudowa sieci ciepłowniczej w celu podłączenia istniejących obiektów (ogrzewanych ze źródeł lokalnych przy wykorzystywaniu paliwa stałego) </w:t>
      </w:r>
      <w:r w:rsidR="00B00577" w:rsidRPr="00BE6FA1">
        <w:rPr>
          <w:rFonts w:ascii="Times New Roman" w:hAnsi="Times New Roman" w:cs="Times New Roman"/>
          <w:sz w:val="24"/>
          <w:szCs w:val="24"/>
        </w:rPr>
        <w:br/>
      </w:r>
      <w:r w:rsidRPr="00BE6FA1">
        <w:rPr>
          <w:rFonts w:ascii="Times New Roman" w:hAnsi="Times New Roman" w:cs="Times New Roman"/>
          <w:sz w:val="24"/>
          <w:szCs w:val="24"/>
        </w:rPr>
        <w:t xml:space="preserve">do centralnego źródła ciepła wraz z podłączeniem obiektów do sieci; </w:t>
      </w:r>
    </w:p>
    <w:p w:rsidR="006F54FB" w:rsidRPr="00BE6FA1" w:rsidRDefault="006F54FB" w:rsidP="009A7AFF">
      <w:pPr>
        <w:pStyle w:val="Akapitzlist"/>
        <w:numPr>
          <w:ilvl w:val="0"/>
          <w:numId w:val="55"/>
        </w:num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zastosowanie kolektorów słonecznych celem obniżenia emisji w lokalnym źródle ciepła opalanym paliwem stałym bądź celem współpracy ze źródłem ciepła zastępującym źródło ciepła opalane paliwem stałym; 9 2) zakup aparatury dla kontroli rodzaju stosowanych paliw i pomiaru emisji (dotyczy jeżeli beneficjentem końcowym jest jednostka samorządu terytorialnego lub instytucja przez nią wskazana)</w:t>
      </w:r>
    </w:p>
    <w:p w:rsidR="006F54FB" w:rsidRPr="00BE6FA1" w:rsidRDefault="006F54FB" w:rsidP="003A27DA">
      <w:pPr>
        <w:pStyle w:val="Akapitzlist"/>
        <w:tabs>
          <w:tab w:val="left" w:pos="427"/>
        </w:tabs>
        <w:spacing w:before="115" w:after="0" w:line="360" w:lineRule="auto"/>
        <w:jc w:val="both"/>
        <w:rPr>
          <w:rFonts w:ascii="Times New Roman" w:hAnsi="Times New Roman" w:cs="Times New Roman"/>
        </w:rPr>
      </w:pPr>
    </w:p>
    <w:p w:rsidR="006F54FB" w:rsidRPr="00BE6FA1" w:rsidRDefault="006F54FB" w:rsidP="003A27DA">
      <w:pPr>
        <w:spacing w:after="0" w:line="360" w:lineRule="auto"/>
        <w:jc w:val="both"/>
        <w:rPr>
          <w:rFonts w:ascii="Times New Roman" w:hAnsi="Times New Roman" w:cs="Times New Roman"/>
          <w:sz w:val="24"/>
          <w:szCs w:val="24"/>
        </w:rPr>
      </w:pPr>
      <w:r w:rsidRPr="00BE6FA1">
        <w:rPr>
          <w:rStyle w:val="Pogrubienie"/>
          <w:rFonts w:ascii="Times New Roman" w:hAnsi="Times New Roman" w:cs="Times New Roman"/>
          <w:sz w:val="24"/>
          <w:szCs w:val="24"/>
        </w:rPr>
        <w:t>10%</w:t>
      </w:r>
      <w:r w:rsidRPr="00BE6FA1">
        <w:rPr>
          <w:rStyle w:val="apple-converted-space"/>
          <w:rFonts w:ascii="Times New Roman" w:hAnsi="Times New Roman" w:cs="Times New Roman"/>
          <w:sz w:val="24"/>
          <w:szCs w:val="24"/>
        </w:rPr>
        <w:t> </w:t>
      </w:r>
      <w:r w:rsidRPr="00BE6FA1">
        <w:rPr>
          <w:rFonts w:ascii="Times New Roman" w:hAnsi="Times New Roman" w:cs="Times New Roman"/>
          <w:sz w:val="24"/>
          <w:szCs w:val="24"/>
        </w:rPr>
        <w:t>to wkład własny jaki musi ponieść beneficjent KAWKA III</w:t>
      </w:r>
    </w:p>
    <w:p w:rsidR="006F54FB" w:rsidRPr="00BE6FA1" w:rsidRDefault="006F54FB" w:rsidP="003A27DA">
      <w:pPr>
        <w:spacing w:after="0" w:line="360" w:lineRule="auto"/>
        <w:jc w:val="both"/>
        <w:rPr>
          <w:rFonts w:ascii="Times New Roman" w:hAnsi="Times New Roman" w:cs="Times New Roman"/>
          <w:sz w:val="24"/>
          <w:szCs w:val="24"/>
        </w:rPr>
      </w:pPr>
      <w:r w:rsidRPr="00BE6FA1">
        <w:rPr>
          <w:rStyle w:val="Pogrubienie"/>
          <w:rFonts w:ascii="Times New Roman" w:hAnsi="Times New Roman" w:cs="Times New Roman"/>
          <w:sz w:val="24"/>
          <w:szCs w:val="24"/>
        </w:rPr>
        <w:t>45%</w:t>
      </w:r>
      <w:r w:rsidRPr="00BE6FA1">
        <w:rPr>
          <w:rStyle w:val="apple-converted-space"/>
          <w:rFonts w:ascii="Times New Roman" w:hAnsi="Times New Roman" w:cs="Times New Roman"/>
          <w:sz w:val="24"/>
          <w:szCs w:val="24"/>
        </w:rPr>
        <w:t> </w:t>
      </w:r>
      <w:r w:rsidRPr="00BE6FA1">
        <w:rPr>
          <w:rFonts w:ascii="Times New Roman" w:hAnsi="Times New Roman" w:cs="Times New Roman"/>
          <w:sz w:val="24"/>
          <w:szCs w:val="24"/>
        </w:rPr>
        <w:t>kosztów inwestycji to dotacja bezzwrotna ze środków WFOŚiGW</w:t>
      </w:r>
    </w:p>
    <w:p w:rsidR="006F54FB" w:rsidRPr="00BE6FA1" w:rsidRDefault="006F54FB" w:rsidP="003A27DA">
      <w:pPr>
        <w:spacing w:after="0" w:line="360" w:lineRule="auto"/>
        <w:jc w:val="both"/>
        <w:rPr>
          <w:rFonts w:ascii="Times New Roman" w:hAnsi="Times New Roman" w:cs="Times New Roman"/>
          <w:sz w:val="24"/>
          <w:szCs w:val="24"/>
        </w:rPr>
      </w:pPr>
      <w:r w:rsidRPr="00BE6FA1">
        <w:rPr>
          <w:rStyle w:val="Pogrubienie"/>
          <w:rFonts w:ascii="Times New Roman" w:hAnsi="Times New Roman" w:cs="Times New Roman"/>
          <w:sz w:val="24"/>
          <w:szCs w:val="24"/>
        </w:rPr>
        <w:t>45 %</w:t>
      </w:r>
      <w:r w:rsidRPr="00BE6FA1">
        <w:rPr>
          <w:rStyle w:val="apple-converted-space"/>
          <w:rFonts w:ascii="Times New Roman" w:hAnsi="Times New Roman" w:cs="Times New Roman"/>
          <w:sz w:val="24"/>
          <w:szCs w:val="24"/>
        </w:rPr>
        <w:t> </w:t>
      </w:r>
      <w:r w:rsidRPr="00BE6FA1">
        <w:rPr>
          <w:rFonts w:ascii="Times New Roman" w:hAnsi="Times New Roman" w:cs="Times New Roman"/>
          <w:sz w:val="24"/>
          <w:szCs w:val="24"/>
        </w:rPr>
        <w:t>to preferencyjna pożyczka jaką mogą uzyskać wnioskodawcy</w:t>
      </w:r>
    </w:p>
    <w:p w:rsidR="006F54FB" w:rsidRPr="00BE6FA1" w:rsidRDefault="006F54FB" w:rsidP="003A27DA">
      <w:pPr>
        <w:spacing w:line="360" w:lineRule="auto"/>
        <w:jc w:val="both"/>
        <w:rPr>
          <w:rFonts w:ascii="Times New Roman" w:hAnsi="Times New Roman" w:cs="Times New Roman"/>
          <w:sz w:val="24"/>
          <w:szCs w:val="24"/>
        </w:rPr>
      </w:pPr>
    </w:p>
    <w:p w:rsidR="006F54FB" w:rsidRPr="00BE6FA1" w:rsidRDefault="006F54FB" w:rsidP="009A7AFF">
      <w:pPr>
        <w:pStyle w:val="Akapitzlist"/>
        <w:numPr>
          <w:ilvl w:val="0"/>
          <w:numId w:val="59"/>
        </w:numPr>
        <w:spacing w:line="360" w:lineRule="auto"/>
        <w:jc w:val="both"/>
        <w:rPr>
          <w:rFonts w:ascii="Times New Roman" w:hAnsi="Times New Roman" w:cs="Times New Roman"/>
          <w:b/>
          <w:i/>
          <w:sz w:val="24"/>
          <w:szCs w:val="24"/>
        </w:rPr>
      </w:pPr>
      <w:r w:rsidRPr="00BE6FA1">
        <w:rPr>
          <w:rFonts w:ascii="Times New Roman" w:hAnsi="Times New Roman" w:cs="Times New Roman"/>
          <w:b/>
          <w:sz w:val="24"/>
          <w:szCs w:val="24"/>
        </w:rPr>
        <w:lastRenderedPageBreak/>
        <w:t xml:space="preserve">Narodowy Fundusz Ochrony Środowiska i Gospodarki Wodnej – </w:t>
      </w:r>
      <w:r w:rsidRPr="00BE6FA1">
        <w:rPr>
          <w:rStyle w:val="Wyrnienie"/>
          <w:rFonts w:ascii="Times New Roman" w:hAnsi="Times New Roman" w:cs="Times New Roman"/>
          <w:b/>
          <w:bCs/>
          <w:sz w:val="24"/>
          <w:szCs w:val="24"/>
        </w:rPr>
        <w:t xml:space="preserve">RYŚ </w:t>
      </w:r>
      <w:r w:rsidR="008A241B" w:rsidRPr="00BE6FA1">
        <w:rPr>
          <w:rStyle w:val="Wyrnienie"/>
          <w:rFonts w:ascii="Times New Roman" w:hAnsi="Times New Roman" w:cs="Times New Roman"/>
          <w:b/>
          <w:bCs/>
          <w:sz w:val="24"/>
          <w:szCs w:val="24"/>
        </w:rPr>
        <w:t>–</w:t>
      </w:r>
      <w:r w:rsidRPr="00BE6FA1">
        <w:rPr>
          <w:rStyle w:val="Wyrnienie"/>
          <w:rFonts w:ascii="Times New Roman" w:hAnsi="Times New Roman" w:cs="Times New Roman"/>
          <w:b/>
          <w:bCs/>
          <w:sz w:val="24"/>
          <w:szCs w:val="24"/>
        </w:rPr>
        <w:t xml:space="preserve"> termomodernizacja budynków jednorodzinnych</w:t>
      </w:r>
    </w:p>
    <w:p w:rsidR="006F54FB" w:rsidRPr="00BE6FA1" w:rsidRDefault="006F54FB" w:rsidP="003A27DA">
      <w:pPr>
        <w:shd w:val="clear" w:color="auto" w:fill="FFFFFF"/>
        <w:spacing w:after="0" w:line="360" w:lineRule="auto"/>
        <w:ind w:firstLine="720"/>
        <w:jc w:val="both"/>
        <w:textAlignment w:val="baseline"/>
        <w:rPr>
          <w:rFonts w:ascii="Times New Roman" w:hAnsi="Times New Roman" w:cs="Times New Roman"/>
          <w:sz w:val="24"/>
          <w:szCs w:val="24"/>
          <w:shd w:val="clear" w:color="auto" w:fill="FFFFFF"/>
        </w:rPr>
      </w:pPr>
      <w:r w:rsidRPr="00BE6FA1">
        <w:rPr>
          <w:rFonts w:ascii="Times New Roman" w:hAnsi="Times New Roman" w:cs="Times New Roman"/>
          <w:sz w:val="24"/>
          <w:szCs w:val="24"/>
          <w:shd w:val="clear" w:color="auto" w:fill="FFFFFF"/>
        </w:rPr>
        <w:t>Celem programu jest zmniejszenie emisji CO</w:t>
      </w:r>
      <w:r w:rsidRPr="00BE6FA1">
        <w:rPr>
          <w:rFonts w:ascii="Times New Roman" w:hAnsi="Times New Roman" w:cs="Times New Roman"/>
          <w:sz w:val="24"/>
          <w:szCs w:val="24"/>
          <w:shd w:val="clear" w:color="auto" w:fill="FFFFFF"/>
          <w:vertAlign w:val="subscript"/>
        </w:rPr>
        <w:t>2</w:t>
      </w:r>
      <w:r w:rsidRPr="00BE6FA1">
        <w:rPr>
          <w:rFonts w:ascii="Times New Roman" w:hAnsi="Times New Roman" w:cs="Times New Roman"/>
          <w:sz w:val="24"/>
          <w:szCs w:val="24"/>
          <w:shd w:val="clear" w:color="auto" w:fill="FFFFFF"/>
        </w:rPr>
        <w:t xml:space="preserve"> oraz pyłów w wyniku poprawy efektywności wykorzystania energii w istniejących jednorodzinnych budynkach mieszkalnych.</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bCs/>
          <w:iCs/>
          <w:sz w:val="24"/>
          <w:szCs w:val="24"/>
        </w:rPr>
      </w:pPr>
      <w:r w:rsidRPr="00BE6FA1">
        <w:rPr>
          <w:rFonts w:ascii="Times New Roman" w:eastAsia="Times New Roman" w:hAnsi="Times New Roman" w:cs="Times New Roman"/>
          <w:bCs/>
          <w:iCs/>
          <w:sz w:val="24"/>
          <w:szCs w:val="24"/>
        </w:rPr>
        <w:t>Finansowanie dotyczy następujących prac remontowych:</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bCs/>
          <w:iCs/>
          <w:sz w:val="24"/>
          <w:szCs w:val="24"/>
        </w:rPr>
      </w:pP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iCs/>
          <w:sz w:val="24"/>
          <w:szCs w:val="24"/>
        </w:rPr>
        <w:t>Grupa I. Prace termoizolacyjne</w:t>
      </w:r>
    </w:p>
    <w:p w:rsidR="006F54FB" w:rsidRPr="00BE6FA1" w:rsidRDefault="006F54FB" w:rsidP="009A7AFF">
      <w:pPr>
        <w:numPr>
          <w:ilvl w:val="0"/>
          <w:numId w:val="56"/>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Ocieplenie ścian zewnętrznych;</w:t>
      </w:r>
    </w:p>
    <w:p w:rsidR="006F54FB" w:rsidRPr="00BE6FA1" w:rsidRDefault="006F54FB" w:rsidP="009A7AFF">
      <w:pPr>
        <w:numPr>
          <w:ilvl w:val="0"/>
          <w:numId w:val="56"/>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Ocieplenie dachu / stropodachu;</w:t>
      </w:r>
    </w:p>
    <w:p w:rsidR="006F54FB" w:rsidRPr="00BE6FA1" w:rsidRDefault="006F54FB" w:rsidP="009A7AFF">
      <w:pPr>
        <w:numPr>
          <w:ilvl w:val="0"/>
          <w:numId w:val="56"/>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Ocieplenie podłogi na gruncie / stropu nad nieogrzewaną piwnicą;</w:t>
      </w:r>
    </w:p>
    <w:p w:rsidR="006F54FB" w:rsidRPr="00BE6FA1" w:rsidRDefault="006F54FB" w:rsidP="009A7AFF">
      <w:pPr>
        <w:numPr>
          <w:ilvl w:val="0"/>
          <w:numId w:val="56"/>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Wymiana okien, drzwi zewnętrznych, bramy garażowej.</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iCs/>
          <w:sz w:val="24"/>
          <w:szCs w:val="24"/>
        </w:rPr>
        <w:t>Grupa II. Instalacje wewnętrzne</w:t>
      </w:r>
    </w:p>
    <w:p w:rsidR="006F54FB" w:rsidRPr="00BE6FA1" w:rsidRDefault="006F54FB" w:rsidP="009A7AFF">
      <w:pPr>
        <w:numPr>
          <w:ilvl w:val="0"/>
          <w:numId w:val="57"/>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wentylacji mechanicznej nawiewno-wywiewnej z odzyskiem ciepła;</w:t>
      </w:r>
    </w:p>
    <w:p w:rsidR="006F54FB" w:rsidRPr="00BE6FA1" w:rsidRDefault="006F54FB" w:rsidP="009A7AFF">
      <w:pPr>
        <w:numPr>
          <w:ilvl w:val="0"/>
          <w:numId w:val="57"/>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wewnętrzna ogrzewania i ciepłej wody użytkowej.</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iCs/>
          <w:sz w:val="24"/>
          <w:szCs w:val="24"/>
        </w:rPr>
        <w:t>Grupa III. Wymiana źródeł ciepła, zastosowanie odnawialnych źródeł energii cieplnej</w:t>
      </w:r>
    </w:p>
    <w:p w:rsidR="006F54FB" w:rsidRPr="00BE6FA1" w:rsidRDefault="006F54FB" w:rsidP="009A7AFF">
      <w:pPr>
        <w:numPr>
          <w:ilvl w:val="0"/>
          <w:numId w:val="58"/>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kotła kondensacyjnego;</w:t>
      </w:r>
    </w:p>
    <w:p w:rsidR="006F54FB" w:rsidRPr="00BE6FA1" w:rsidRDefault="006F54FB" w:rsidP="009A7AFF">
      <w:pPr>
        <w:numPr>
          <w:ilvl w:val="0"/>
          <w:numId w:val="58"/>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węzła cieplnego;</w:t>
      </w:r>
    </w:p>
    <w:p w:rsidR="006F54FB" w:rsidRPr="00BE6FA1" w:rsidRDefault="006F54FB" w:rsidP="009A7AFF">
      <w:pPr>
        <w:numPr>
          <w:ilvl w:val="0"/>
          <w:numId w:val="58"/>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kotła na biomasę;</w:t>
      </w:r>
    </w:p>
    <w:p w:rsidR="006F54FB" w:rsidRPr="00BE6FA1" w:rsidRDefault="006F54FB" w:rsidP="009A7AFF">
      <w:pPr>
        <w:numPr>
          <w:ilvl w:val="0"/>
          <w:numId w:val="58"/>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pompy ciepła;</w:t>
      </w:r>
    </w:p>
    <w:p w:rsidR="006F54FB" w:rsidRPr="00BE6FA1" w:rsidRDefault="006F54FB" w:rsidP="009A7AFF">
      <w:pPr>
        <w:numPr>
          <w:ilvl w:val="0"/>
          <w:numId w:val="58"/>
        </w:numPr>
        <w:shd w:val="clear" w:color="auto" w:fill="FFFFFF"/>
        <w:spacing w:after="0" w:line="360" w:lineRule="auto"/>
        <w:ind w:left="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Instalacja kolektorów słonecznych.</w:t>
      </w:r>
    </w:p>
    <w:p w:rsidR="006F54FB" w:rsidRPr="00BE6FA1" w:rsidRDefault="006F54FB" w:rsidP="003A27DA">
      <w:pPr>
        <w:shd w:val="clear" w:color="auto" w:fill="FFFFFF"/>
        <w:spacing w:after="0" w:line="360" w:lineRule="auto"/>
        <w:ind w:left="360"/>
        <w:jc w:val="both"/>
        <w:textAlignment w:val="baseline"/>
        <w:rPr>
          <w:rFonts w:ascii="Times New Roman" w:eastAsia="Times New Roman" w:hAnsi="Times New Roman" w:cs="Times New Roman"/>
          <w:sz w:val="24"/>
          <w:szCs w:val="24"/>
        </w:rPr>
      </w:pPr>
    </w:p>
    <w:p w:rsidR="006F54FB" w:rsidRPr="00BE6FA1" w:rsidRDefault="006F54FB" w:rsidP="003A27DA">
      <w:pPr>
        <w:shd w:val="clear" w:color="auto" w:fill="FFFFFF"/>
        <w:spacing w:after="0" w:line="360" w:lineRule="auto"/>
        <w:ind w:firstLine="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Beneficjent będzie miał możliwość decyzji co do zakresu wykonywanych prac modernizacyjnych, wybierając </w:t>
      </w:r>
      <w:r w:rsidRPr="00BE6FA1">
        <w:rPr>
          <w:rFonts w:ascii="Times New Roman" w:eastAsia="Times New Roman" w:hAnsi="Times New Roman" w:cs="Times New Roman"/>
          <w:bCs/>
          <w:sz w:val="24"/>
          <w:szCs w:val="24"/>
        </w:rPr>
        <w:t>realizację jednego lub kilku elementów</w:t>
      </w:r>
      <w:r w:rsidRPr="00BE6FA1">
        <w:rPr>
          <w:rFonts w:ascii="Times New Roman" w:eastAsia="Times New Roman" w:hAnsi="Times New Roman" w:cs="Times New Roman"/>
          <w:sz w:val="24"/>
          <w:szCs w:val="24"/>
        </w:rPr>
        <w:t>, przy zachowaniu </w:t>
      </w:r>
      <w:r w:rsidRPr="00BE6FA1">
        <w:rPr>
          <w:rFonts w:ascii="Times New Roman" w:eastAsia="Times New Roman" w:hAnsi="Times New Roman" w:cs="Times New Roman"/>
          <w:bCs/>
          <w:sz w:val="24"/>
          <w:szCs w:val="24"/>
        </w:rPr>
        <w:t>właściwej kolejności prac</w:t>
      </w:r>
      <w:r w:rsidRPr="00BE6FA1">
        <w:rPr>
          <w:rFonts w:ascii="Times New Roman" w:eastAsia="Times New Roman" w:hAnsi="Times New Roman" w:cs="Times New Roman"/>
          <w:sz w:val="24"/>
          <w:szCs w:val="24"/>
        </w:rPr>
        <w:t>. Połączenie elementów w zakresie prac termoizolacyjnych będzie </w:t>
      </w:r>
      <w:r w:rsidRPr="00BE6FA1">
        <w:rPr>
          <w:rFonts w:ascii="Times New Roman" w:eastAsia="Times New Roman" w:hAnsi="Times New Roman" w:cs="Times New Roman"/>
          <w:bCs/>
          <w:sz w:val="24"/>
          <w:szCs w:val="24"/>
        </w:rPr>
        <w:t>premiowane wyższą dotacją</w:t>
      </w:r>
      <w:r w:rsidRPr="00BE6FA1">
        <w:rPr>
          <w:rFonts w:ascii="Times New Roman" w:eastAsia="Times New Roman" w:hAnsi="Times New Roman" w:cs="Times New Roman"/>
          <w:sz w:val="24"/>
          <w:szCs w:val="24"/>
        </w:rPr>
        <w:t>.</w:t>
      </w:r>
    </w:p>
    <w:p w:rsidR="006F54FB" w:rsidRPr="00BE6FA1" w:rsidRDefault="006F54FB" w:rsidP="003A27DA">
      <w:pPr>
        <w:shd w:val="clear" w:color="auto" w:fill="FFFFFF"/>
        <w:spacing w:after="0" w:line="360" w:lineRule="auto"/>
        <w:ind w:firstLine="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Kredyt / pożyczka preferencyjna wraz z dotacją udzielana będzie łącznie </w:t>
      </w:r>
      <w:r w:rsidRPr="00BE6FA1">
        <w:rPr>
          <w:rFonts w:ascii="Times New Roman" w:eastAsia="Times New Roman" w:hAnsi="Times New Roman" w:cs="Times New Roman"/>
          <w:bCs/>
          <w:sz w:val="24"/>
          <w:szCs w:val="24"/>
        </w:rPr>
        <w:t xml:space="preserve">do 100% kosztów kwalifikowanych </w:t>
      </w:r>
      <w:r w:rsidRPr="00BE6FA1">
        <w:rPr>
          <w:rFonts w:ascii="Times New Roman" w:eastAsia="Times New Roman" w:hAnsi="Times New Roman" w:cs="Times New Roman"/>
          <w:sz w:val="24"/>
          <w:szCs w:val="24"/>
        </w:rPr>
        <w:t>przedsięwzięcia.</w:t>
      </w:r>
    </w:p>
    <w:p w:rsidR="006F54FB" w:rsidRPr="00BE6FA1" w:rsidRDefault="006F54FB" w:rsidP="003A27DA">
      <w:pPr>
        <w:shd w:val="clear" w:color="auto" w:fill="FFFFFF"/>
        <w:spacing w:after="0" w:line="360" w:lineRule="auto"/>
        <w:ind w:firstLine="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Ocena energetyczna i dokumentacja projektowa </w:t>
      </w:r>
      <w:r w:rsidRPr="00BE6FA1">
        <w:rPr>
          <w:rFonts w:ascii="Times New Roman" w:eastAsia="Times New Roman" w:hAnsi="Times New Roman" w:cs="Times New Roman"/>
          <w:sz w:val="24"/>
          <w:szCs w:val="24"/>
        </w:rPr>
        <w:t>finansowana jest</w:t>
      </w:r>
      <w:r w:rsidRPr="00BE6FA1">
        <w:rPr>
          <w:rFonts w:ascii="Times New Roman" w:eastAsia="Times New Roman" w:hAnsi="Times New Roman" w:cs="Times New Roman"/>
          <w:bCs/>
          <w:sz w:val="24"/>
          <w:szCs w:val="24"/>
        </w:rPr>
        <w:t xml:space="preserve"> w całości </w:t>
      </w:r>
      <w:r w:rsidRPr="00BE6FA1">
        <w:rPr>
          <w:rFonts w:ascii="Times New Roman" w:eastAsia="Times New Roman" w:hAnsi="Times New Roman" w:cs="Times New Roman"/>
          <w:bCs/>
          <w:sz w:val="24"/>
          <w:szCs w:val="24"/>
        </w:rPr>
        <w:br/>
        <w:t>z dotacji.</w:t>
      </w:r>
    </w:p>
    <w:p w:rsidR="006F54FB" w:rsidRPr="00BE6FA1" w:rsidRDefault="006F54FB" w:rsidP="003A27DA">
      <w:pPr>
        <w:shd w:val="clear" w:color="auto" w:fill="FFFFFF"/>
        <w:spacing w:after="0" w:line="360" w:lineRule="auto"/>
        <w:ind w:firstLine="645"/>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rPr>
        <w:t>Dotacja do prac remontowych wynosi 20% lub 40% </w:t>
      </w:r>
      <w:r w:rsidRPr="00BE6FA1">
        <w:rPr>
          <w:rFonts w:ascii="Times New Roman" w:eastAsia="Times New Roman" w:hAnsi="Times New Roman" w:cs="Times New Roman"/>
          <w:sz w:val="24"/>
          <w:szCs w:val="24"/>
        </w:rPr>
        <w:t xml:space="preserve">dofinansowania (dla źródeł OZE </w:t>
      </w:r>
      <w:r w:rsidR="008A241B" w:rsidRPr="00BE6FA1">
        <w:rPr>
          <w:rFonts w:ascii="Times New Roman" w:eastAsia="Times New Roman" w:hAnsi="Times New Roman" w:cs="Times New Roman"/>
          <w:sz w:val="24"/>
          <w:szCs w:val="24"/>
        </w:rPr>
        <w:t>–</w:t>
      </w:r>
      <w:r w:rsidRPr="00BE6FA1">
        <w:rPr>
          <w:rFonts w:ascii="Times New Roman" w:eastAsia="Times New Roman" w:hAnsi="Times New Roman" w:cs="Times New Roman"/>
          <w:sz w:val="24"/>
          <w:szCs w:val="24"/>
        </w:rPr>
        <w:t xml:space="preserve"> 15% po 2016 r.).</w:t>
      </w:r>
    </w:p>
    <w:p w:rsidR="006F54FB" w:rsidRPr="00BE6FA1" w:rsidRDefault="006F54FB" w:rsidP="003A27DA">
      <w:pPr>
        <w:spacing w:line="360" w:lineRule="auto"/>
        <w:rPr>
          <w:rFonts w:ascii="Times New Roman" w:hAnsi="Times New Roman" w:cs="Times New Roman"/>
        </w:rPr>
      </w:pPr>
    </w:p>
    <w:p w:rsidR="006F54FB" w:rsidRPr="00BE6FA1" w:rsidRDefault="006F54FB" w:rsidP="003A27DA">
      <w:pPr>
        <w:spacing w:line="360" w:lineRule="auto"/>
        <w:rPr>
          <w:rFonts w:ascii="Times New Roman" w:hAnsi="Times New Roman" w:cs="Times New Roman"/>
          <w:i/>
          <w:sz w:val="24"/>
          <w:u w:val="single"/>
        </w:rPr>
      </w:pPr>
      <w:r w:rsidRPr="00BE6FA1">
        <w:rPr>
          <w:rFonts w:ascii="Times New Roman" w:hAnsi="Times New Roman" w:cs="Times New Roman"/>
          <w:i/>
          <w:sz w:val="24"/>
          <w:u w:val="single"/>
        </w:rPr>
        <w:t>Więcej możliwości finansowania oraz szerszy opis przedstawiono w kolejnym rozdziale.</w:t>
      </w:r>
    </w:p>
    <w:p w:rsidR="006F54FB" w:rsidRPr="00BE6FA1" w:rsidRDefault="006F54FB" w:rsidP="003A27DA">
      <w:pPr>
        <w:spacing w:line="360" w:lineRule="auto"/>
        <w:rPr>
          <w:rFonts w:ascii="Times New Roman" w:hAnsi="Times New Roman" w:cs="Times New Roman"/>
          <w:sz w:val="24"/>
        </w:rPr>
      </w:pPr>
    </w:p>
    <w:p w:rsidR="006F54FB" w:rsidRPr="00BE6FA1" w:rsidRDefault="006F54FB" w:rsidP="003A27DA">
      <w:pPr>
        <w:pStyle w:val="Nagwek1"/>
        <w:spacing w:line="360" w:lineRule="auto"/>
        <w:rPr>
          <w:rFonts w:ascii="Times New Roman" w:hAnsi="Times New Roman" w:cs="Times New Roman"/>
          <w:color w:val="auto"/>
        </w:rPr>
      </w:pPr>
      <w:bookmarkStart w:id="174" w:name="_Toc442426534"/>
      <w:bookmarkStart w:id="175" w:name="_Toc449097752"/>
      <w:r w:rsidRPr="00BE6FA1">
        <w:rPr>
          <w:rFonts w:ascii="Times New Roman" w:hAnsi="Times New Roman" w:cs="Times New Roman"/>
          <w:color w:val="auto"/>
        </w:rPr>
        <w:t>Analiza ekonomiczna i harmonogram finansowania</w:t>
      </w:r>
      <w:bookmarkEnd w:id="174"/>
      <w:bookmarkEnd w:id="175"/>
    </w:p>
    <w:p w:rsidR="006F54FB" w:rsidRPr="00BE6FA1" w:rsidRDefault="006F54FB" w:rsidP="003A27DA">
      <w:pPr>
        <w:pStyle w:val="Nagwek2"/>
        <w:spacing w:line="360" w:lineRule="auto"/>
        <w:rPr>
          <w:rFonts w:ascii="Times New Roman" w:hAnsi="Times New Roman" w:cs="Times New Roman"/>
          <w:color w:val="auto"/>
          <w:sz w:val="8"/>
          <w:szCs w:val="8"/>
        </w:rPr>
      </w:pPr>
      <w:bookmarkStart w:id="176" w:name="_Toc437603366"/>
      <w:bookmarkStart w:id="177" w:name="_Toc437603495"/>
      <w:bookmarkStart w:id="178" w:name="_Toc437866332"/>
    </w:p>
    <w:p w:rsidR="006F54FB" w:rsidRPr="00BE6FA1" w:rsidRDefault="006F54FB" w:rsidP="003A27DA">
      <w:pPr>
        <w:pStyle w:val="Nagwek2"/>
        <w:spacing w:line="360" w:lineRule="auto"/>
        <w:rPr>
          <w:rFonts w:ascii="Times New Roman" w:hAnsi="Times New Roman" w:cs="Times New Roman"/>
          <w:color w:val="auto"/>
        </w:rPr>
      </w:pPr>
      <w:bookmarkStart w:id="179" w:name="_Toc442426535"/>
      <w:bookmarkStart w:id="180" w:name="_Toc449097753"/>
      <w:r w:rsidRPr="00BE6FA1">
        <w:rPr>
          <w:rFonts w:ascii="Times New Roman" w:hAnsi="Times New Roman" w:cs="Times New Roman"/>
          <w:color w:val="auto"/>
        </w:rPr>
        <w:t>Źródła finansowania</w:t>
      </w:r>
      <w:bookmarkEnd w:id="176"/>
      <w:bookmarkEnd w:id="177"/>
      <w:bookmarkEnd w:id="178"/>
      <w:bookmarkEnd w:id="179"/>
      <w:bookmarkEnd w:id="180"/>
    </w:p>
    <w:p w:rsidR="006F54FB" w:rsidRPr="00BE6FA1" w:rsidRDefault="006F54FB" w:rsidP="003A27DA">
      <w:pPr>
        <w:spacing w:line="360" w:lineRule="auto"/>
        <w:rPr>
          <w:rFonts w:ascii="Times New Roman" w:hAnsi="Times New Roman" w:cs="Times New Roman"/>
        </w:rPr>
      </w:pPr>
    </w:p>
    <w:p w:rsidR="006F54FB" w:rsidRPr="00BE6FA1" w:rsidRDefault="006F54FB" w:rsidP="009A7AFF">
      <w:pPr>
        <w:numPr>
          <w:ilvl w:val="0"/>
          <w:numId w:val="28"/>
        </w:numPr>
        <w:spacing w:line="360" w:lineRule="auto"/>
        <w:rPr>
          <w:rFonts w:ascii="Times New Roman" w:hAnsi="Times New Roman" w:cs="Times New Roman"/>
          <w:b/>
          <w:bCs/>
        </w:rPr>
      </w:pPr>
      <w:r w:rsidRPr="00BE6FA1">
        <w:rPr>
          <w:rFonts w:ascii="Times New Roman" w:hAnsi="Times New Roman" w:cs="Times New Roman"/>
          <w:b/>
          <w:bCs/>
          <w:sz w:val="24"/>
          <w:szCs w:val="24"/>
        </w:rPr>
        <w:t>Narodowy Fundusz Ochrony Środowiska i Gospodarki Wodnej</w:t>
      </w:r>
    </w:p>
    <w:p w:rsidR="006F54FB" w:rsidRPr="00BE6FA1" w:rsidRDefault="006F54FB" w:rsidP="008A241B">
      <w:pPr>
        <w:spacing w:line="360" w:lineRule="auto"/>
        <w:ind w:left="720"/>
        <w:jc w:val="both"/>
        <w:rPr>
          <w:rFonts w:ascii="Times New Roman" w:hAnsi="Times New Roman" w:cs="Times New Roman"/>
          <w:sz w:val="24"/>
          <w:szCs w:val="24"/>
        </w:rPr>
      </w:pPr>
      <w:r w:rsidRPr="00BE6FA1">
        <w:rPr>
          <w:rFonts w:ascii="Times New Roman" w:hAnsi="Times New Roman" w:cs="Times New Roman"/>
          <w:sz w:val="24"/>
          <w:szCs w:val="24"/>
        </w:rPr>
        <w:t xml:space="preserve">Jednym z głównych źródeł polskiego systemu finansowania przedsięwzięć służących ochronie środowiska, wykorzystujący środki krajowe jak i zagraniczne jest Narodowy Fundusz Ochrony Środowiska i Gospodarki Wodnej. Na lata 2015 – 2020 przewidziane jest finansowanie działań w ramach programu ochrona atmosfery, który podzielony jest na cztery działania priorytetowe: poprawa jakości powietrza, poprawa efektywności energetycznej, wspieranie rozproszonych, odnawialnych źródeł energii oraz system zielonych inwestycji (GIS – Green InwestmentScheme). </w:t>
      </w:r>
    </w:p>
    <w:p w:rsidR="006F54FB" w:rsidRPr="00BE6FA1" w:rsidRDefault="006F54FB" w:rsidP="003A27DA">
      <w:pPr>
        <w:spacing w:line="360" w:lineRule="auto"/>
        <w:jc w:val="both"/>
        <w:rPr>
          <w:rFonts w:ascii="Times New Roman" w:hAnsi="Times New Roman" w:cs="Times New Roman"/>
          <w:sz w:val="24"/>
          <w:szCs w:val="24"/>
        </w:rPr>
      </w:pP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POPRAWA JAKOŚCI POWIETRZA</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ab/>
        <w:t>Celem programu jest zmniejszenie narażenia ludności na oddziaływanie zanieczyszczeń powietrza w strefach, w których występują znaczące przekroczenia dopuszczalnych i docelowych poziomów stężeń tych zanieczyszczeń, poprzez opracowanie programów ochrony powietrza oraz poprzez zmniejszenie emisji zanieczyszczeń,</w:t>
      </w:r>
      <w:r w:rsidRPr="00BE6FA1">
        <w:rPr>
          <w:rFonts w:ascii="Times New Roman" w:hAnsi="Times New Roman" w:cs="Times New Roman"/>
          <w:sz w:val="24"/>
          <w:szCs w:val="24"/>
        </w:rPr>
        <w:br/>
        <w:t xml:space="preserve">w szczególności pyłów PM2,5, PM10 oraz emisji CO2. </w:t>
      </w:r>
    </w:p>
    <w:p w:rsidR="006F54FB" w:rsidRPr="00BE6FA1" w:rsidRDefault="006F54FB" w:rsidP="003A27DA">
      <w:pPr>
        <w:spacing w:line="360" w:lineRule="auto"/>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Część 1) Współfinansowanie opracowania programów ochrony powietrza i planów działań krótkoterminowych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Beneficjenci: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Województwa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Rodzaje przedsięwzięć:</w:t>
      </w:r>
    </w:p>
    <w:p w:rsidR="006F54FB" w:rsidRPr="00BE6FA1" w:rsidRDefault="006F54FB" w:rsidP="003A27DA">
      <w:pPr>
        <w:spacing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1) opracowanie programów ochrony powietrza;</w:t>
      </w:r>
    </w:p>
    <w:p w:rsidR="006F54FB" w:rsidRPr="00BE6FA1" w:rsidRDefault="006F54FB" w:rsidP="003A27DA">
      <w:pPr>
        <w:spacing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2) opracowanie planów działań krótkoterminowych.</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Program realizowany będzie w latach 2015 – 2018</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Formy dofinansowania: Dotacja</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Dofinansowanie w formie dotacji do 50 % kosztów kwalifikowanych </w:t>
      </w:r>
    </w:p>
    <w:p w:rsidR="006F54FB" w:rsidRPr="00BE6FA1" w:rsidRDefault="006F54FB" w:rsidP="003A27DA">
      <w:pPr>
        <w:spacing w:before="240" w:after="0" w:line="360" w:lineRule="auto"/>
        <w:ind w:firstLine="427"/>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Część 2) KAWKA – Likwidacja niskiej emisji wspierająca wzrost efektywności energetycznej i rozwój rozproszonych odnawialnych źródeł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Beneficjenci:</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1) Beneficjentem programu są wojewódzkie fundusze ochrony środowiska i gospodarki wodnej (WFOŚiGW).</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 xml:space="preserve">2) Beneficjentem końcowym są podmioty właściwe dla realizacji przedsięwzięć wskazanych w programach ochrony powietrza, które planują realizację albo realizują przedsięwzięcia mogące być przedmiotem dofinansowania przez wojewódzkie fundusze ochrony środowiska i gospodarki wodnej ze środków udostępnionych przez NFOŚiGW,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z uwzględnieniem warunków niniejszego programu. Kategorie beneficjentów końcowych wskażą indywidualnie WFOŚiGW w ogłaszanych konkursach.</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 xml:space="preserve">3) Ostatecznym odbiorcą korzyści są podmioty właściwe dla realizacji przedsięwzięć wskazanych w programach ochrony powietrza, korzystające </w:t>
      </w:r>
      <w:r w:rsidRPr="00BE6FA1">
        <w:rPr>
          <w:rFonts w:ascii="Times New Roman" w:hAnsi="Times New Roman" w:cs="Times New Roman"/>
          <w:sz w:val="24"/>
          <w:szCs w:val="24"/>
        </w:rPr>
        <w:br/>
        <w:t xml:space="preserve">z dofinansowania, wyłącznie za pośrednictwem beneficjenta końcowego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Rodzaje przedsięwzięć:</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ab/>
        <w:t xml:space="preserve">Dofinansowaniem mogą być objęte przedsięwzięcia ujęte w obowiązujących, </w:t>
      </w:r>
      <w:r w:rsidRPr="00BE6FA1">
        <w:rPr>
          <w:rFonts w:ascii="Times New Roman" w:hAnsi="Times New Roman" w:cs="Times New Roman"/>
          <w:sz w:val="24"/>
          <w:szCs w:val="24"/>
        </w:rPr>
        <w:br/>
        <w:t xml:space="preserve">na dzień ogłoszenia przez WFOŚiGW konkursu, programach ochrony powietrza, </w:t>
      </w:r>
      <w:r w:rsidRPr="00BE6FA1">
        <w:rPr>
          <w:rFonts w:ascii="Times New Roman" w:hAnsi="Times New Roman" w:cs="Times New Roman"/>
          <w:sz w:val="24"/>
          <w:szCs w:val="24"/>
        </w:rPr>
        <w:br/>
        <w:t xml:space="preserve">w szczególności: </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 xml:space="preserve">1) przedsięwzięcia mające na celu ograniczanie niskiej emisji związane </w:t>
      </w:r>
      <w:r w:rsidRPr="00BE6FA1">
        <w:rPr>
          <w:rFonts w:ascii="Times New Roman" w:hAnsi="Times New Roman" w:cs="Times New Roman"/>
          <w:sz w:val="24"/>
          <w:szCs w:val="24"/>
        </w:rPr>
        <w:br/>
        <w:t xml:space="preserve">z podnoszeniem efektywności energetycznej oraz wykorzystaniem układów </w:t>
      </w:r>
      <w:r w:rsidR="00322F6C" w:rsidRPr="00BE6FA1">
        <w:rPr>
          <w:rFonts w:ascii="Times New Roman" w:hAnsi="Times New Roman" w:cs="Times New Roman"/>
          <w:sz w:val="24"/>
          <w:szCs w:val="24"/>
        </w:rPr>
        <w:t>wysokosprawnej kogeneracjii odnawialnych</w:t>
      </w:r>
      <w:r w:rsidRPr="00BE6FA1">
        <w:rPr>
          <w:rFonts w:ascii="Times New Roman" w:hAnsi="Times New Roman" w:cs="Times New Roman"/>
          <w:sz w:val="24"/>
          <w:szCs w:val="24"/>
        </w:rPr>
        <w:t xml:space="preserve"> źródeł energii, w szczególności:</w:t>
      </w:r>
    </w:p>
    <w:p w:rsidR="006F54FB" w:rsidRPr="00BE6FA1" w:rsidRDefault="006F54FB" w:rsidP="003A27DA">
      <w:pPr>
        <w:tabs>
          <w:tab w:val="left" w:pos="427"/>
        </w:tabs>
        <w:spacing w:before="115" w:after="0" w:line="360" w:lineRule="auto"/>
        <w:ind w:left="454" w:firstLine="567"/>
        <w:jc w:val="both"/>
        <w:rPr>
          <w:rFonts w:ascii="Times New Roman" w:hAnsi="Times New Roman" w:cs="Times New Roman"/>
          <w:sz w:val="24"/>
          <w:szCs w:val="24"/>
        </w:rPr>
      </w:pPr>
      <w:r w:rsidRPr="00BE6FA1">
        <w:rPr>
          <w:rFonts w:ascii="Times New Roman" w:hAnsi="Times New Roman" w:cs="Times New Roman"/>
          <w:sz w:val="24"/>
          <w:szCs w:val="24"/>
        </w:rPr>
        <w:t>a) likwidacja lokalnych źródeł ciepła tj.: indywidualnych kotłowni lub palenisk węglowych, kotłowni zasilających kilka budynków oraz kotłowni osiedlowych</w:t>
      </w:r>
      <w:r w:rsidRPr="00BE6FA1">
        <w:rPr>
          <w:rFonts w:ascii="Times New Roman" w:hAnsi="Times New Roman" w:cs="Times New Roman"/>
          <w:sz w:val="24"/>
          <w:szCs w:val="24"/>
        </w:rPr>
        <w:br/>
        <w:t>i podłączenie obiektów do miejskiej sieci ciepłowniczej lub ich zastąpienie przez źródło o wyższej niż dotychczas sprawności wytwarzania ciepła (w tym pompy ciepła oraz paleniska i palniki) spełniające wymagania emisyjne określone przez właściwy organ.</w:t>
      </w:r>
    </w:p>
    <w:p w:rsidR="006F54FB" w:rsidRPr="00BE6FA1" w:rsidRDefault="006F54FB" w:rsidP="003A27DA">
      <w:pPr>
        <w:tabs>
          <w:tab w:val="left" w:pos="427"/>
        </w:tabs>
        <w:spacing w:before="115" w:after="0" w:line="360" w:lineRule="auto"/>
        <w:ind w:left="454"/>
        <w:jc w:val="both"/>
        <w:rPr>
          <w:rFonts w:ascii="Times New Roman" w:hAnsi="Times New Roman" w:cs="Times New Roman"/>
          <w:sz w:val="24"/>
          <w:szCs w:val="24"/>
        </w:rPr>
      </w:pPr>
      <w:r w:rsidRPr="00BE6FA1">
        <w:rPr>
          <w:rFonts w:ascii="Times New Roman" w:hAnsi="Times New Roman" w:cs="Times New Roman"/>
          <w:sz w:val="24"/>
          <w:szCs w:val="24"/>
        </w:rPr>
        <w:lastRenderedPageBreak/>
        <w:tab/>
        <w:t xml:space="preserve">W przypadku kotłów opalanych paliwami stałymi muszą one spełniać następujące warunki: </w:t>
      </w:r>
    </w:p>
    <w:p w:rsidR="006F54FB" w:rsidRPr="00BE6FA1" w:rsidRDefault="006F54FB" w:rsidP="009A7AFF">
      <w:pPr>
        <w:numPr>
          <w:ilvl w:val="0"/>
          <w:numId w:val="29"/>
        </w:numPr>
        <w:tabs>
          <w:tab w:val="left" w:pos="427"/>
        </w:tabs>
        <w:spacing w:before="115" w:after="0" w:line="360" w:lineRule="auto"/>
        <w:ind w:hanging="397"/>
        <w:jc w:val="both"/>
        <w:rPr>
          <w:rFonts w:ascii="Times New Roman" w:hAnsi="Times New Roman" w:cs="Times New Roman"/>
        </w:rPr>
      </w:pPr>
      <w:r w:rsidRPr="00BE6FA1">
        <w:rPr>
          <w:rFonts w:ascii="Times New Roman" w:hAnsi="Times New Roman" w:cs="Times New Roman"/>
          <w:sz w:val="24"/>
          <w:szCs w:val="24"/>
        </w:rPr>
        <w:t>posiadać certyfikat zgodności z normą PN-EN 303-5 „Kotły grzewcze. Część 5: Kotły grzewcze na paliwa stałe z ręcznym i automatycznym zasypem paliwa</w:t>
      </w:r>
      <w:r w:rsidRPr="00BE6FA1">
        <w:rPr>
          <w:rFonts w:ascii="Times New Roman" w:hAnsi="Times New Roman" w:cs="Times New Roman"/>
          <w:sz w:val="24"/>
          <w:szCs w:val="24"/>
        </w:rPr>
        <w:br/>
        <w:t xml:space="preserve">o mocy nominalnej do 500 </w:t>
      </w:r>
      <w:r w:rsidR="008A241B" w:rsidRPr="00BE6FA1">
        <w:rPr>
          <w:rFonts w:ascii="Times New Roman" w:hAnsi="Times New Roman" w:cs="Times New Roman"/>
          <w:sz w:val="24"/>
          <w:szCs w:val="24"/>
        </w:rPr>
        <w:t>Kw</w:t>
      </w:r>
      <w:r w:rsidRPr="00BE6FA1">
        <w:rPr>
          <w:rFonts w:ascii="Times New Roman" w:hAnsi="Times New Roman" w:cs="Times New Roman"/>
          <w:sz w:val="24"/>
          <w:szCs w:val="24"/>
        </w:rPr>
        <w:t xml:space="preserve">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Terminologia, wymagania, badania</w:t>
      </w:r>
      <w:r w:rsidRPr="00BE6FA1">
        <w:rPr>
          <w:rFonts w:ascii="Times New Roman" w:hAnsi="Times New Roman" w:cs="Times New Roman"/>
          <w:sz w:val="24"/>
          <w:szCs w:val="24"/>
        </w:rPr>
        <w:br/>
        <w:t xml:space="preserve">i oznakowanie” lub równoważną, wydany przez właściwą jednostkę certyfikującą. Data potwierdzenia zgodności z wymaganą normą nie może być wcześniejsza niż 5 lat licząc od daty złożenia wniosku o dofinansowanie; </w:t>
      </w:r>
    </w:p>
    <w:p w:rsidR="006F54FB" w:rsidRPr="00BE6FA1" w:rsidRDefault="006F54FB" w:rsidP="009A7AFF">
      <w:pPr>
        <w:numPr>
          <w:ilvl w:val="0"/>
          <w:numId w:val="29"/>
        </w:numPr>
        <w:tabs>
          <w:tab w:val="left" w:pos="427"/>
        </w:tabs>
        <w:spacing w:before="115" w:after="0" w:line="360" w:lineRule="auto"/>
        <w:ind w:hanging="397"/>
        <w:jc w:val="both"/>
        <w:rPr>
          <w:rFonts w:ascii="Times New Roman" w:hAnsi="Times New Roman" w:cs="Times New Roman"/>
        </w:rPr>
      </w:pPr>
      <w:r w:rsidRPr="00BE6FA1">
        <w:rPr>
          <w:rFonts w:ascii="Times New Roman" w:hAnsi="Times New Roman" w:cs="Times New Roman"/>
          <w:sz w:val="24"/>
          <w:szCs w:val="24"/>
        </w:rPr>
        <w:t>posiadać nominalną sprawność przemiany energetycznej co najmniej 85%</w:t>
      </w:r>
      <w:r w:rsidRPr="00BE6FA1">
        <w:rPr>
          <w:rFonts w:ascii="Times New Roman" w:hAnsi="Times New Roman" w:cs="Times New Roman"/>
          <w:sz w:val="24"/>
          <w:szCs w:val="24"/>
        </w:rPr>
        <w:br/>
        <w:t xml:space="preserve">i spełniać wymagania: </w:t>
      </w:r>
    </w:p>
    <w:p w:rsidR="006F54FB" w:rsidRPr="00BE6FA1" w:rsidRDefault="006F54FB" w:rsidP="003A27DA">
      <w:pPr>
        <w:tabs>
          <w:tab w:val="left" w:pos="427"/>
        </w:tabs>
        <w:spacing w:before="115" w:after="0" w:line="360" w:lineRule="auto"/>
        <w:ind w:left="1474" w:hanging="397"/>
        <w:jc w:val="both"/>
        <w:rPr>
          <w:rFonts w:ascii="Times New Roman" w:hAnsi="Times New Roman" w:cs="Times New Roman"/>
        </w:rPr>
      </w:pPr>
      <w:r w:rsidRPr="00BE6FA1">
        <w:rPr>
          <w:rFonts w:ascii="Times New Roman" w:hAnsi="Times New Roman" w:cs="Times New Roman"/>
          <w:sz w:val="24"/>
          <w:szCs w:val="24"/>
        </w:rPr>
        <w:t xml:space="preserve">- klasy 4 lub 5 – dla źródeł opalanych paliwami stałymi oddanych do użytkowania przed 01/01/2016; </w:t>
      </w:r>
    </w:p>
    <w:p w:rsidR="006F54FB" w:rsidRPr="00BE6FA1" w:rsidRDefault="006F54FB" w:rsidP="003A27DA">
      <w:pPr>
        <w:tabs>
          <w:tab w:val="left" w:pos="427"/>
        </w:tabs>
        <w:spacing w:before="115" w:after="0" w:line="360" w:lineRule="auto"/>
        <w:ind w:left="1474" w:hanging="397"/>
        <w:jc w:val="both"/>
        <w:rPr>
          <w:rFonts w:ascii="Times New Roman" w:hAnsi="Times New Roman" w:cs="Times New Roman"/>
        </w:rPr>
      </w:pPr>
      <w:r w:rsidRPr="00BE6FA1">
        <w:rPr>
          <w:rFonts w:ascii="Times New Roman" w:hAnsi="Times New Roman" w:cs="Times New Roman"/>
          <w:sz w:val="24"/>
          <w:szCs w:val="24"/>
        </w:rPr>
        <w:t xml:space="preserve">- klasy 5 – dla źródeł opalanych paliwami stałymi oddanych do użytkowania po 01/01/2016; </w:t>
      </w:r>
    </w:p>
    <w:p w:rsidR="006F54FB" w:rsidRPr="00BE6FA1" w:rsidRDefault="006F54FB" w:rsidP="009A7AFF">
      <w:pPr>
        <w:numPr>
          <w:ilvl w:val="0"/>
          <w:numId w:val="29"/>
        </w:numPr>
        <w:tabs>
          <w:tab w:val="left" w:pos="427"/>
        </w:tabs>
        <w:spacing w:before="115" w:after="0" w:line="360" w:lineRule="auto"/>
        <w:ind w:hanging="397"/>
        <w:jc w:val="both"/>
        <w:rPr>
          <w:rFonts w:ascii="Times New Roman" w:hAnsi="Times New Roman" w:cs="Times New Roman"/>
        </w:rPr>
      </w:pPr>
      <w:r w:rsidRPr="00BE6FA1">
        <w:rPr>
          <w:rFonts w:ascii="Times New Roman" w:hAnsi="Times New Roman" w:cs="Times New Roman"/>
          <w:sz w:val="24"/>
          <w:szCs w:val="24"/>
        </w:rPr>
        <w:t xml:space="preserve">powinny być wyposażone w automatyczny podajnik paliwa (nie dotyczy kotłów zgazowujących) i nie może posiadać rusztu awaryjnego ani elementów umożliwiających jego zamontowanie. </w:t>
      </w:r>
    </w:p>
    <w:p w:rsidR="006F54FB" w:rsidRPr="00BE6FA1" w:rsidRDefault="006F54FB" w:rsidP="008A241B">
      <w:pPr>
        <w:tabs>
          <w:tab w:val="left" w:pos="427"/>
        </w:tabs>
        <w:spacing w:before="115" w:after="0" w:line="360" w:lineRule="auto"/>
        <w:ind w:left="720"/>
        <w:jc w:val="both"/>
        <w:rPr>
          <w:rFonts w:ascii="Times New Roman" w:hAnsi="Times New Roman" w:cs="Times New Roman"/>
        </w:rPr>
      </w:pPr>
      <w:r w:rsidRPr="00BE6FA1">
        <w:rPr>
          <w:rFonts w:ascii="Times New Roman" w:hAnsi="Times New Roman" w:cs="Times New Roman"/>
          <w:sz w:val="24"/>
          <w:szCs w:val="24"/>
        </w:rPr>
        <w:t xml:space="preserve">Obowiązkowym elementem projektu obejmującego zastosowanie urządzeń grzewczych na paliwo stałe (węgiel kamienny lub biomasę) powinno być zapewnienie systemu kontroli eksploatacji tych urządzeń. Minimalny zakres kontroli powinien obejmować: </w:t>
      </w:r>
    </w:p>
    <w:p w:rsidR="006F54FB" w:rsidRPr="00BE6FA1" w:rsidRDefault="006F54FB" w:rsidP="009A7AFF">
      <w:pPr>
        <w:numPr>
          <w:ilvl w:val="0"/>
          <w:numId w:val="30"/>
        </w:numPr>
        <w:tabs>
          <w:tab w:val="left" w:pos="427"/>
        </w:tabs>
        <w:spacing w:before="115" w:after="0" w:line="360" w:lineRule="auto"/>
        <w:ind w:hanging="340"/>
        <w:jc w:val="both"/>
        <w:rPr>
          <w:rFonts w:ascii="Times New Roman" w:hAnsi="Times New Roman" w:cs="Times New Roman"/>
        </w:rPr>
      </w:pPr>
      <w:r w:rsidRPr="00BE6FA1">
        <w:rPr>
          <w:rFonts w:ascii="Times New Roman" w:hAnsi="Times New Roman" w:cs="Times New Roman"/>
          <w:sz w:val="24"/>
          <w:szCs w:val="24"/>
        </w:rPr>
        <w:t xml:space="preserve">trwałą likwidację starego kotła na paliwo stałe i użytkowanie urządzenia grzewczego objętego dofinansowaniem jako podstawowego źródła ciepła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w budynku; </w:t>
      </w:r>
    </w:p>
    <w:p w:rsidR="006F54FB" w:rsidRPr="00BE6FA1" w:rsidRDefault="006F54FB" w:rsidP="009A7AFF">
      <w:pPr>
        <w:numPr>
          <w:ilvl w:val="0"/>
          <w:numId w:val="30"/>
        </w:numPr>
        <w:tabs>
          <w:tab w:val="left" w:pos="427"/>
        </w:tabs>
        <w:spacing w:before="115" w:after="0" w:line="360" w:lineRule="auto"/>
        <w:ind w:hanging="340"/>
        <w:jc w:val="both"/>
        <w:rPr>
          <w:rFonts w:ascii="Times New Roman" w:hAnsi="Times New Roman" w:cs="Times New Roman"/>
        </w:rPr>
      </w:pPr>
      <w:r w:rsidRPr="00BE6FA1">
        <w:rPr>
          <w:rFonts w:ascii="Times New Roman" w:hAnsi="Times New Roman" w:cs="Times New Roman"/>
          <w:sz w:val="24"/>
          <w:szCs w:val="24"/>
        </w:rPr>
        <w:t xml:space="preserve">weryfikację nieuprawnionych modyfikacji kotła umożliwiających spalanie odpadów (np. dorobiony dodatkowy ruszt); </w:t>
      </w:r>
    </w:p>
    <w:p w:rsidR="006F54FB" w:rsidRPr="00BE6FA1" w:rsidRDefault="006F54FB" w:rsidP="009A7AFF">
      <w:pPr>
        <w:numPr>
          <w:ilvl w:val="0"/>
          <w:numId w:val="30"/>
        </w:numPr>
        <w:tabs>
          <w:tab w:val="left" w:pos="427"/>
        </w:tabs>
        <w:spacing w:before="115" w:after="0" w:line="360" w:lineRule="auto"/>
        <w:ind w:hanging="340"/>
        <w:jc w:val="both"/>
        <w:rPr>
          <w:rFonts w:ascii="Times New Roman" w:hAnsi="Times New Roman" w:cs="Times New Roman"/>
        </w:rPr>
      </w:pPr>
      <w:r w:rsidRPr="00BE6FA1">
        <w:rPr>
          <w:rFonts w:ascii="Times New Roman" w:hAnsi="Times New Roman" w:cs="Times New Roman"/>
          <w:sz w:val="24"/>
          <w:szCs w:val="24"/>
        </w:rPr>
        <w:t xml:space="preserve">warunki składowania opału w celu jego ochrony przed zawilgoceniem; </w:t>
      </w:r>
    </w:p>
    <w:p w:rsidR="006F54FB" w:rsidRPr="00BE6FA1" w:rsidRDefault="006F54FB" w:rsidP="009A7AFF">
      <w:pPr>
        <w:numPr>
          <w:ilvl w:val="0"/>
          <w:numId w:val="30"/>
        </w:numPr>
        <w:tabs>
          <w:tab w:val="left" w:pos="427"/>
        </w:tabs>
        <w:spacing w:before="115" w:after="0" w:line="360" w:lineRule="auto"/>
        <w:ind w:hanging="340"/>
        <w:jc w:val="both"/>
        <w:rPr>
          <w:rFonts w:ascii="Times New Roman" w:hAnsi="Times New Roman" w:cs="Times New Roman"/>
        </w:rPr>
      </w:pPr>
      <w:r w:rsidRPr="00BE6FA1">
        <w:rPr>
          <w:rFonts w:ascii="Times New Roman" w:hAnsi="Times New Roman" w:cs="Times New Roman"/>
          <w:sz w:val="24"/>
          <w:szCs w:val="24"/>
        </w:rPr>
        <w:t xml:space="preserve">weryfikację faktur zakupu paliwa w zakresie zgodności z parametrami paliwa dopuszczonymi przez producenta kotła w dokumentacji techniczno-ruchowej urządzenia, w tym możliwość pobrania i zbadania parametrów próbki paliwa. </w:t>
      </w:r>
    </w:p>
    <w:p w:rsidR="006F54FB" w:rsidRPr="00BE6FA1" w:rsidRDefault="006F54FB" w:rsidP="003A27DA">
      <w:pPr>
        <w:tabs>
          <w:tab w:val="left" w:pos="427"/>
        </w:tabs>
        <w:spacing w:before="115" w:after="0" w:line="360" w:lineRule="auto"/>
        <w:ind w:left="737"/>
        <w:jc w:val="both"/>
        <w:rPr>
          <w:rFonts w:ascii="Times New Roman" w:hAnsi="Times New Roman" w:cs="Times New Roman"/>
        </w:rPr>
      </w:pPr>
      <w:r w:rsidRPr="00BE6FA1">
        <w:rPr>
          <w:rFonts w:ascii="Times New Roman" w:hAnsi="Times New Roman" w:cs="Times New Roman"/>
          <w:sz w:val="24"/>
          <w:szCs w:val="24"/>
        </w:rPr>
        <w:lastRenderedPageBreak/>
        <w:t xml:space="preserve">W przypadku likwidacji palenisk indywidualnych zakres przedsięwzięcia może m.in. obejmować wykonanie wewnętrznej instalacji c.o. i c.w.u. lub instalacji gazowej; </w:t>
      </w:r>
    </w:p>
    <w:p w:rsidR="006F54FB" w:rsidRPr="00BE6FA1" w:rsidRDefault="006F54FB" w:rsidP="003A27DA">
      <w:pPr>
        <w:tabs>
          <w:tab w:val="left" w:pos="427"/>
        </w:tabs>
        <w:spacing w:before="115" w:after="0" w:line="360" w:lineRule="auto"/>
        <w:ind w:left="454" w:firstLine="567"/>
        <w:jc w:val="both"/>
        <w:rPr>
          <w:rFonts w:ascii="Times New Roman" w:hAnsi="Times New Roman" w:cs="Times New Roman"/>
        </w:rPr>
      </w:pPr>
      <w:r w:rsidRPr="00BE6FA1">
        <w:rPr>
          <w:rFonts w:ascii="Times New Roman" w:hAnsi="Times New Roman" w:cs="Times New Roman"/>
          <w:sz w:val="24"/>
          <w:szCs w:val="24"/>
        </w:rPr>
        <w:t xml:space="preserve">b) rozbudowa sieci ciepłowniczej w celu podłączenia istniejących obiektów (ogrzewanych ze źródeł lokalnych przy wykorzystywaniu paliwa stałego) do centralnego źródła ciepła wraz z podłączeniem obiektów do sieci; </w:t>
      </w:r>
    </w:p>
    <w:p w:rsidR="006F54FB" w:rsidRPr="00BE6FA1" w:rsidRDefault="006F54FB" w:rsidP="003A27DA">
      <w:pPr>
        <w:tabs>
          <w:tab w:val="left" w:pos="427"/>
        </w:tabs>
        <w:spacing w:before="115" w:after="0" w:line="360" w:lineRule="auto"/>
        <w:ind w:left="454" w:firstLine="567"/>
        <w:jc w:val="both"/>
        <w:rPr>
          <w:rFonts w:ascii="Times New Roman" w:hAnsi="Times New Roman" w:cs="Times New Roman"/>
        </w:rPr>
      </w:pPr>
      <w:r w:rsidRPr="00BE6FA1">
        <w:rPr>
          <w:rFonts w:ascii="Times New Roman" w:hAnsi="Times New Roman" w:cs="Times New Roman"/>
          <w:sz w:val="24"/>
          <w:szCs w:val="24"/>
        </w:rPr>
        <w:t xml:space="preserve">c) zastosowanie kolektorów słonecznych celem obniżenia emisji w lokalnym źródle ciepła opalanym paliwem stałym bądź celem współpracy ze źródłem ciepła zastępującym źródło ciepła opalane paliwem stałym; 9 2) zakup aparatury dla kontroli rodzaju stosowanych paliw i pomiaru emisji (dotyczy jeżeli beneficjentem końcowym jest jednostka samorządu terytorialnego lub instytucja przez nią wskazana); </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rPr>
      </w:pPr>
      <w:r w:rsidRPr="00BE6FA1">
        <w:rPr>
          <w:rFonts w:ascii="Times New Roman" w:hAnsi="Times New Roman" w:cs="Times New Roman"/>
          <w:sz w:val="24"/>
          <w:szCs w:val="24"/>
        </w:rPr>
        <w:t xml:space="preserve">3) kampanie edukacyjne (dotyczy beneficjentów końcowych z wyłączeniem osób fizycznych) pokazujące korzyści zdrowotne i społeczne z eliminacji niskiej emisji, oraz/lub informujące o horyzoncie czasowym prowadzenia zakazu stosowania paliw stałych lub innych działań systemowych gwarantujących utrzymanie poziomu stężeń zanieczyszczeń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po wykonaniu działań naprawczych; </w:t>
      </w:r>
    </w:p>
    <w:p w:rsidR="006F54FB" w:rsidRPr="00BE6FA1" w:rsidRDefault="006F54FB" w:rsidP="003A27DA">
      <w:pPr>
        <w:tabs>
          <w:tab w:val="left" w:pos="427"/>
        </w:tabs>
        <w:spacing w:before="115" w:after="0" w:line="360" w:lineRule="auto"/>
        <w:ind w:firstLine="454"/>
        <w:jc w:val="both"/>
        <w:rPr>
          <w:rFonts w:ascii="Times New Roman" w:hAnsi="Times New Roman" w:cs="Times New Roman"/>
        </w:rPr>
      </w:pPr>
      <w:r w:rsidRPr="00BE6FA1">
        <w:rPr>
          <w:rFonts w:ascii="Times New Roman" w:hAnsi="Times New Roman" w:cs="Times New Roman"/>
          <w:sz w:val="24"/>
          <w:szCs w:val="24"/>
        </w:rPr>
        <w:t xml:space="preserve">4) utworzenie baz danych (dotyczy jeżeli beneficjentem końcowym jest jednostka samorządu terytorialnego lub instytucja przez nią wskazana) pozwalających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na inwentaryzację źródeł emisji.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Program realizowany będzie w latach 2015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2018 </w:t>
      </w:r>
    </w:p>
    <w:p w:rsidR="006F54FB" w:rsidRPr="00BE6FA1" w:rsidRDefault="006F54FB" w:rsidP="003A27DA">
      <w:pPr>
        <w:tabs>
          <w:tab w:val="left" w:pos="427"/>
        </w:tabs>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kwalifikowalności kosztów od 01.01.2015 r. do 31.12.2018 r </w:t>
      </w:r>
    </w:p>
    <w:p w:rsidR="006F54FB" w:rsidRPr="00BE6FA1" w:rsidRDefault="006F54FB" w:rsidP="003A27DA">
      <w:pPr>
        <w:tabs>
          <w:tab w:val="left" w:pos="427"/>
        </w:tabs>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Formy dofinansowania: Udostępnienie środków finansowych WFOŚiGW</w:t>
      </w:r>
      <w:r w:rsidRPr="00BE6FA1">
        <w:rPr>
          <w:rFonts w:ascii="Times New Roman" w:hAnsi="Times New Roman" w:cs="Times New Roman"/>
          <w:sz w:val="24"/>
          <w:szCs w:val="24"/>
        </w:rPr>
        <w:br/>
        <w:t xml:space="preserve">z przeznaczeniem na udzielanie dotacji. </w:t>
      </w:r>
    </w:p>
    <w:p w:rsidR="006F54FB" w:rsidRPr="00BE6FA1" w:rsidRDefault="006F54FB" w:rsidP="003A27DA">
      <w:pPr>
        <w:tabs>
          <w:tab w:val="left" w:pos="427"/>
        </w:tabs>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Udostępnienie środków jest nieodpłatne i bezzwrotne.</w:t>
      </w:r>
    </w:p>
    <w:p w:rsidR="006F54FB" w:rsidRPr="00BE6FA1" w:rsidRDefault="006F54FB" w:rsidP="003A27DA">
      <w:pPr>
        <w:tabs>
          <w:tab w:val="left" w:pos="427"/>
        </w:tabs>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Kwota dofinansowania przedsięwzięcia wynosi do 90 % jego kosztów kwalifikowanych,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w tym do 45% kosztów kwalifikowanych przedsięwzięcia ze środków udostępnionych przez NFOŚiGW, w formie dotacji, zaangażowanie środków WFOŚiGW w realizację niniejszego programu priorytetowego stanowi uzupełnienie do 90 % kosztów kwalifikowanych przedsięwzięcia w dowolnej formie </w:t>
      </w:r>
    </w:p>
    <w:p w:rsidR="006F54FB" w:rsidRPr="00BE6FA1" w:rsidRDefault="006F54FB" w:rsidP="003A27DA">
      <w:pPr>
        <w:tabs>
          <w:tab w:val="left" w:pos="427"/>
        </w:tabs>
        <w:spacing w:before="240" w:after="0" w:line="360" w:lineRule="auto"/>
        <w:jc w:val="both"/>
        <w:rPr>
          <w:rFonts w:ascii="Times New Roman" w:hAnsi="Times New Roman" w:cs="Times New Roman"/>
        </w:rPr>
      </w:pPr>
    </w:p>
    <w:p w:rsidR="006F54FB" w:rsidRPr="00BE6FA1" w:rsidRDefault="006F54FB" w:rsidP="003A27DA">
      <w:pPr>
        <w:tabs>
          <w:tab w:val="left" w:pos="427"/>
        </w:tabs>
        <w:spacing w:before="115" w:after="0" w:line="360" w:lineRule="auto"/>
        <w:jc w:val="both"/>
        <w:rPr>
          <w:rFonts w:ascii="Times New Roman" w:hAnsi="Times New Roman" w:cs="Times New Roman"/>
          <w:b/>
          <w:bCs/>
        </w:rPr>
      </w:pPr>
      <w:r w:rsidRPr="00BE6FA1">
        <w:rPr>
          <w:rFonts w:ascii="Times New Roman" w:hAnsi="Times New Roman" w:cs="Times New Roman"/>
          <w:b/>
          <w:bCs/>
          <w:sz w:val="24"/>
          <w:szCs w:val="24"/>
        </w:rPr>
        <w:lastRenderedPageBreak/>
        <w:t xml:space="preserve">Część 3) Gazela BIS </w:t>
      </w:r>
      <w:r w:rsidR="008A241B" w:rsidRPr="00BE6FA1">
        <w:rPr>
          <w:rFonts w:ascii="Times New Roman" w:hAnsi="Times New Roman" w:cs="Times New Roman"/>
          <w:b/>
          <w:bCs/>
          <w:sz w:val="24"/>
          <w:szCs w:val="24"/>
        </w:rPr>
        <w:t>–</w:t>
      </w:r>
      <w:r w:rsidRPr="00BE6FA1">
        <w:rPr>
          <w:rFonts w:ascii="Times New Roman" w:hAnsi="Times New Roman" w:cs="Times New Roman"/>
          <w:b/>
          <w:bCs/>
          <w:sz w:val="24"/>
          <w:szCs w:val="24"/>
        </w:rPr>
        <w:t xml:space="preserve"> Niskoemisyjny zbiorowy publiczny transport miejski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Beneficjenci</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Beneficjentami programu mogą być miasta regionalne lub subregionalne wskazane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w obszarze niskoemisyjnego transportu publicznego w Kontraktach Terytorialnych zawartych z województwami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jako organizatorzy publicznego transportu zbiorowego.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Rodzaje przedsięwzięć.</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Dofinansowanie może być udzielone na realizację przedsięwzięć dotyczących zbiorowego publicznego transportu miejskiego. Program dopuszcza następujące działania: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1) dotyczące taboru, polegające na zakupie nowych: tramwajów lub trolejbusów lub autobusów o napędzie hybrydowym lub elektrycznym lub gazowym;</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2) dotyczące informacji i promocji, związane z rozpowszechnianiem rozwiązań niskoemisyjnych zastosowanych w dofinansowanym przedsięwzięciu;</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3) dotyczące zarządzania i infrastruktury dla niskoemisyjnego transportu polegające na:</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a) modernizacji lub budowie stacji obsługi tankowania paliwami gazowymi lub ładowania energią elektryczną pojazdów publicznego transportu zbiorowego w zakresie dostosowania do rodzaju paliwa zastosowanego w autobusach zakupionych w ramach przedsięwzięcia;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b) zakupie i montażu systemów sterowania ruchem drogowym zapewniających wysoki priorytet dla pojazdów kołowych komunikacji miejskiej (w tym systemów sterowania obszarowego i detekcji lokalnej, wymiana sterowników, zmiany programów sygnalizacji świetlnej, budowa lub przebudowa sygnalizacji);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c) wyznaczaniu wydzielonych pasów ruchu dla komunikacji miejskiej, w tym wykonanie projektu zmiany organizacji ruchu drogowego oraz oznakowania pionowego i poziomego;</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d) budowie parkingów Park&amp;Ride o charakterze buforowym, położonych nie dalej niż 100 m od przystanków komunikacyjnych; 18</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e) budowie systemu informacji pasażerskiej (SIP)</w:t>
      </w:r>
      <w:r w:rsidR="00AB1486" w:rsidRPr="00BE6FA1">
        <w:rPr>
          <w:rFonts w:ascii="Times New Roman" w:hAnsi="Times New Roman" w:cs="Times New Roman"/>
          <w:sz w:val="24"/>
          <w:szCs w:val="24"/>
        </w:rPr>
        <w:t>, na przystankach, w pojazdach</w:t>
      </w:r>
      <w:r w:rsidRPr="00BE6FA1">
        <w:rPr>
          <w:rFonts w:ascii="Times New Roman" w:hAnsi="Times New Roman" w:cs="Times New Roman"/>
          <w:sz w:val="24"/>
          <w:szCs w:val="24"/>
        </w:rPr>
        <w:t>;</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f) budowie systemów ułatwiających sprzedaż (dostępność) biletów;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g) zakupie i montażu parkometrów;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h) zakupie systemów informatycznych do zarządzania komunikacją miejską, planowania sieci komunikacyjnych, rozliczania zużycia paliwa;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lastRenderedPageBreak/>
        <w:t>i) budowie dróg rowerowych, stojaków i parkingów dla rowerów oraz publicznych wypożyczalni rowerów;</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j) budowie układów zasilania trakcyjnego trolejbusów.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Program realizowany będzie w latach 2016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2023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Okres kwalifikowalności kosztów od 01.01.2016 r. do 31.12.2023 r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Formy dofinansowania</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Pożyczka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Dla przedsięwzięć współfinansowanych z budżetu Unii Europejskiej, kwota pożyczki nie może być większa niż różnica między wysokością kosztów kwalifikowanych przedsięwzięcia a kwotą dofinansowania z budżetu Unii Europejskiej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Fonts w:ascii="Times New Roman" w:hAnsi="Times New Roman" w:cs="Times New Roman"/>
          <w:sz w:val="24"/>
          <w:szCs w:val="24"/>
        </w:rPr>
        <w:t xml:space="preserve">Dofinansowanie w formie pożyczki do 100% kosztów kwalifikowanych, jeżeli Wnioskodawca nie ma możliwości uzyskania dofinansowania z budżetu Unii Europejskiej na przedsięwzięcie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POPRAWA EFEKTYWNOŚCI ENERGETYCZNEJ</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1) LEMUR – Energooszczędne Budynki Użyteczności Publicznej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podmioty sektora finansów publicznych, z wyłączeniem państwowych jednostek budżetowych,</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samorządowe osoby prawne, spółki prawa handlowego, w których jednostki samorządu terytorialnego posiadają 100% udziałów lub akcji i które powołane są do realizacji zadań własnych j.s.t. wskazanych w ustawach,</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3) 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4) jednostki organizacyjne PGL Lasy Państwowe posiadające osobowość prawną,</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5) parki narodowe.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Inwestycje polegające na projektowaniu i budowie lub tylko budowie nowych budynków użyteczności publicznej i zamieszkania zbiorowego.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lastRenderedPageBreak/>
        <w:t xml:space="preserve">Program realizowany będzie w latach 2015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2020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Okres kwalifikowalności kosztów od 01.01.2014 r. do 31.12.2020 r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Formy dofinansowania: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dotacja,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pożyczka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Dofinansowanie w formie dotacji wynosi do 20%, 40% albo 60% kosztów wykonania i weryfikacji dokumentacji projektowej, w zależności od klasy energooszczędności projektowanego budynku. W przypadku osiągnięcia różnych klas energooszczędności dotyczącej zmniejszenia zapotrzebowania na energię użytkową (Eu) i zmniejszenia zapotrzebowania na energię pierwotną (Ep) przyjmuje się, iż budynek osiągnął klasę energooszczędności jako klasę niższego osiągniętego parametru.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2) Dopłaty do kredytów na budowę domów energooszczędnych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9A7AFF">
      <w:pPr>
        <w:pStyle w:val="Akapitzlist"/>
        <w:numPr>
          <w:ilvl w:val="0"/>
          <w:numId w:val="27"/>
        </w:num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osoby fizyczne dysponujące prawomocnym pozwoleniem na budowę oraz posiadające prawo do dysponowania nieruchomością, na której będą budowały budynek mieszkalny.</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Przez „dysponowanie” nieruchomością należy rozumieć: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prawo własności (w tym współwłasność);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użytkowanie wieczyste;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Przez dewelopera rozumie się także spółdzielnię mieszkaniową.</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Uprawnienie beneficjenta do przeniesienia przez dewelopera na swoją rzecz praw, o których mowa powyżej musi wynikać z:</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umowy deweloperskiej, zawartej w formie aktu notarialnego, zawierającej zobowiązanie dewelopera do: ustanowienia odrębnej własności lokalu mieszkalnego i przekazania jego  własności na rzecz beneficjenta albo do przeniesienia na beneficjenta własności nieruchomości zabudowanej domem jednorodzinnym albo użytkowania wieczystego nieruchomości gruntowej </w:t>
      </w:r>
      <w:r w:rsidRPr="00BE6FA1">
        <w:rPr>
          <w:rStyle w:val="Wyrnienie"/>
          <w:rFonts w:ascii="Times New Roman" w:hAnsi="Times New Roman" w:cs="Times New Roman"/>
          <w:sz w:val="24"/>
          <w:szCs w:val="24"/>
        </w:rPr>
        <w:lastRenderedPageBreak/>
        <w:t xml:space="preserve">i własności domu jednorodzinnego na niej posadowionego stanowiącego odrębną nieruchomość;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umowy przedwstępnej, zawartej w formie aktu notarialnego, sprzedaży i ustanowienia odrębnej własności lokalu mieszkalnego albo umowy przedwstępnej, zawartej w formie aktu notarialnego, sprzedaży i przeniesienia na rzecz beneficjenta własności nieruchomości zabudowanej domem jednorodzinnym albo użytkowania wieczystego nieruchomości gruntowej i własności domu jednorodzinnego na niej posadowionego stanowiącego odrębną nieruchomość;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c) umowy, o której mowa w </w:t>
      </w:r>
      <w:r w:rsidR="008A241B" w:rsidRPr="00BE6FA1">
        <w:rPr>
          <w:rStyle w:val="Wyrnienie"/>
          <w:rFonts w:ascii="Times New Roman" w:hAnsi="Times New Roman" w:cs="Times New Roman"/>
          <w:sz w:val="24"/>
          <w:szCs w:val="24"/>
        </w:rPr>
        <w:pgNum/>
      </w:r>
      <w:r w:rsidR="008A241B" w:rsidRPr="00BE6FA1">
        <w:rPr>
          <w:rStyle w:val="Wyrnienie"/>
          <w:rFonts w:ascii="Times New Roman" w:hAnsi="Times New Roman" w:cs="Times New Roman"/>
          <w:sz w:val="24"/>
          <w:szCs w:val="24"/>
        </w:rPr>
        <w:t>sy</w:t>
      </w:r>
      <w:r w:rsidRPr="00BE6FA1">
        <w:rPr>
          <w:rStyle w:val="Wyrnienie"/>
          <w:rFonts w:ascii="Times New Roman" w:hAnsi="Times New Roman" w:cs="Times New Roman"/>
          <w:sz w:val="24"/>
          <w:szCs w:val="24"/>
        </w:rPr>
        <w:t>. 9 ustawy prawo o własności lokali, zawartej w formie aktu notarialnego, zawierającej zobowiązanie dewelopera do ustanowienia odrębnej własności lokalu mieszkalnego i przeniesienia tego prawa na rzecz beneficjenta.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budowa domu jednorodzinnego;</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zakup nowego domu jednorodzinnego;</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3) zakup lokalu mieszkalnego w nowym budynku mieszkalnym wielorodzinnym.</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Przez dom jednorodzinny należy rozumieć budynek wolno stojący albo samodzielną część domu bliźniaczego albo szeregowego, przeznaczony i wykorzystywany na cele mieszkaniowe beneficjenta, co najmniej w połowie powierzchni całkowitej.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Program jest wdrażany w latach 2013 – 2022.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Formy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Dotacja na częściową spłatę kapitału kredytu bankowego realizowana za pośrednictwem banku na podstawie umowy o współpracy zawartej z NFOŚiGW.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Wysokość dofinansowania wynosi: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 w przypadku domów jednorodzinnych: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a) standard NF40 – E</w:t>
      </w:r>
      <w:r w:rsidR="008A241B" w:rsidRPr="00BE6FA1">
        <w:rPr>
          <w:rStyle w:val="Wyrnienie"/>
          <w:rFonts w:ascii="Times New Roman" w:hAnsi="Times New Roman" w:cs="Times New Roman"/>
          <w:sz w:val="24"/>
          <w:szCs w:val="24"/>
        </w:rPr>
        <w:t>u</w:t>
      </w:r>
      <w:r w:rsidRPr="00BE6FA1">
        <w:rPr>
          <w:rStyle w:val="Wyrnienie"/>
          <w:rFonts w:ascii="Times New Roman" w:hAnsi="Times New Roman" w:cs="Times New Roman"/>
          <w:sz w:val="24"/>
          <w:szCs w:val="24"/>
        </w:rPr>
        <w:t>co ≤ 40 kWh/(m</w:t>
      </w:r>
      <w:r w:rsidRPr="00BE6FA1">
        <w:rPr>
          <w:rStyle w:val="Wyrnienie"/>
          <w:rFonts w:ascii="Times New Roman" w:hAnsi="Times New Roman" w:cs="Times New Roman"/>
          <w:sz w:val="24"/>
          <w:szCs w:val="24"/>
          <w:vertAlign w:val="superscript"/>
        </w:rPr>
        <w:t>2</w:t>
      </w:r>
      <w:r w:rsidRPr="00BE6FA1">
        <w:rPr>
          <w:rStyle w:val="Wyrnienie"/>
          <w:rFonts w:ascii="Times New Roman" w:hAnsi="Times New Roman" w:cs="Times New Roman"/>
          <w:sz w:val="24"/>
          <w:szCs w:val="24"/>
        </w:rPr>
        <w:t xml:space="preserve"> *rok) – dotacja 30 000 zł brutto;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b) standard NF15 – E</w:t>
      </w:r>
      <w:r w:rsidR="008A241B" w:rsidRPr="00BE6FA1">
        <w:rPr>
          <w:rStyle w:val="Wyrnienie"/>
          <w:rFonts w:ascii="Times New Roman" w:hAnsi="Times New Roman" w:cs="Times New Roman"/>
          <w:sz w:val="24"/>
          <w:szCs w:val="24"/>
        </w:rPr>
        <w:t>u</w:t>
      </w:r>
      <w:r w:rsidRPr="00BE6FA1">
        <w:rPr>
          <w:rStyle w:val="Wyrnienie"/>
          <w:rFonts w:ascii="Times New Roman" w:hAnsi="Times New Roman" w:cs="Times New Roman"/>
          <w:sz w:val="24"/>
          <w:szCs w:val="24"/>
        </w:rPr>
        <w:t>co ≤ 15 kWh/(m</w:t>
      </w:r>
      <w:r w:rsidRPr="00BE6FA1">
        <w:rPr>
          <w:rStyle w:val="Wyrnienie"/>
          <w:rFonts w:ascii="Times New Roman" w:hAnsi="Times New Roman" w:cs="Times New Roman"/>
          <w:sz w:val="24"/>
          <w:szCs w:val="24"/>
          <w:vertAlign w:val="superscript"/>
        </w:rPr>
        <w:t>2</w:t>
      </w:r>
      <w:r w:rsidRPr="00BE6FA1">
        <w:rPr>
          <w:rStyle w:val="Wyrnienie"/>
          <w:rFonts w:ascii="Times New Roman" w:hAnsi="Times New Roman" w:cs="Times New Roman"/>
          <w:sz w:val="24"/>
          <w:szCs w:val="24"/>
        </w:rPr>
        <w:t xml:space="preserve"> *rok) – dotacja 50 000 zł brutto;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 w przypadku lokali mieszkalnych w budynkach wielorodzinnych: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c) standard NF40 – E</w:t>
      </w:r>
      <w:r w:rsidR="008A241B" w:rsidRPr="00BE6FA1">
        <w:rPr>
          <w:rStyle w:val="Wyrnienie"/>
          <w:rFonts w:ascii="Times New Roman" w:hAnsi="Times New Roman" w:cs="Times New Roman"/>
          <w:sz w:val="24"/>
          <w:szCs w:val="24"/>
        </w:rPr>
        <w:t>u</w:t>
      </w:r>
      <w:r w:rsidRPr="00BE6FA1">
        <w:rPr>
          <w:rStyle w:val="Wyrnienie"/>
          <w:rFonts w:ascii="Times New Roman" w:hAnsi="Times New Roman" w:cs="Times New Roman"/>
          <w:sz w:val="24"/>
          <w:szCs w:val="24"/>
        </w:rPr>
        <w:t>co ≤ 40 kWh/(m</w:t>
      </w:r>
      <w:r w:rsidRPr="00BE6FA1">
        <w:rPr>
          <w:rStyle w:val="Wyrnienie"/>
          <w:rFonts w:ascii="Times New Roman" w:hAnsi="Times New Roman" w:cs="Times New Roman"/>
          <w:sz w:val="24"/>
          <w:szCs w:val="24"/>
          <w:vertAlign w:val="superscript"/>
        </w:rPr>
        <w:t>2</w:t>
      </w:r>
      <w:r w:rsidRPr="00BE6FA1">
        <w:rPr>
          <w:rStyle w:val="Wyrnienie"/>
          <w:rFonts w:ascii="Times New Roman" w:hAnsi="Times New Roman" w:cs="Times New Roman"/>
          <w:sz w:val="24"/>
          <w:szCs w:val="24"/>
        </w:rPr>
        <w:t xml:space="preserve"> *rok) – dotacja 11 000 zł brutto;</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r w:rsidRPr="00BE6FA1">
        <w:rPr>
          <w:rStyle w:val="Wyrnienie"/>
          <w:rFonts w:ascii="Times New Roman" w:hAnsi="Times New Roman" w:cs="Times New Roman"/>
          <w:sz w:val="24"/>
          <w:szCs w:val="24"/>
        </w:rPr>
        <w:lastRenderedPageBreak/>
        <w:t>d) standard NF15 – E</w:t>
      </w:r>
      <w:r w:rsidR="008A241B" w:rsidRPr="00BE6FA1">
        <w:rPr>
          <w:rStyle w:val="Wyrnienie"/>
          <w:rFonts w:ascii="Times New Roman" w:hAnsi="Times New Roman" w:cs="Times New Roman"/>
          <w:sz w:val="24"/>
          <w:szCs w:val="24"/>
        </w:rPr>
        <w:t>u</w:t>
      </w:r>
      <w:r w:rsidRPr="00BE6FA1">
        <w:rPr>
          <w:rStyle w:val="Wyrnienie"/>
          <w:rFonts w:ascii="Times New Roman" w:hAnsi="Times New Roman" w:cs="Times New Roman"/>
          <w:sz w:val="24"/>
          <w:szCs w:val="24"/>
        </w:rPr>
        <w:t>co ≤ 15 kWh/(m</w:t>
      </w:r>
      <w:r w:rsidRPr="00BE6FA1">
        <w:rPr>
          <w:rStyle w:val="Wyrnienie"/>
          <w:rFonts w:ascii="Times New Roman" w:hAnsi="Times New Roman" w:cs="Times New Roman"/>
          <w:sz w:val="24"/>
          <w:szCs w:val="24"/>
          <w:vertAlign w:val="superscript"/>
        </w:rPr>
        <w:t>2</w:t>
      </w:r>
      <w:r w:rsidRPr="00BE6FA1">
        <w:rPr>
          <w:rStyle w:val="Wyrnienie"/>
          <w:rFonts w:ascii="Times New Roman" w:hAnsi="Times New Roman" w:cs="Times New Roman"/>
          <w:sz w:val="24"/>
          <w:szCs w:val="24"/>
        </w:rPr>
        <w:t xml:space="preserve"> *rok) – dotacja 16 000 zł brutto.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3) Inwestycje energooszczędne w małych i średnich przedsiębiorstwach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Prywatne podmioty prawne (przedsiębiorstwa) utworzone na mocy polskiego prawa i działające w Polsce. Beneficjent musi spełniać definicję mikroprzedsiębiorstw oraz małych i średnich przedsiębiorstw zawartą w zaleceniu Komisji z dnia 6 maja 2003 r. dotyczącym definicji mikroprzedsiębiorstw oraz małych i średnich przedsiębiorstw (Dz. Urz. WE L 124 z 20.5.2003, s. 36).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W ramach programu do dofinansowania kwalifikują się następujące przedsięwzięcia: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Style w:val="Wyrnienie"/>
          <w:rFonts w:ascii="Times New Roman" w:hAnsi="Times New Roman" w:cs="Times New Roman"/>
          <w:sz w:val="24"/>
          <w:szCs w:val="24"/>
        </w:rPr>
        <w:t xml:space="preserve">1) Inwestycje LEME (LEME – ang.: List of Eligible Materials and Equipment (Lista kwalifikowanych materiałów i urządzeń)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przedsięwzięcia obejmujące realizację działań inwestycyjnych w zakresie: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poprawy efektywności energetycznej i/lub zastosowania odnawialnych źródeł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termomodernizacji budynku/ów i/lub zastosowania odnawialnych źródeł energii, realizowane poprzez zakup materiałów/urządzeń/technologii zamieszczonych na Liście LEME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Dotyczy przedsięwzięć, których finansowanie w formie kredytu z dotacją nie przekracza</w:t>
      </w:r>
      <w:r w:rsidRPr="00BE6FA1">
        <w:rPr>
          <w:rStyle w:val="Wyrnienie"/>
          <w:rFonts w:ascii="Times New Roman" w:hAnsi="Times New Roman" w:cs="Times New Roman"/>
          <w:sz w:val="24"/>
          <w:szCs w:val="24"/>
        </w:rPr>
        <w:br/>
        <w:t xml:space="preserve">250 000 euro;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2) Inwestycje Wspomagane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przedsięwzięcia obejmujące realizację działań inwestycyjnych, które nie kwalifikują się jako Inwestycje LEME, w zakresie: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poprawy efektywności energetycznej i/lub odnawialnych źródeł energii w wyniku których zostanie osiągnięte min. 20% oszczędności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termomodernizacji budynku/ów i/lub odnawialnych źródeł energii w wyniku których zostanie osiągnięte minimum 30% oszczędności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Dotyczy przedsięwzięć, których finansowanie w formie kredytu z dotacją nie przekroczy 1 000 000 euro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Okres wdrażania w latach 2014 – 2017</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lastRenderedPageBreak/>
        <w:t xml:space="preserve">Formy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Dotacje na częściowe spłaty kapitału kredytów bankowych realizowane za pośrednictwem banku na podstawie umowy o współpracę zawartej z NFOŚiGW.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Dotacja w wysokości: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10% kapitału kredytu bankowego wykorzystanego na sfinansowanie kosztów kwalifikowanych przedsięwzięć obejmujących realizację działań inwestycyjnych w zakresie poprawy efektywności energetycznej,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10% kapitału kredytu bankowego, wykorzystanego na sfinansowanie kosztów kwalifikowanych przedsięwzięć obejmujących realizację działań inwestycyjnych w zakresie termomodernizacji budynku/ów,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c) 15% kapitału kredytu bankowego, wykorzystanego na sfinansowanie kosztów kwalifikowanych przedsięwzięć wymienionych w lit. </w:t>
      </w:r>
      <w:r w:rsidR="008A241B" w:rsidRPr="00BE6FA1">
        <w:rPr>
          <w:rStyle w:val="Wyrnienie"/>
          <w:rFonts w:ascii="Times New Roman" w:hAnsi="Times New Roman" w:cs="Times New Roman"/>
          <w:sz w:val="24"/>
          <w:szCs w:val="24"/>
        </w:rPr>
        <w:t>A</w:t>
      </w:r>
      <w:r w:rsidRPr="00BE6FA1">
        <w:rPr>
          <w:rStyle w:val="Wyrnienie"/>
          <w:rFonts w:ascii="Times New Roman" w:hAnsi="Times New Roman" w:cs="Times New Roman"/>
          <w:sz w:val="24"/>
          <w:szCs w:val="24"/>
        </w:rPr>
        <w:t>) lub b), w przypadku, gdy inwestycja została poprzedzona audytem energetycznym. Zakres rzeczowy zrealizowanego przedsięwzięcia musi wynikać z przeprowadzonego audytu energetycznego,</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 dodatkowo do 15% kapitału kredytu bankowego na pokrycie poniesionych kosztów wdrożenia systemu zarządzania energią (SZE), jednak nie więcej niż 10 000 złotych, jeśli </w:t>
      </w:r>
      <w:r w:rsidR="00AB1486"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w ramach zrealizowanego przedsięwzięcia beneficjent wdroży SZE według zasad określonych przez NFOŚiGW</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4) RYŚ – termomodernizacja budynków jednorodzinnych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osoby fizyczne,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jednostki samorządu terytorialnego,</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3) organizacje pozarządowe, w tym fundacje i stowarzyszenia, a także kościoły i inne związki wyznaniowe wpisane do rejestru kościołów i innych związków wyznaniowych oraz kościelne osoby prawne, posiadające prawo własności (w tym: współwłasność, spółdzielcze własnościowe prawo) do jednorodzinnego budynku mieszkalnego dopuszczonego </w:t>
      </w:r>
      <w:r w:rsidR="00AB1486"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do użytkowania.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lastRenderedPageBreak/>
        <w:t xml:space="preserve">W przypadku gdy jednorodzinny budynek mieszkalny jest we współwłasności kilku osób lub podmiotów, dofinansowanie przysługuje tylko jednemu współwłaścicielowi, pod warunkiem wyrażenia zgody przez pozostałych współwłaścicieli tego budynku.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Przez jednorodzinny budynek mieszkalny należy rozumieć budynek wolno stojący albo budynek w zabudowie bliźniaczej, szeregowej lub grupowej, stanowiący konstrukcyjnie samodzielną całość, przeznaczony i wykorzystywany na cele mieszkaniowe co najmniej </w:t>
      </w:r>
      <w:r w:rsidR="00AB1486"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 xml:space="preserve">w połowie powierzchni całkowitej.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3A27DA">
      <w:pPr>
        <w:tabs>
          <w:tab w:val="left" w:pos="427"/>
        </w:tabs>
        <w:spacing w:before="115" w:after="0" w:line="360" w:lineRule="auto"/>
        <w:jc w:val="both"/>
        <w:rPr>
          <w:rFonts w:ascii="Times New Roman" w:hAnsi="Times New Roman" w:cs="Times New Roman"/>
        </w:rPr>
      </w:pPr>
      <w:r w:rsidRPr="00BE6FA1">
        <w:rPr>
          <w:rStyle w:val="Wyrnienie"/>
          <w:rFonts w:ascii="Times New Roman" w:hAnsi="Times New Roman" w:cs="Times New Roman"/>
          <w:sz w:val="24"/>
          <w:szCs w:val="24"/>
        </w:rPr>
        <w:t xml:space="preserve">Przedsięwzięcia polegające na wykonaniu następujących prac remontowych w dopuszczonym do użytkowania jednorodzinnym budynku mieszkalnym, spełniających wymagane standardy techniczne. Wykonanie elementów z Grupy II lub III uwarunkowane jest zrealizowaniem prac z Grupy I lub spełnieniem dodatkowych warunków, o których mowa w poniższej tabeli </w:t>
      </w:r>
    </w:p>
    <w:tbl>
      <w:tblPr>
        <w:tblW w:w="9080"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2900"/>
        <w:gridCol w:w="2880"/>
        <w:gridCol w:w="3300"/>
      </w:tblGrid>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Nazwa elementu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Wymagany standard techniczny dla dofinansowywanych przedsięwzięć</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Dodatkowe warunki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Grupa I. Prace termoizolacyjne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1. Ocieplenie ścian zewnętrznych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U ≤ 0.20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nie dotyczy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2. Ocieplenie dachu / stropodachu nad ogrzewanymi pomieszczeniami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U ≤ 0.15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Jeżeli zakres prac obejmuje dodatkowo wymianę konstrukcji dachu, pokrycia dachowego, co bezpośrednio wynika z wprowadzenia dodatkowych warstw 7 izolacyjnych, należy wykonać dokumentację projektową, o której mowa w ust. 6 pkt 2 lit. </w:t>
            </w:r>
            <w:r w:rsidR="008A241B" w:rsidRPr="00BE6FA1">
              <w:rPr>
                <w:rFonts w:ascii="Times New Roman" w:hAnsi="Times New Roman" w:cs="Times New Roman"/>
                <w:sz w:val="24"/>
                <w:szCs w:val="24"/>
              </w:rPr>
              <w:t>A</w:t>
            </w:r>
            <w:r w:rsidRPr="00BE6FA1">
              <w:rPr>
                <w:rFonts w:ascii="Times New Roman" w:hAnsi="Times New Roman" w:cs="Times New Roman"/>
                <w:sz w:val="24"/>
                <w:szCs w:val="24"/>
              </w:rPr>
              <w:t xml:space="preserve"> poz. Projekt 1.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lastRenderedPageBreak/>
              <w:t xml:space="preserve">Element 3. Ocieplenie podłogi na gruncie / stropu nad nieogrzewaną piwnicą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U ≤ 0.30 [W/(m2 • K)] (dopuszcza się zmniejszenie wymagań w przypadku braku możliwości technicznych)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nie dotyczy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4. Wymiana okien, drzwi zewnętrznych, bramy garażowej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 okna: </w:t>
            </w:r>
            <w:r w:rsidRPr="00BE6FA1">
              <w:rPr>
                <w:rFonts w:ascii="Times New Roman" w:hAnsi="Times New Roman" w:cs="Times New Roman"/>
                <w:sz w:val="24"/>
                <w:szCs w:val="24"/>
              </w:rPr>
              <w:br/>
              <w:t xml:space="preserve">U ≤ 0,90 [W/(m2 • K)] </w:t>
            </w:r>
          </w:p>
          <w:p w:rsidR="006F54FB" w:rsidRPr="00BE6FA1" w:rsidRDefault="006F54FB" w:rsidP="003A27DA">
            <w:pPr>
              <w:pStyle w:val="Zawartotabeli"/>
              <w:spacing w:line="360" w:lineRule="auto"/>
              <w:ind w:firstLine="57"/>
              <w:jc w:val="center"/>
              <w:rPr>
                <w:rFonts w:ascii="Times New Roman" w:hAnsi="Times New Roman" w:cs="Times New Roman"/>
                <w:sz w:val="24"/>
                <w:szCs w:val="24"/>
              </w:rPr>
            </w:pPr>
            <w:r w:rsidRPr="00BE6FA1">
              <w:rPr>
                <w:rFonts w:ascii="Times New Roman" w:hAnsi="Times New Roman" w:cs="Times New Roman"/>
                <w:sz w:val="24"/>
                <w:szCs w:val="24"/>
              </w:rPr>
              <w:t xml:space="preserve">- drzwi zewnętrzne i/lub drzwi garażowe: </w:t>
            </w:r>
            <w:r w:rsidRPr="00BE6FA1">
              <w:rPr>
                <w:rFonts w:ascii="Times New Roman" w:hAnsi="Times New Roman" w:cs="Times New Roman"/>
                <w:sz w:val="24"/>
                <w:szCs w:val="24"/>
              </w:rPr>
              <w:br/>
              <w:t xml:space="preserve">U ≤ 1,3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nie dotyczy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Grupa II. Instalacje wewnętrzne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5. Instalacja wentylacji mechanicznej nawiewno-wywiewnej z odzyskiem ciepła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  sprawność odzysku ciepła: </w:t>
            </w:r>
            <w:r w:rsidRPr="00BE6FA1">
              <w:rPr>
                <w:rFonts w:ascii="Times New Roman" w:hAnsi="Times New Roman" w:cs="Times New Roman"/>
                <w:sz w:val="24"/>
                <w:szCs w:val="24"/>
              </w:rPr>
              <w:br/>
              <w:t xml:space="preserve">η ≥ 85% </w:t>
            </w:r>
            <w:r w:rsidRPr="00BE6FA1">
              <w:rPr>
                <w:rFonts w:ascii="Times New Roman" w:hAnsi="Times New Roman" w:cs="Times New Roman"/>
                <w:sz w:val="24"/>
                <w:szCs w:val="24"/>
              </w:rPr>
              <w:br/>
              <w:t xml:space="preserve">- współczynnik nakładu energii elektrycznej: </w:t>
            </w:r>
            <w:r w:rsidRPr="00BE6FA1">
              <w:rPr>
                <w:rFonts w:ascii="Times New Roman" w:hAnsi="Times New Roman" w:cs="Times New Roman"/>
                <w:sz w:val="24"/>
                <w:szCs w:val="24"/>
              </w:rPr>
              <w:br/>
              <w:t xml:space="preserve">≤ 0,50 Wh/m3 </w:t>
            </w:r>
          </w:p>
        </w:tc>
        <w:tc>
          <w:tcPr>
            <w:tcW w:w="3300" w:type="dxa"/>
            <w:vMerge w:val="restart"/>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Należy osiągnąć wymagany standard techniczny dla co najmniej Elementu 1 (ściany) albo Elementu 2 (dach) i minimalne wymagania dla pozostałych elementów z tej grupy na poziomie: </w:t>
            </w:r>
            <w:r w:rsidRPr="00BE6FA1">
              <w:rPr>
                <w:rFonts w:ascii="Times New Roman" w:hAnsi="Times New Roman" w:cs="Times New Roman"/>
                <w:sz w:val="24"/>
                <w:szCs w:val="24"/>
              </w:rPr>
              <w:br/>
              <w:t xml:space="preserve">a) ściany zewnętrzne: </w:t>
            </w:r>
            <w:r w:rsidRPr="00BE6FA1">
              <w:rPr>
                <w:rFonts w:ascii="Times New Roman" w:hAnsi="Times New Roman" w:cs="Times New Roman"/>
                <w:sz w:val="24"/>
                <w:szCs w:val="24"/>
              </w:rPr>
              <w:br/>
              <w:t xml:space="preserve">U ≤ 0.30 [W/(m2 • K)]; </w:t>
            </w:r>
            <w:r w:rsidRPr="00BE6FA1">
              <w:rPr>
                <w:rFonts w:ascii="Times New Roman" w:hAnsi="Times New Roman" w:cs="Times New Roman"/>
                <w:sz w:val="24"/>
                <w:szCs w:val="24"/>
              </w:rPr>
              <w:br/>
              <w:t xml:space="preserve">b) dach / stropodach: </w:t>
            </w:r>
            <w:r w:rsidRPr="00BE6FA1">
              <w:rPr>
                <w:rFonts w:ascii="Times New Roman" w:hAnsi="Times New Roman" w:cs="Times New Roman"/>
                <w:sz w:val="24"/>
                <w:szCs w:val="24"/>
              </w:rPr>
              <w:br/>
              <w:t xml:space="preserve">U ≤ 0.30 [W/(m2 • K)]; </w:t>
            </w:r>
            <w:r w:rsidRPr="00BE6FA1">
              <w:rPr>
                <w:rFonts w:ascii="Times New Roman" w:hAnsi="Times New Roman" w:cs="Times New Roman"/>
                <w:sz w:val="24"/>
                <w:szCs w:val="24"/>
              </w:rPr>
              <w:br/>
              <w:t xml:space="preserve">c) strop nad nieogrzewaną piwnicą: </w:t>
            </w:r>
            <w:r w:rsidRPr="00BE6FA1">
              <w:rPr>
                <w:rFonts w:ascii="Times New Roman" w:hAnsi="Times New Roman" w:cs="Times New Roman"/>
                <w:sz w:val="24"/>
                <w:szCs w:val="24"/>
              </w:rPr>
              <w:br/>
              <w:t xml:space="preserve">U ≤ 0.60 [W/(m2 • K)]; </w:t>
            </w:r>
            <w:r w:rsidRPr="00BE6FA1">
              <w:rPr>
                <w:rFonts w:ascii="Times New Roman" w:hAnsi="Times New Roman" w:cs="Times New Roman"/>
                <w:sz w:val="24"/>
                <w:szCs w:val="24"/>
              </w:rPr>
              <w:br/>
              <w:t xml:space="preserve">d) dowolne okna jednoramowe z </w:t>
            </w:r>
            <w:r w:rsidR="00322F6C" w:rsidRPr="00BE6FA1">
              <w:rPr>
                <w:rFonts w:ascii="Times New Roman" w:hAnsi="Times New Roman" w:cs="Times New Roman"/>
                <w:sz w:val="24"/>
                <w:szCs w:val="24"/>
              </w:rPr>
              <w:t>zestawami dwuszybowymi</w:t>
            </w:r>
            <w:r w:rsidRPr="00BE6FA1">
              <w:rPr>
                <w:rFonts w:ascii="Times New Roman" w:hAnsi="Times New Roman" w:cs="Times New Roman"/>
                <w:sz w:val="24"/>
                <w:szCs w:val="24"/>
              </w:rPr>
              <w:t xml:space="preserve">. </w:t>
            </w:r>
          </w:p>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Należy wykonać dokumentację projektową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6. Instalacja wewnętrzna ogrzewania i ciepłej wody użytkowej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zgodnie z dokumentacją projektową</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lastRenderedPageBreak/>
              <w:t xml:space="preserve">Grupa III. Wymiana źródła ciepła, zastosowanie odnawialnych źródeł energii cieplnej </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7. Instalacja kotła kondensacyjnego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nominalna sprawność: </w:t>
            </w:r>
            <w:r w:rsidRPr="00BE6FA1">
              <w:rPr>
                <w:rFonts w:ascii="Times New Roman" w:hAnsi="Times New Roman" w:cs="Times New Roman"/>
                <w:sz w:val="24"/>
                <w:szCs w:val="24"/>
              </w:rPr>
              <w:br/>
              <w:t xml:space="preserve">η ≥ 102% </w:t>
            </w:r>
          </w:p>
        </w:tc>
        <w:tc>
          <w:tcPr>
            <w:tcW w:w="3300" w:type="dxa"/>
            <w:vMerge w:val="restart"/>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rPr>
            </w:pPr>
            <w:r w:rsidRPr="00BE6FA1">
              <w:rPr>
                <w:rFonts w:ascii="Times New Roman" w:hAnsi="Times New Roman" w:cs="Times New Roman"/>
                <w:sz w:val="24"/>
                <w:szCs w:val="24"/>
              </w:rPr>
              <w:t xml:space="preserve">Należy osiągnąć wymagany standard techniczny dla co najmniej Elementu 1 (ściany) albo Elementu 2 (dach) i minimalne wymagania dla elementów z Grupy I i II na poziomie: </w:t>
            </w:r>
            <w:r w:rsidRPr="00BE6FA1">
              <w:rPr>
                <w:rFonts w:ascii="Times New Roman" w:hAnsi="Times New Roman" w:cs="Times New Roman"/>
                <w:sz w:val="24"/>
                <w:szCs w:val="24"/>
              </w:rPr>
              <w:br/>
              <w:t xml:space="preserve">a) ściany zewnętrzne: </w:t>
            </w:r>
            <w:r w:rsidRPr="00BE6FA1">
              <w:rPr>
                <w:rFonts w:ascii="Times New Roman" w:hAnsi="Times New Roman" w:cs="Times New Roman"/>
                <w:sz w:val="24"/>
                <w:szCs w:val="24"/>
              </w:rPr>
              <w:br/>
              <w:t xml:space="preserve">U ≤ 0.30 [W/(m2 • K)]; </w:t>
            </w:r>
            <w:r w:rsidRPr="00BE6FA1">
              <w:rPr>
                <w:rFonts w:ascii="Times New Roman" w:hAnsi="Times New Roman" w:cs="Times New Roman"/>
                <w:sz w:val="24"/>
                <w:szCs w:val="24"/>
              </w:rPr>
              <w:br/>
              <w:t xml:space="preserve">b) dach / stropodach: </w:t>
            </w:r>
            <w:r w:rsidRPr="00BE6FA1">
              <w:rPr>
                <w:rFonts w:ascii="Times New Roman" w:hAnsi="Times New Roman" w:cs="Times New Roman"/>
                <w:sz w:val="24"/>
                <w:szCs w:val="24"/>
              </w:rPr>
              <w:br/>
              <w:t xml:space="preserve">U ≤ 0.30 [W/(m2 • K)]; </w:t>
            </w:r>
            <w:r w:rsidRPr="00BE6FA1">
              <w:rPr>
                <w:rFonts w:ascii="Times New Roman" w:hAnsi="Times New Roman" w:cs="Times New Roman"/>
                <w:sz w:val="24"/>
                <w:szCs w:val="24"/>
              </w:rPr>
              <w:br/>
              <w:t xml:space="preserve">c) strop nad nieogrzewaną piwnicą: </w:t>
            </w:r>
            <w:r w:rsidRPr="00BE6FA1">
              <w:rPr>
                <w:rFonts w:ascii="Times New Roman" w:hAnsi="Times New Roman" w:cs="Times New Roman"/>
                <w:sz w:val="24"/>
                <w:szCs w:val="24"/>
              </w:rPr>
              <w:br/>
              <w:t xml:space="preserve">U ≤ 0.60 [W/(m2 • K)]; </w:t>
            </w:r>
            <w:r w:rsidRPr="00BE6FA1">
              <w:rPr>
                <w:rFonts w:ascii="Times New Roman" w:hAnsi="Times New Roman" w:cs="Times New Roman"/>
                <w:sz w:val="24"/>
                <w:szCs w:val="24"/>
              </w:rPr>
              <w:br/>
              <w:t xml:space="preserve">d) </w:t>
            </w:r>
            <w:r w:rsidR="003A04A4" w:rsidRPr="00BE6FA1">
              <w:rPr>
                <w:rFonts w:ascii="Times New Roman" w:hAnsi="Times New Roman" w:cs="Times New Roman"/>
                <w:sz w:val="24"/>
                <w:szCs w:val="24"/>
              </w:rPr>
              <w:t xml:space="preserve">dowolne okna jednoramowe z zestawami dwuszybowymi. </w:t>
            </w:r>
            <w:r w:rsidR="003A04A4" w:rsidRPr="00BE6FA1">
              <w:rPr>
                <w:rFonts w:ascii="Times New Roman" w:hAnsi="Times New Roman" w:cs="Times New Roman"/>
                <w:sz w:val="24"/>
                <w:szCs w:val="24"/>
              </w:rPr>
              <w:br/>
              <w:t>e) sprawna wentylacja grawitacyjna z nawiewnikami w oknach;</w:t>
            </w:r>
            <w:r w:rsidRPr="00BE6FA1">
              <w:rPr>
                <w:rFonts w:ascii="Times New Roman" w:hAnsi="Times New Roman" w:cs="Times New Roman"/>
                <w:sz w:val="24"/>
                <w:szCs w:val="24"/>
              </w:rPr>
              <w:br/>
              <w:t xml:space="preserve">f) izolacja odkrytych przewodów ogrzewania i ciepłej wody użytkowej w pomieszczeniach nieogrzewanych i zawory termostatyczne wraz z głowicami (o ile dopuszczają to możliwości techniczne). </w:t>
            </w:r>
          </w:p>
          <w:p w:rsidR="006F54FB" w:rsidRPr="00BE6FA1" w:rsidRDefault="006F54FB" w:rsidP="003A27DA">
            <w:pPr>
              <w:pStyle w:val="Zawartotabeli"/>
              <w:spacing w:line="360" w:lineRule="auto"/>
              <w:jc w:val="center"/>
              <w:rPr>
                <w:rFonts w:ascii="Times New Roman" w:hAnsi="Times New Roman" w:cs="Times New Roman"/>
              </w:rPr>
            </w:pPr>
            <w:r w:rsidRPr="00BE6FA1">
              <w:rPr>
                <w:rFonts w:ascii="Times New Roman" w:hAnsi="Times New Roman" w:cs="Times New Roman"/>
                <w:sz w:val="24"/>
                <w:szCs w:val="24"/>
              </w:rPr>
              <w:t>Należy wykonać dokumentację projektową</w:t>
            </w: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8. Instalacja węzła cieplnego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nominalna sprawność:  </w:t>
            </w:r>
            <w:r w:rsidRPr="00BE6FA1">
              <w:rPr>
                <w:rFonts w:ascii="Times New Roman" w:hAnsi="Times New Roman" w:cs="Times New Roman"/>
                <w:sz w:val="24"/>
                <w:szCs w:val="24"/>
              </w:rPr>
              <w:br/>
              <w:t xml:space="preserve">η ≥ 98%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9. Instalacja kotła na biomasę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 kotły dedykowane do spalania biomasy </w:t>
            </w:r>
            <w:r w:rsidRPr="00BE6FA1">
              <w:rPr>
                <w:rFonts w:ascii="Times New Roman" w:hAnsi="Times New Roman" w:cs="Times New Roman"/>
                <w:sz w:val="24"/>
                <w:szCs w:val="24"/>
              </w:rPr>
              <w:br/>
              <w:t xml:space="preserve">- klasa 5, zgodnie z certyfikatem zgodności i z normą PN-EN 303-5 </w:t>
            </w:r>
            <w:r w:rsidRPr="00BE6FA1">
              <w:rPr>
                <w:rFonts w:ascii="Times New Roman" w:hAnsi="Times New Roman" w:cs="Times New Roman"/>
                <w:sz w:val="24"/>
                <w:szCs w:val="24"/>
              </w:rPr>
              <w:br/>
              <w:t xml:space="preserve">- nominalna sprawność: </w:t>
            </w:r>
            <w:r w:rsidRPr="00BE6FA1">
              <w:rPr>
                <w:rFonts w:ascii="Times New Roman" w:hAnsi="Times New Roman" w:cs="Times New Roman"/>
                <w:sz w:val="24"/>
                <w:szCs w:val="24"/>
              </w:rPr>
              <w:br/>
              <w:t xml:space="preserve">η ≥ 85%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10. Instalacja pompy ciepła typu solanka/woda, woda/woda lub bezpośrednie odparowanie w gruncie/woda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zgodnie z dokumentacja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11. Instalacja pompy ciepła typu powietrze/woda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zgodnie z dokumentacją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r w:rsidR="006F54FB" w:rsidRPr="00BE6FA1" w:rsidTr="000418AB">
        <w:tc>
          <w:tcPr>
            <w:tcW w:w="290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Element 12. Instalacja kolektorów słonecznych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zgodnie z dokumentacją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6F54FB" w:rsidRPr="00BE6FA1" w:rsidRDefault="006F54FB" w:rsidP="003A27DA">
            <w:pPr>
              <w:pStyle w:val="Zawartotabeli"/>
              <w:spacing w:line="360" w:lineRule="auto"/>
              <w:jc w:val="center"/>
              <w:rPr>
                <w:rFonts w:ascii="Times New Roman" w:hAnsi="Times New Roman" w:cs="Times New Roman"/>
                <w:sz w:val="24"/>
                <w:szCs w:val="24"/>
              </w:rPr>
            </w:pPr>
          </w:p>
        </w:tc>
      </w:tr>
    </w:tbl>
    <w:p w:rsidR="006F54FB" w:rsidRPr="00BE6FA1" w:rsidRDefault="006F54FB" w:rsidP="009A7AFF">
      <w:pPr>
        <w:numPr>
          <w:ilvl w:val="0"/>
          <w:numId w:val="32"/>
        </w:numPr>
        <w:tabs>
          <w:tab w:val="left" w:pos="427"/>
        </w:tabs>
        <w:spacing w:before="115" w:after="0" w:line="360" w:lineRule="auto"/>
        <w:jc w:val="both"/>
        <w:rPr>
          <w:rFonts w:ascii="Times New Roman" w:hAnsi="Times New Roman" w:cs="Times New Roman"/>
        </w:rPr>
      </w:pPr>
      <w:r w:rsidRPr="00BE6FA1">
        <w:rPr>
          <w:rStyle w:val="Wyrnienie"/>
          <w:rFonts w:ascii="Times New Roman" w:hAnsi="Times New Roman" w:cs="Times New Roman"/>
          <w:sz w:val="24"/>
          <w:szCs w:val="24"/>
        </w:rPr>
        <w:t xml:space="preserve">przez symbol U należy rozumieć współczynnik przenikania ciepła Uc(max) [W/(m2*K)] </w:t>
      </w:r>
    </w:p>
    <w:p w:rsidR="006F54FB" w:rsidRPr="00BE6FA1" w:rsidRDefault="006F54FB" w:rsidP="009A7AFF">
      <w:pPr>
        <w:numPr>
          <w:ilvl w:val="0"/>
          <w:numId w:val="31"/>
        </w:numPr>
        <w:tabs>
          <w:tab w:val="left" w:pos="427"/>
        </w:tabs>
        <w:spacing w:before="115" w:after="0" w:line="360" w:lineRule="auto"/>
        <w:jc w:val="both"/>
        <w:rPr>
          <w:rFonts w:ascii="Times New Roman" w:hAnsi="Times New Roman" w:cs="Times New Roman"/>
        </w:rPr>
      </w:pPr>
      <w:r w:rsidRPr="00BE6FA1">
        <w:rPr>
          <w:rStyle w:val="Wyrnienie"/>
          <w:rFonts w:ascii="Times New Roman" w:hAnsi="Times New Roman" w:cs="Times New Roman"/>
          <w:sz w:val="24"/>
          <w:szCs w:val="24"/>
        </w:rPr>
        <w:lastRenderedPageBreak/>
        <w:t xml:space="preserve">w przypadku dostępności ciepła sieciowego nie dopuszcza się stosowania innego źródła ciepła wymienionego w Grupie III z wyjątkiem Elementu 8.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sz w:val="24"/>
          <w:szCs w:val="24"/>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Program realizowany będzie w latach 2015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2023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r w:rsidRPr="00BE6FA1">
        <w:rPr>
          <w:rStyle w:val="Wyrnienie"/>
          <w:rFonts w:ascii="Times New Roman" w:hAnsi="Times New Roman" w:cs="Times New Roman"/>
          <w:sz w:val="24"/>
          <w:szCs w:val="24"/>
        </w:rPr>
        <w:t xml:space="preserve">Okres kwalifikowalności kosztów: od 01.01.2015 do 30.11.2023 r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Formy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1) środki udostępnione WFOŚiGW z przeznaczeniem na udzielanie pożyczek;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2) środki udostępnione WFOŚiGW z przeznaczeniem na udzielanie dotacji.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Dofinansowanie w formie pożyczki wraz z dotacją łącznie do 100% kosztów kwalifikowanych, zgodnie z poniższą tabelą </w:t>
      </w:r>
    </w:p>
    <w:tbl>
      <w:tblPr>
        <w:tblW w:w="9080" w:type="dxa"/>
        <w:tblInd w:w="50" w:type="dxa"/>
        <w:tblBorders>
          <w:top w:val="single" w:sz="2" w:space="0" w:color="000001"/>
          <w:left w:val="single" w:sz="2" w:space="0" w:color="000001"/>
          <w:bottom w:val="single" w:sz="12" w:space="0" w:color="000001"/>
          <w:insideH w:val="single" w:sz="12" w:space="0" w:color="000001"/>
        </w:tblBorders>
        <w:tblCellMar>
          <w:top w:w="55" w:type="dxa"/>
          <w:left w:w="48" w:type="dxa"/>
          <w:bottom w:w="55" w:type="dxa"/>
          <w:right w:w="55" w:type="dxa"/>
        </w:tblCellMar>
        <w:tblLook w:val="0000" w:firstRow="0" w:lastRow="0" w:firstColumn="0" w:lastColumn="0" w:noHBand="0" w:noVBand="0"/>
      </w:tblPr>
      <w:tblGrid>
        <w:gridCol w:w="4078"/>
        <w:gridCol w:w="2500"/>
        <w:gridCol w:w="2502"/>
      </w:tblGrid>
      <w:tr w:rsidR="006F54FB" w:rsidRPr="00BE6FA1" w:rsidTr="000418AB">
        <w:tc>
          <w:tcPr>
            <w:tcW w:w="4078" w:type="dxa"/>
            <w:tcBorders>
              <w:top w:val="single" w:sz="2" w:space="0" w:color="000001"/>
              <w:left w:val="single" w:sz="2" w:space="0" w:color="000001"/>
              <w:bottom w:val="single" w:sz="1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 xml:space="preserve">Koszty kwalifikowane  </w:t>
            </w:r>
          </w:p>
        </w:tc>
        <w:tc>
          <w:tcPr>
            <w:tcW w:w="2500" w:type="dxa"/>
            <w:tcBorders>
              <w:top w:val="single" w:sz="2" w:space="0" w:color="000001"/>
              <w:left w:val="single" w:sz="2" w:space="0" w:color="000001"/>
              <w:bottom w:val="single" w:sz="1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Kredyt (% łącznego dofinansowania)</w:t>
            </w:r>
          </w:p>
        </w:tc>
        <w:tc>
          <w:tcPr>
            <w:tcW w:w="2502" w:type="dxa"/>
            <w:tcBorders>
              <w:top w:val="single" w:sz="2" w:space="0" w:color="000001"/>
              <w:left w:val="single" w:sz="2" w:space="0" w:color="000001"/>
              <w:bottom w:val="single" w:sz="1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 xml:space="preserve">Dotacja (% łącznego dofinansowania)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i/>
                <w:iCs/>
                <w:sz w:val="24"/>
                <w:szCs w:val="24"/>
              </w:rPr>
            </w:pPr>
            <w:r w:rsidRPr="00BE6FA1">
              <w:rPr>
                <w:rFonts w:ascii="Times New Roman" w:hAnsi="Times New Roman" w:cs="Times New Roman"/>
                <w:i/>
                <w:iCs/>
                <w:sz w:val="24"/>
                <w:szCs w:val="24"/>
              </w:rPr>
              <w:t>Dokumentacja</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Ocena przed i po realizacji przedsięwzięcia oraz dokumentacja projektowa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100 %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i/>
                <w:iCs/>
                <w:sz w:val="24"/>
                <w:szCs w:val="24"/>
              </w:rPr>
            </w:pPr>
            <w:r w:rsidRPr="00BE6FA1">
              <w:rPr>
                <w:rFonts w:ascii="Times New Roman" w:hAnsi="Times New Roman" w:cs="Times New Roman"/>
                <w:i/>
                <w:iCs/>
                <w:sz w:val="24"/>
                <w:szCs w:val="24"/>
              </w:rPr>
              <w:t>Inwestycja</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Grupa I – prace termoizolacyjne</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Ocieplenie podłogi, Wymiana okien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o ile nie są wykonywane łącznie z innymi elementami Grupy I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0 %</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Przedsięwzięcia zawierające co najmniej Ocieplenie ścian  albo Ocieplenie dachu połączone z innymi elementami z Grupy I (podłogi lub wymiana okien), o ile </w:t>
            </w:r>
            <w:r w:rsidRPr="00BE6FA1">
              <w:rPr>
                <w:rFonts w:ascii="Times New Roman" w:hAnsi="Times New Roman" w:cs="Times New Roman"/>
                <w:sz w:val="24"/>
                <w:szCs w:val="24"/>
              </w:rPr>
              <w:lastRenderedPageBreak/>
              <w:t xml:space="preserve">konieczność ich modernizacji wynika z oceny energetycznej budynku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lastRenderedPageBreak/>
              <w:t>80 %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20 %</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Przedsięwzięcia zawierające co najmniej łącznie Ocieplenie ścian i Ocieplenie dachu połączone z innymi elementami z Grupy I (podłogi lub wymiana okien), o ile konieczność ich modernizacji wynika z oceny energetycznej budynku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60 %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40 %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Grupa II – instalacje wewnętrzne</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Instalacja wentylacji mechanicznej nawiewno-wywiewnej z odzyskiem ciepła, Instalacja wewnętrzna ogrzewania i ciepłej wody użytkowej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80 %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20 %</w:t>
            </w:r>
          </w:p>
        </w:tc>
      </w:tr>
      <w:tr w:rsidR="006F54FB" w:rsidRPr="00BE6FA1" w:rsidTr="000418AB">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Grupa III – wymiana źródła ciepła, zastosowanie odnawialnych źródeł energii cieplnej</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Kocioł kondensacyjny, Węzeł cieplny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100 %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0 %</w:t>
            </w:r>
          </w:p>
        </w:tc>
      </w:tr>
      <w:tr w:rsidR="006F54FB" w:rsidRPr="00BE6FA1" w:rsidTr="000418AB">
        <w:tc>
          <w:tcPr>
            <w:tcW w:w="4078"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Kocioł na biomasę, Pompa ciepła, Kolektory słoneczne </w:t>
            </w:r>
          </w:p>
        </w:tc>
        <w:tc>
          <w:tcPr>
            <w:tcW w:w="250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80 % </w:t>
            </w:r>
            <w:r w:rsidRPr="00BE6FA1">
              <w:rPr>
                <w:rFonts w:ascii="Times New Roman" w:hAnsi="Times New Roman" w:cs="Times New Roman"/>
                <w:sz w:val="24"/>
                <w:szCs w:val="24"/>
              </w:rPr>
              <w:br/>
              <w:t xml:space="preserve">(od 2017 r.: 85%)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20 % </w:t>
            </w:r>
            <w:r w:rsidRPr="00BE6FA1">
              <w:rPr>
                <w:rFonts w:ascii="Times New Roman" w:hAnsi="Times New Roman" w:cs="Times New Roman"/>
                <w:sz w:val="24"/>
                <w:szCs w:val="24"/>
              </w:rPr>
              <w:br/>
              <w:t xml:space="preserve">(od 2017 r.: 15%) </w:t>
            </w:r>
          </w:p>
        </w:tc>
      </w:tr>
    </w:tbl>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WSPIERANIE ROZPROSZONYCH, ODNAWIALNYCH ŹRÓDEŁ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1) BOCIAN – Rozproszone, odnawialne źródła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Przedsiębiorcy w rozumieniu art. 4 ustawy z dnia 2 lipca 2004 r. o swobodzie działalności gospodarczej, podejmujący realizację przedsięwzięć z zakresu odnawialnych źródeł energii na terenie Rzeczypospolitej Polskiej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9A7AFF">
      <w:pPr>
        <w:pStyle w:val="Akapitzlist"/>
        <w:numPr>
          <w:ilvl w:val="0"/>
          <w:numId w:val="27"/>
        </w:num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lastRenderedPageBreak/>
        <w:t>Budowa, rozbudowa lub przebudowa instalacji odnawialnych źródeł energii o mocach mieszczących się w następujących przedziałach:</w:t>
      </w:r>
    </w:p>
    <w:tbl>
      <w:tblPr>
        <w:tblW w:w="9080" w:type="dxa"/>
        <w:tblInd w:w="50" w:type="dxa"/>
        <w:tblBorders>
          <w:top w:val="single" w:sz="2" w:space="0" w:color="000001"/>
          <w:left w:val="single" w:sz="2" w:space="0" w:color="000001"/>
          <w:bottom w:val="single" w:sz="12" w:space="0" w:color="000001"/>
          <w:insideH w:val="single" w:sz="12" w:space="0" w:color="000001"/>
        </w:tblBorders>
        <w:tblCellMar>
          <w:top w:w="55" w:type="dxa"/>
          <w:left w:w="48" w:type="dxa"/>
          <w:bottom w:w="55" w:type="dxa"/>
          <w:right w:w="55" w:type="dxa"/>
        </w:tblCellMar>
        <w:tblLook w:val="0000" w:firstRow="0" w:lastRow="0" w:firstColumn="0" w:lastColumn="0" w:noHBand="0" w:noVBand="0"/>
      </w:tblPr>
      <w:tblGrid>
        <w:gridCol w:w="2981"/>
        <w:gridCol w:w="2633"/>
        <w:gridCol w:w="1706"/>
        <w:gridCol w:w="1760"/>
      </w:tblGrid>
      <w:tr w:rsidR="006F54FB" w:rsidRPr="00BE6FA1" w:rsidTr="000418AB">
        <w:tc>
          <w:tcPr>
            <w:tcW w:w="2980" w:type="dxa"/>
            <w:tcBorders>
              <w:top w:val="single" w:sz="2" w:space="0" w:color="000001"/>
              <w:left w:val="single" w:sz="2" w:space="0" w:color="000001"/>
              <w:bottom w:val="single" w:sz="1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Lp.</w:t>
            </w:r>
          </w:p>
        </w:tc>
        <w:tc>
          <w:tcPr>
            <w:tcW w:w="2633" w:type="dxa"/>
            <w:tcBorders>
              <w:top w:val="single" w:sz="2" w:space="0" w:color="000001"/>
              <w:left w:val="single" w:sz="2" w:space="0" w:color="000001"/>
              <w:bottom w:val="single" w:sz="1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 xml:space="preserve">Rodzaj przedsięwzięcia </w:t>
            </w:r>
          </w:p>
        </w:tc>
        <w:tc>
          <w:tcPr>
            <w:tcW w:w="1706" w:type="dxa"/>
            <w:tcBorders>
              <w:top w:val="single" w:sz="2" w:space="0" w:color="000001"/>
              <w:left w:val="single" w:sz="2" w:space="0" w:color="000001"/>
              <w:bottom w:val="single" w:sz="1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 xml:space="preserve">Moc minimalna </w:t>
            </w:r>
          </w:p>
        </w:tc>
        <w:tc>
          <w:tcPr>
            <w:tcW w:w="1760" w:type="dxa"/>
            <w:tcBorders>
              <w:top w:val="single" w:sz="2" w:space="0" w:color="000001"/>
              <w:left w:val="single" w:sz="2" w:space="0" w:color="000001"/>
              <w:bottom w:val="single" w:sz="1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b/>
                <w:bCs/>
                <w:sz w:val="24"/>
                <w:szCs w:val="24"/>
              </w:rPr>
            </w:pPr>
            <w:r w:rsidRPr="00BE6FA1">
              <w:rPr>
                <w:rFonts w:ascii="Times New Roman" w:hAnsi="Times New Roman" w:cs="Times New Roman"/>
                <w:b/>
                <w:bCs/>
                <w:sz w:val="24"/>
                <w:szCs w:val="24"/>
              </w:rPr>
              <w:t xml:space="preserve">Moc maksymalna </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elektrownie wiatrowe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e</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systemy fotowoltaiczne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&gt;40 kWp</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1 MWp</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pozyskiwanie energii z wód geotermalnych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 MWt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 MWt</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małe elektrownie wodne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300 kWt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5 MW </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źródła ciepła opalane biomasą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&gt;300 kWt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20 MWt</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wielkoformatowe kolektory słoneczne wraz z akumulatorem ciepła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(&gt;300 kWt+3M Wt) </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(2 MWt +20 MWt) </w:t>
            </w:r>
          </w:p>
        </w:tc>
      </w:tr>
      <w:tr w:rsidR="006F54FB" w:rsidRPr="00BE6FA1" w:rsidTr="000418AB">
        <w:tc>
          <w:tcPr>
            <w:tcW w:w="2980" w:type="dxa"/>
            <w:vMerge w:val="restart"/>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biogazownie rozumiane jako obiekty wytwarzania energii elektrycznej lub ciepła z wykorzystaniem biogazu rolniczego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2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e</w:t>
            </w:r>
          </w:p>
        </w:tc>
      </w:tr>
      <w:tr w:rsidR="006F54FB" w:rsidRPr="00BE6FA1" w:rsidTr="000418AB">
        <w:tc>
          <w:tcPr>
            <w:tcW w:w="2980" w:type="dxa"/>
            <w:vMerge/>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p>
        </w:tc>
        <w:tc>
          <w:tcPr>
            <w:tcW w:w="6099"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instalacje wytwarzania biogazu rolniczego celem wprowadzenia go do sieci gazowej dystrybucyjnej i bezpośredniej </w:t>
            </w:r>
          </w:p>
        </w:tc>
      </w:tr>
      <w:tr w:rsidR="006F54FB" w:rsidRPr="00BE6FA1" w:rsidTr="000418AB">
        <w:tc>
          <w:tcPr>
            <w:tcW w:w="2980"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9A7AFF">
            <w:pPr>
              <w:pStyle w:val="Zawartotabeli"/>
              <w:numPr>
                <w:ilvl w:val="0"/>
                <w:numId w:val="33"/>
              </w:numPr>
              <w:spacing w:line="360" w:lineRule="auto"/>
              <w:jc w:val="center"/>
              <w:rPr>
                <w:rFonts w:ascii="Times New Roman" w:hAnsi="Times New Roman" w:cs="Times New Roman"/>
                <w:sz w:val="24"/>
                <w:szCs w:val="24"/>
              </w:rPr>
            </w:pPr>
          </w:p>
        </w:tc>
        <w:tc>
          <w:tcPr>
            <w:tcW w:w="2633"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 xml:space="preserve">wytwarzanie energii elektrycznej w </w:t>
            </w:r>
            <w:r w:rsidR="00322F6C" w:rsidRPr="00BE6FA1">
              <w:rPr>
                <w:rFonts w:ascii="Times New Roman" w:hAnsi="Times New Roman" w:cs="Times New Roman"/>
                <w:sz w:val="24"/>
                <w:szCs w:val="24"/>
              </w:rPr>
              <w:t>wysokosprawnej kogeneracji na biomasę</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6F54FB" w:rsidRPr="00BE6FA1" w:rsidRDefault="006F54FB" w:rsidP="003A27DA">
            <w:pPr>
              <w:pStyle w:val="Zawartotabeli"/>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5 M</w:t>
            </w:r>
            <w:r w:rsidR="008A241B" w:rsidRPr="00BE6FA1">
              <w:rPr>
                <w:rFonts w:ascii="Times New Roman" w:hAnsi="Times New Roman" w:cs="Times New Roman"/>
                <w:sz w:val="24"/>
                <w:szCs w:val="24"/>
              </w:rPr>
              <w:t>w</w:t>
            </w:r>
            <w:r w:rsidRPr="00BE6FA1">
              <w:rPr>
                <w:rFonts w:ascii="Times New Roman" w:hAnsi="Times New Roman" w:cs="Times New Roman"/>
                <w:sz w:val="24"/>
                <w:szCs w:val="24"/>
              </w:rPr>
              <w:t>e</w:t>
            </w:r>
          </w:p>
        </w:tc>
      </w:tr>
    </w:tbl>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w ramach programu mogą być realizowane instalacje hybrydowe, przy czym moc każdego rodzaju przedsięwzięcia musi spełnić warunki określone w pkt. 1).</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W ramach programu mogą być dodatkowo wspierane systemy magazynowania energii towarzyszące inwestycjom OZE o mocach nie większych niż 10-krotność mocy zainstalowanej dla każdego ze źródeł OZE, w szczególności: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magazyny ciepła,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magazyny energii elektrycznej.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Program realizowany będzie w latach 2015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2023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Okres kwalifikowalności kosztów od 01.01.2015 r. do 31.12.2023 r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Formy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Pożyczka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Dofinansowanie w formie pożyczki do 85 % kosztów kwalifikowanych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b/>
          <w:bCs/>
          <w:sz w:val="24"/>
          <w:szCs w:val="24"/>
        </w:rPr>
        <w:t xml:space="preserve">Część 2) Prosument </w:t>
      </w:r>
      <w:r w:rsidR="008A241B" w:rsidRPr="00BE6FA1">
        <w:rPr>
          <w:rStyle w:val="Wyrnienie"/>
          <w:rFonts w:ascii="Times New Roman" w:hAnsi="Times New Roman" w:cs="Times New Roman"/>
          <w:b/>
          <w:bCs/>
          <w:sz w:val="24"/>
          <w:szCs w:val="24"/>
        </w:rPr>
        <w:t>–</w:t>
      </w:r>
      <w:r w:rsidRPr="00BE6FA1">
        <w:rPr>
          <w:rStyle w:val="Wyrnienie"/>
          <w:rFonts w:ascii="Times New Roman" w:hAnsi="Times New Roman" w:cs="Times New Roman"/>
          <w:b/>
          <w:bCs/>
          <w:sz w:val="24"/>
          <w:szCs w:val="24"/>
        </w:rPr>
        <w:t xml:space="preserve"> linia dofinansowania z przeznaczeniem na zakup i montaż mikroinstalacji odnawialnych źródeł energii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Beneficjenci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Beneficjentem programu są wojewódzkie fundusze ochrony środowiska i gospodarki wodnej.</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 Beneficjentem końcowym programu są: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osoby fizyczne posiadające prawo do dysponowania budynkiem mieszkalnym;</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wspólnoty mieszkaniowe;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3) spółdzielnie mieszkaniowe;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4) jednostki samorządu terytorialnego lub ich związki lub ich stowarzyszenia;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5) spółki prawa handlowego, w których jednostki samorządu terytorialnego posiadają 100% udziałów albo akcji i które powołane są do realizacji zadań własnych j.s.t. wskazanych </w:t>
      </w:r>
      <w:r w:rsidR="00AB1486"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w ustawach.</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Przez „dysponowanie” nieruchomością należy rozumieć: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lastRenderedPageBreak/>
        <w:t xml:space="preserve">a) prawo własności (w tym współwłasność),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użytkowanie wieczyste,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c) spółdzielcze własnościowe prawo do domu jednorodzinnego.</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Rodzaje przedsięwzięć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przedsięwzięcia polegające na zakupie i montażu małych instalacji lub mikroinstalacji następujących odnawialnych źródeł do produkcji energii elektrycznej lub ciepła:</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źródła ciepła opalane biomasą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cieplnej do 300 kWt,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pompy ciepła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cieplnej do 300 kWt,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c) kolektory słoneczne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cieplnej do 300 kWt,</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 systemy fotowoltaiczne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elektrycznej do 40 kWp,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e) małe elektrownie wiatrowe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elektrycznej do 40 kWe,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f) mikrokogeneracja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o zainstalowanej mocy elektrycznej do 40 kWe, służących na potrzeby istniejących lub będących w budowie budynków mieszkalnych;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przedsięwzięcia polegające na zakupie i montażu instalacji równolegle wykorzystującej więcej niż jedno odnawialne źródło energii elektrycznej lub ciepła, wymienione w pkt 1, przeznaczonej dla jednego budynku mieszkalnego, o ile jest to technicznie i ekonomicznie uzasadnione;</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3) w przypadku instalacji wymienionych w pkt. 1) o mocy 0-10 </w:t>
      </w:r>
      <w:r w:rsidR="008A241B" w:rsidRPr="00BE6FA1">
        <w:rPr>
          <w:rStyle w:val="Wyrnienie"/>
          <w:rFonts w:ascii="Times New Roman" w:hAnsi="Times New Roman" w:cs="Times New Roman"/>
          <w:sz w:val="24"/>
          <w:szCs w:val="24"/>
        </w:rPr>
        <w:t>Kw</w:t>
      </w:r>
      <w:r w:rsidRPr="00BE6FA1">
        <w:rPr>
          <w:rStyle w:val="Wyrnienie"/>
          <w:rFonts w:ascii="Times New Roman" w:hAnsi="Times New Roman" w:cs="Times New Roman"/>
          <w:sz w:val="24"/>
          <w:szCs w:val="24"/>
        </w:rPr>
        <w:t xml:space="preserve"> służących do produkcji energii elektrycznej, podłączanych do sieci dystrybucyjnej, w których wytworzenie energii elektrycznej i po raz pierwszy wprowadzenie do sieci nastąpi po 01/01/2016, osoba fizyczna, wspólnota mieszkaniowa lub spółdzielnia mieszkaniowa nie będzie korzystała ze stałych cen jednostkowych, o których mowa w </w:t>
      </w:r>
      <w:r w:rsidR="008A241B" w:rsidRPr="00BE6FA1">
        <w:rPr>
          <w:rStyle w:val="Wyrnienie"/>
          <w:rFonts w:ascii="Times New Roman" w:hAnsi="Times New Roman" w:cs="Times New Roman"/>
          <w:sz w:val="24"/>
          <w:szCs w:val="24"/>
        </w:rPr>
        <w:pgNum/>
      </w:r>
      <w:r w:rsidR="008A241B" w:rsidRPr="00BE6FA1">
        <w:rPr>
          <w:rStyle w:val="Wyrnienie"/>
          <w:rFonts w:ascii="Times New Roman" w:hAnsi="Times New Roman" w:cs="Times New Roman"/>
          <w:sz w:val="24"/>
          <w:szCs w:val="24"/>
        </w:rPr>
        <w:t>sy</w:t>
      </w:r>
      <w:r w:rsidRPr="00BE6FA1">
        <w:rPr>
          <w:rStyle w:val="Wyrnienie"/>
          <w:rFonts w:ascii="Times New Roman" w:hAnsi="Times New Roman" w:cs="Times New Roman"/>
          <w:sz w:val="24"/>
          <w:szCs w:val="24"/>
        </w:rPr>
        <w:t>. 41 ust. 10 i 15 Ustawy o odnawialnych źródłach energii z dnia 20 lutego 2015 r. (Dz.U. 2015 poz. 478).</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4) przez budynek mieszkalny (w tym wielorodzinny) należy rozumieć, istniejący lub będący w budowie, budynek wolnostojący albo samodzielną część domu bliźniaczego albo szeregowego, przeznaczony i wykorzystywany na cele mieszkaniowe co najmniej w połowie powierzchni całkowitej;</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5) w przypadku beneficjentów końcowych wskazanych w pkt. 4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5, odpowiedzialność za wybór osób fizycznych posiadających prawo do dysponowania budynkiem mieszkalnym, wspólnot mieszkaniowych lub spółdzielni mieszkaniowych ponoszą wyżej wymienieni beneficjenci </w:t>
      </w:r>
      <w:r w:rsidRPr="00BE6FA1">
        <w:rPr>
          <w:rStyle w:val="Wyrnienie"/>
          <w:rFonts w:ascii="Times New Roman" w:hAnsi="Times New Roman" w:cs="Times New Roman"/>
          <w:sz w:val="24"/>
          <w:szCs w:val="24"/>
        </w:rPr>
        <w:lastRenderedPageBreak/>
        <w:t xml:space="preserve">końcowi. Wybór odbywać się będzie na podstawie obiektywnych, gwarantujących osiągnięcie efektu ekologicznego, zapewniających równe traktowanie kryteriów doboru. Za stworzenie kryteriów, o których mowa w zdaniu poprzedzającym, odpowiedzialny jest beneficjent końcowy wskazany w pkt.4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5.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Program realizowany będzie w latach 2015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2022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Okres kwalifikowalności kosztów od 01.01.2015 r. do 31.12.2022 r.</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Formy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1) środki udostępnione WFOŚiGW z przeznaczeniem na udzielanie pożyczek;</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2) środki udostępnione WFOŚiGW z przeznaczeniem na udzielanie dotacji.</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Dofinansowanie w formie pożyczki wraz z dotacją łącznie do 100% kosztów kwalifikowanych instalacji wchodzących w skład przedsięwzięcia, w tym w formie dotacji: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a) do 15% dofinansowania dla instalacji do produkcji ciepła, a w okresie lat 2015 – 2016 do 20% dofinansowania, </w:t>
      </w:r>
    </w:p>
    <w:p w:rsidR="006F54FB" w:rsidRPr="00BE6FA1" w:rsidRDefault="006F54FB" w:rsidP="003A27DA">
      <w:pPr>
        <w:tabs>
          <w:tab w:val="left" w:pos="427"/>
        </w:tabs>
        <w:spacing w:before="115" w:after="0" w:line="360" w:lineRule="auto"/>
        <w:jc w:val="both"/>
        <w:rPr>
          <w:rFonts w:ascii="Times New Roman" w:hAnsi="Times New Roman" w:cs="Times New Roman"/>
          <w:sz w:val="24"/>
          <w:szCs w:val="24"/>
        </w:rPr>
      </w:pPr>
      <w:r w:rsidRPr="00BE6FA1">
        <w:rPr>
          <w:rStyle w:val="Wyrnienie"/>
          <w:rFonts w:ascii="Times New Roman" w:hAnsi="Times New Roman" w:cs="Times New Roman"/>
          <w:sz w:val="24"/>
          <w:szCs w:val="24"/>
        </w:rPr>
        <w:t xml:space="preserve">b) do 30% dofinansowania dla instalacji do produkcji energii elektrycznej, a w okresie lat 2015 – 2016 do 40% dofinansowania; </w:t>
      </w:r>
    </w:p>
    <w:p w:rsidR="006F54FB" w:rsidRPr="00BE6FA1" w:rsidRDefault="006F54FB" w:rsidP="003A27DA">
      <w:pPr>
        <w:tabs>
          <w:tab w:val="left" w:pos="427"/>
        </w:tabs>
        <w:spacing w:before="115" w:after="0" w:line="360" w:lineRule="auto"/>
        <w:jc w:val="both"/>
        <w:rPr>
          <w:rStyle w:val="Wyrnienie"/>
          <w:rFonts w:ascii="Times New Roman" w:hAnsi="Times New Roman" w:cs="Times New Roman"/>
          <w:i w:val="0"/>
          <w:iCs w:val="0"/>
        </w:rPr>
      </w:pPr>
    </w:p>
    <w:p w:rsidR="006F54FB" w:rsidRPr="00BE6FA1" w:rsidRDefault="006F54FB" w:rsidP="003A27DA">
      <w:pPr>
        <w:spacing w:before="240" w:after="0" w:line="360" w:lineRule="auto"/>
        <w:jc w:val="both"/>
        <w:rPr>
          <w:rFonts w:ascii="Times New Roman" w:hAnsi="Times New Roman" w:cs="Times New Roman"/>
          <w:b/>
          <w:bCs/>
          <w:sz w:val="24"/>
          <w:szCs w:val="24"/>
          <w:u w:val="single"/>
        </w:rPr>
      </w:pPr>
      <w:r w:rsidRPr="00BE6FA1">
        <w:rPr>
          <w:rFonts w:ascii="Times New Roman" w:hAnsi="Times New Roman" w:cs="Times New Roman"/>
          <w:b/>
          <w:bCs/>
          <w:sz w:val="24"/>
          <w:szCs w:val="24"/>
          <w:u w:val="single"/>
        </w:rPr>
        <w:t xml:space="preserve">System zielonych inwestycji (GIS – Green Investment Scheme) </w:t>
      </w:r>
    </w:p>
    <w:p w:rsidR="006F54FB" w:rsidRPr="00BE6FA1" w:rsidRDefault="006F54FB" w:rsidP="003A27DA">
      <w:pPr>
        <w:spacing w:before="240" w:after="0" w:line="360" w:lineRule="auto"/>
        <w:jc w:val="both"/>
        <w:rPr>
          <w:rFonts w:ascii="Times New Roman" w:hAnsi="Times New Roman" w:cs="Times New Roman"/>
          <w:sz w:val="24"/>
          <w:szCs w:val="24"/>
          <w:u w:val="single"/>
        </w:rPr>
      </w:pPr>
      <w:r w:rsidRPr="00BE6FA1">
        <w:rPr>
          <w:rFonts w:ascii="Times New Roman" w:hAnsi="Times New Roman" w:cs="Times New Roman"/>
          <w:sz w:val="24"/>
          <w:szCs w:val="24"/>
          <w:u w:val="single"/>
        </w:rPr>
        <w:t xml:space="preserve">Część 1) Zarządzanie energią w budynkach użyteczności publicznej.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Beneficjenci</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1) jednostki samorządu terytorialnego oraz ich związki;</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2) podmioty świadczące usługi publiczne w ramach realizacji zadań własnych jednostek samorządu terytorialnego niebędące przedsiębiorcami;</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3) Ochotnicza Straż Pożarna;</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4) uczelnie w rozumieniu ustawy – Prawo o szkolnictwie wyższym oraz instytuty badawcze;</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5) samodzielne publiczne zakłady opieki zdrowotnej oraz podmioty lecznicze prowadzące przedsiębiorstwo w rozumieniu </w:t>
      </w:r>
      <w:r w:rsidR="00AB1486" w:rsidRPr="00BE6FA1">
        <w:rPr>
          <w:rFonts w:ascii="Times New Roman" w:hAnsi="Times New Roman" w:cs="Times New Roman"/>
          <w:sz w:val="24"/>
          <w:szCs w:val="24"/>
        </w:rPr>
        <w:pgNum/>
      </w:r>
      <w:r w:rsidR="00AB1486" w:rsidRPr="00BE6FA1">
        <w:rPr>
          <w:rFonts w:ascii="Times New Roman" w:hAnsi="Times New Roman" w:cs="Times New Roman"/>
          <w:sz w:val="24"/>
          <w:szCs w:val="24"/>
        </w:rPr>
        <w:t>art</w:t>
      </w:r>
      <w:r w:rsidRPr="00BE6FA1">
        <w:rPr>
          <w:rFonts w:ascii="Times New Roman" w:hAnsi="Times New Roman" w:cs="Times New Roman"/>
          <w:sz w:val="24"/>
          <w:szCs w:val="24"/>
        </w:rPr>
        <w:t>. 551 Kodeksu cywilnego w zakresie udzielania świadczeń zdrowotnych;</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6) organizacje pozarządowe, Kościoły i inne związki wyznaniowe wpisane do rejestru kościołów i innych związków wyznaniowych oraz kościelne osoby prawne;</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7) podmiot lub jednostka określona w pkt</w:t>
      </w:r>
      <w:r w:rsidR="00AB1486" w:rsidRPr="00BE6FA1">
        <w:rPr>
          <w:rFonts w:ascii="Times New Roman" w:hAnsi="Times New Roman" w:cs="Times New Roman"/>
          <w:sz w:val="24"/>
          <w:szCs w:val="24"/>
        </w:rPr>
        <w:t>.</w:t>
      </w:r>
      <w:r w:rsidRPr="00BE6FA1">
        <w:rPr>
          <w:rFonts w:ascii="Times New Roman" w:hAnsi="Times New Roman" w:cs="Times New Roman"/>
          <w:sz w:val="24"/>
          <w:szCs w:val="24"/>
        </w:rPr>
        <w:t xml:space="preserve"> 1-6 będąca stroną umowy pożyczki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w projekcie grupowym.</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Rodzaje przedsięwzięć</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 xml:space="preserve">1) dofinansowanie może być udzielone na realizację przedsięwzięć w budynkach użyteczności publicznej, przez które należy rozumieć budynki przeznaczone do pełnienia następujących funkcji: administracji samorządowej, ochrony przeciwpożarowej realizowanej przez OSP, kultury, kultu religijnego, oświaty, nauki, służby zdrowia, opieki społecznej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i socjalnej, a także budynkach zamieszkania zbiorowego przeznaczonych do okresowego pobytu ludzi poza stałym miejscem zamieszkania (w szczególności: internaty, domy studenckie), a także budynkach do stałego pobytu ludzi (w szczególności: domy rencistów lub emerytów, domy dziecka, domy opieki, domy zakonne, klasztory);</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2) termomodernizacja budynków użyteczności publicznej, w tym zmiany wyposażenia obiektów w urządzenia o najwyższych, uzasadnionych ekonomicznie standardach efektywności energetycznej związanych bezpośrednio z prowadzoną termomodernizacją obiektów w szczególności:</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 xml:space="preserve">a) ocieplenie obiektu, </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 xml:space="preserve">b) wymiana okien, </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c) wymiana drzwi zewnętrznych,</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d) przebudowa systemów grzewczych (wraz z wymianą źródła ciepła),</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e) wymiana systemów wentylacji i klimatyzacji,</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 xml:space="preserve">f) przygotowanie dokumentacji technicznej dla przedsięwzięcia, </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t xml:space="preserve">g) zastosowanie systemów zarządzania energią w budynkach, </w:t>
      </w:r>
    </w:p>
    <w:p w:rsidR="006F54FB" w:rsidRPr="00BE6FA1" w:rsidRDefault="006F54FB" w:rsidP="003A27DA">
      <w:pPr>
        <w:spacing w:before="240" w:after="0" w:line="360" w:lineRule="auto"/>
        <w:ind w:left="397" w:firstLine="624"/>
        <w:jc w:val="both"/>
        <w:rPr>
          <w:rFonts w:ascii="Times New Roman" w:hAnsi="Times New Roman" w:cs="Times New Roman"/>
          <w:sz w:val="24"/>
          <w:szCs w:val="24"/>
        </w:rPr>
      </w:pPr>
      <w:r w:rsidRPr="00BE6FA1">
        <w:rPr>
          <w:rFonts w:ascii="Times New Roman" w:hAnsi="Times New Roman" w:cs="Times New Roman"/>
          <w:sz w:val="24"/>
          <w:szCs w:val="24"/>
        </w:rPr>
        <w:lastRenderedPageBreak/>
        <w:t xml:space="preserve">h) wykorzystanie technologii odnawialnych źródeł energii; </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3) wymiana oświetlenia wewnętrznego na energooszczędne (jako dodatkowe zadania realizowane równolegle z termomodernizacją obiektów);</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 xml:space="preserve">4) w ramach programu mogą być realizowane projekty grupowe. Partnerami i liderami </w:t>
      </w:r>
      <w:r w:rsidR="00AB1486" w:rsidRPr="00BE6FA1">
        <w:rPr>
          <w:rFonts w:ascii="Times New Roman" w:hAnsi="Times New Roman" w:cs="Times New Roman"/>
          <w:sz w:val="24"/>
          <w:szCs w:val="24"/>
        </w:rPr>
        <w:br/>
      </w:r>
      <w:r w:rsidRPr="00BE6FA1">
        <w:rPr>
          <w:rFonts w:ascii="Times New Roman" w:hAnsi="Times New Roman" w:cs="Times New Roman"/>
          <w:sz w:val="24"/>
          <w:szCs w:val="24"/>
        </w:rPr>
        <w:t xml:space="preserve">w projektach grupowych mogą być jedynie podmioty wymienione jako beneficjenci. Liderem w projekcie grupowym jest podmiot składający wniosek o dofinansowanie w formie dotacji lub wniosek o dofinansowanie w formie pożyczki lub składający wniosek o dofinansowanie w formie pożyczki w imieniu i na rzecz partnerów. Wzajemne relacje lidera i partnerów reguluje zawierane między nimi porozumienie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Program jest wdrażany w latach 2010 –2017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Okres kwalifikowalności kosztów od 01.01.2009 r. do 31.12.2016 r.</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Formy dofinansowania </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1) dotacja;</w:t>
      </w:r>
    </w:p>
    <w:p w:rsidR="006F54FB" w:rsidRPr="00BE6FA1" w:rsidRDefault="006F54FB" w:rsidP="003A27DA">
      <w:pPr>
        <w:spacing w:before="240" w:after="0" w:line="360" w:lineRule="auto"/>
        <w:ind w:firstLine="427"/>
        <w:jc w:val="both"/>
        <w:rPr>
          <w:rFonts w:ascii="Times New Roman" w:hAnsi="Times New Roman" w:cs="Times New Roman"/>
          <w:sz w:val="24"/>
          <w:szCs w:val="24"/>
        </w:rPr>
      </w:pPr>
      <w:r w:rsidRPr="00BE6FA1">
        <w:rPr>
          <w:rFonts w:ascii="Times New Roman" w:hAnsi="Times New Roman" w:cs="Times New Roman"/>
          <w:sz w:val="24"/>
          <w:szCs w:val="24"/>
        </w:rPr>
        <w:t>2) pożyczka</w:t>
      </w:r>
    </w:p>
    <w:p w:rsidR="006F54FB" w:rsidRPr="00BE6FA1" w:rsidRDefault="006F54FB" w:rsidP="003A27DA">
      <w:pPr>
        <w:pStyle w:val="Default0"/>
        <w:spacing w:before="240" w:line="360" w:lineRule="auto"/>
        <w:ind w:firstLine="427"/>
        <w:jc w:val="both"/>
        <w:rPr>
          <w:color w:val="auto"/>
        </w:rPr>
      </w:pPr>
      <w:r w:rsidRPr="00BE6FA1">
        <w:rPr>
          <w:color w:val="auto"/>
        </w:rPr>
        <w:t>Maksymalny poziom dofinansowania w formie dotacji ze</w:t>
      </w:r>
      <w:r w:rsidR="00F31AC5" w:rsidRPr="00BE6FA1">
        <w:rPr>
          <w:color w:val="auto"/>
        </w:rPr>
        <w:t xml:space="preserve"> środków GIS wynosi 50% kosztów kwalifikowanych </w:t>
      </w:r>
      <w:r w:rsidRPr="00BE6FA1">
        <w:rPr>
          <w:color w:val="auto"/>
        </w:rPr>
        <w:t>projektu. Maksymalny poziom dofinansowania w formie pożyczki wynosi do 60% kosztów kwalifikowanych, przy czym łączne dofinansowanie w formie dotacji i pożyczki nie może być wyższe niż 95% kosztów kwalifikowanych.</w:t>
      </w:r>
    </w:p>
    <w:p w:rsidR="006F54FB" w:rsidRPr="00BE6FA1" w:rsidRDefault="006F54FB" w:rsidP="003A27DA">
      <w:pPr>
        <w:spacing w:before="240" w:after="0" w:line="360" w:lineRule="auto"/>
        <w:jc w:val="both"/>
        <w:rPr>
          <w:rFonts w:ascii="Times New Roman" w:hAnsi="Times New Roman" w:cs="Times New Roman"/>
          <w:sz w:val="24"/>
          <w:szCs w:val="24"/>
          <w:u w:val="single"/>
        </w:rPr>
      </w:pPr>
      <w:r w:rsidRPr="00BE6FA1">
        <w:rPr>
          <w:rFonts w:ascii="Times New Roman" w:hAnsi="Times New Roman" w:cs="Times New Roman"/>
          <w:sz w:val="24"/>
          <w:szCs w:val="24"/>
          <w:u w:val="single"/>
        </w:rPr>
        <w:t xml:space="preserve">Część 2) Biogazownie rolnicze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Beneficjenci</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ab/>
        <w:t xml:space="preserve">Podmioty (osoby fizyczne, osoby prawne lub jednostki organizacyjne nieposiadające osobowości prawnej, którym ustawa przyznaje zdolność prawną) podejmujące realizację przedsięwzięć w zakresie wytwarzania energii elektrycznej lub cieplnej z wykorzystaniem biogazu powstałego w procesach rozkładu biomasy pochodzenia rolniczego oraz wytwarzania biogazu rolniczego celem wprowadzenia go do sieci gazowej dystrybucyjnej i bezpośredniej.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Rodzaje przedsięwzięć</w:t>
      </w:r>
    </w:p>
    <w:p w:rsidR="006F54FB" w:rsidRPr="00BE6FA1" w:rsidRDefault="006F54FB" w:rsidP="003A27DA">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lastRenderedPageBreak/>
        <w:t>1) budowa, rozbudowa lub przebudowa obiektów wytwarzania energii elektrycznej lub ciepła z wykorzystaniem biogazu rolniczego;</w:t>
      </w:r>
    </w:p>
    <w:p w:rsidR="006F54FB" w:rsidRPr="00BE6FA1" w:rsidRDefault="006F54FB" w:rsidP="003A27DA">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 xml:space="preserve">2) budowa, rozbudowa lub przebudowa instalacji wytwarzania biogazu rolniczego celem wprowadzenia go do sieci gazowej dystrybucyjnej i bezpośredniej.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Program jest wdrażany w latach 2010 </w:t>
      </w:r>
      <w:r w:rsidR="008A241B" w:rsidRPr="00BE6FA1">
        <w:rPr>
          <w:rFonts w:ascii="Times New Roman" w:hAnsi="Times New Roman" w:cs="Times New Roman"/>
          <w:sz w:val="24"/>
          <w:szCs w:val="24"/>
        </w:rPr>
        <w:t>–</w:t>
      </w:r>
      <w:r w:rsidRPr="00BE6FA1">
        <w:rPr>
          <w:rFonts w:ascii="Times New Roman" w:hAnsi="Times New Roman" w:cs="Times New Roman"/>
          <w:sz w:val="24"/>
          <w:szCs w:val="24"/>
        </w:rPr>
        <w:t xml:space="preserve"> 2017.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kwalifikowalności kosztów od 01.01.2010 roku do 31.12.2015 roku. </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Formy dofinansowania </w:t>
      </w:r>
    </w:p>
    <w:p w:rsidR="006F54FB" w:rsidRPr="00BE6FA1" w:rsidRDefault="006F54FB" w:rsidP="003A27DA">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1) dotacja;</w:t>
      </w:r>
    </w:p>
    <w:p w:rsidR="006F54FB" w:rsidRPr="00BE6FA1" w:rsidRDefault="006F54FB" w:rsidP="003A27DA">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2) pożyczka.</w:t>
      </w:r>
    </w:p>
    <w:p w:rsidR="006F54FB" w:rsidRPr="00BE6FA1" w:rsidRDefault="006F54FB" w:rsidP="003A27DA">
      <w:pPr>
        <w:pStyle w:val="Default0"/>
        <w:spacing w:line="360" w:lineRule="auto"/>
        <w:rPr>
          <w:color w:val="auto"/>
        </w:rPr>
      </w:pPr>
      <w:r w:rsidRPr="00BE6FA1">
        <w:rPr>
          <w:color w:val="auto"/>
        </w:rPr>
        <w:t xml:space="preserve">Kwota dotacji: do 30% kosztów kwalifikowanych </w:t>
      </w:r>
    </w:p>
    <w:p w:rsidR="006F54FB" w:rsidRPr="00BE6FA1" w:rsidRDefault="006F54FB" w:rsidP="003A27DA">
      <w:pPr>
        <w:pStyle w:val="Default0"/>
        <w:spacing w:before="240" w:line="360" w:lineRule="auto"/>
        <w:jc w:val="both"/>
        <w:rPr>
          <w:color w:val="auto"/>
        </w:rPr>
      </w:pPr>
      <w:r w:rsidRPr="00BE6FA1">
        <w:rPr>
          <w:color w:val="auto"/>
        </w:rPr>
        <w:t xml:space="preserve">Kwota pożyczki: do 45% kosztów kwalifikowanych </w:t>
      </w:r>
    </w:p>
    <w:p w:rsidR="006F54FB" w:rsidRPr="00BE6FA1" w:rsidRDefault="006F54FB" w:rsidP="003A27DA">
      <w:pPr>
        <w:pStyle w:val="Default0"/>
        <w:spacing w:before="240" w:line="360" w:lineRule="auto"/>
        <w:jc w:val="both"/>
        <w:rPr>
          <w:color w:val="auto"/>
          <w:u w:val="single"/>
        </w:rPr>
      </w:pPr>
      <w:r w:rsidRPr="00BE6FA1">
        <w:rPr>
          <w:color w:val="auto"/>
          <w:u w:val="single"/>
        </w:rPr>
        <w:t xml:space="preserve">Część 3) Elektrociepłownie i ciepłownie na biomasę. </w:t>
      </w:r>
    </w:p>
    <w:p w:rsidR="006F54FB" w:rsidRPr="00BE6FA1" w:rsidRDefault="006F54FB" w:rsidP="003A27DA">
      <w:pPr>
        <w:pStyle w:val="Default0"/>
        <w:spacing w:before="240" w:line="360" w:lineRule="auto"/>
        <w:jc w:val="both"/>
        <w:rPr>
          <w:color w:val="auto"/>
        </w:rPr>
      </w:pPr>
      <w:r w:rsidRPr="00BE6FA1">
        <w:rPr>
          <w:color w:val="auto"/>
        </w:rPr>
        <w:t>Beneficjenci</w:t>
      </w:r>
    </w:p>
    <w:p w:rsidR="006F54FB" w:rsidRPr="00BE6FA1" w:rsidRDefault="006F54FB" w:rsidP="003A27DA">
      <w:pPr>
        <w:pStyle w:val="Default0"/>
        <w:spacing w:before="240" w:line="360" w:lineRule="auto"/>
        <w:ind w:firstLine="454"/>
        <w:jc w:val="both"/>
        <w:rPr>
          <w:color w:val="auto"/>
        </w:rPr>
      </w:pPr>
      <w:r w:rsidRPr="00BE6FA1">
        <w:rPr>
          <w:color w:val="auto"/>
        </w:rPr>
        <w:t xml:space="preserve">1) podmioty (osoby fizyczne, osoby prawne lub jednostki organizacyjne nie posiadające osobowości prawnej, którym ustawa przyznaje zdolność prawną) podejmujące realizację przedsięwzięć w zakresie odnawialnych źródeł energii </w:t>
      </w:r>
      <w:r w:rsidRPr="00BE6FA1">
        <w:rPr>
          <w:color w:val="auto"/>
        </w:rPr>
        <w:br/>
        <w:t xml:space="preserve">i obiektów </w:t>
      </w:r>
      <w:r w:rsidR="00F31AC5" w:rsidRPr="00BE6FA1">
        <w:rPr>
          <w:color w:val="auto"/>
        </w:rPr>
        <w:pgNum/>
      </w:r>
      <w:r w:rsidR="00F31AC5" w:rsidRPr="00BE6FA1">
        <w:rPr>
          <w:color w:val="auto"/>
        </w:rPr>
        <w:t>kogeneracji</w:t>
      </w:r>
      <w:r w:rsidRPr="00BE6FA1">
        <w:rPr>
          <w:color w:val="auto"/>
        </w:rPr>
        <w:t xml:space="preserve"> z zastosowaniem wyłącznie biomasy (źródła rozproszone </w:t>
      </w:r>
      <w:r w:rsidRPr="00BE6FA1">
        <w:rPr>
          <w:color w:val="auto"/>
        </w:rPr>
        <w:br/>
        <w:t>o nominalnej mocy cieplnej poniżej 20 MWt);</w:t>
      </w:r>
    </w:p>
    <w:p w:rsidR="006F54FB" w:rsidRPr="00BE6FA1" w:rsidRDefault="006F54FB" w:rsidP="003A27DA">
      <w:pPr>
        <w:pStyle w:val="Default0"/>
        <w:spacing w:before="240" w:line="360" w:lineRule="auto"/>
        <w:ind w:firstLine="454"/>
        <w:jc w:val="both"/>
        <w:rPr>
          <w:color w:val="auto"/>
        </w:rPr>
      </w:pPr>
      <w:r w:rsidRPr="00BE6FA1">
        <w:rPr>
          <w:color w:val="auto"/>
        </w:rPr>
        <w:t>2) podmiot dominujący oraz spółki handlowe od niego zależne, mogą złożyć w jednym konkursie tylko jeden wniosek o dofinansowanie:</w:t>
      </w:r>
    </w:p>
    <w:p w:rsidR="006F54FB" w:rsidRPr="00BE6FA1" w:rsidRDefault="006F54FB" w:rsidP="003A27DA">
      <w:pPr>
        <w:pStyle w:val="Default0"/>
        <w:spacing w:before="240" w:line="360" w:lineRule="auto"/>
        <w:ind w:left="397" w:firstLine="624"/>
        <w:jc w:val="both"/>
        <w:rPr>
          <w:color w:val="auto"/>
        </w:rPr>
      </w:pPr>
      <w:r w:rsidRPr="00BE6FA1">
        <w:rPr>
          <w:color w:val="auto"/>
        </w:rPr>
        <w:t>a) złożenie wniosku o dofinansowanie przez podmiot dominujący wyklucza złożenie takiego wniosku przez spółki od niego zależne. Złożenie wniosku</w:t>
      </w:r>
      <w:r w:rsidRPr="00BE6FA1">
        <w:rPr>
          <w:color w:val="auto"/>
        </w:rPr>
        <w:br/>
        <w:t xml:space="preserve">o dofinansowanie przez spółkę zależną wyklucza złożenie takiego wniosku przez inną spółkę zależną, która ma ten sam podmiot dominujący, a także przez ten podmiot dominujący, </w:t>
      </w:r>
    </w:p>
    <w:p w:rsidR="006F54FB" w:rsidRPr="00BE6FA1" w:rsidRDefault="006F54FB" w:rsidP="003A27DA">
      <w:pPr>
        <w:pStyle w:val="Default0"/>
        <w:spacing w:before="240" w:line="360" w:lineRule="auto"/>
        <w:ind w:left="397" w:firstLine="624"/>
        <w:jc w:val="both"/>
        <w:rPr>
          <w:color w:val="auto"/>
        </w:rPr>
      </w:pPr>
      <w:r w:rsidRPr="00BE6FA1">
        <w:rPr>
          <w:color w:val="auto"/>
        </w:rPr>
        <w:lastRenderedPageBreak/>
        <w:t xml:space="preserve">b) podmiotem dominującym jest osoba fizyczna, osoba prawna </w:t>
      </w:r>
      <w:r w:rsidRPr="00BE6FA1">
        <w:rPr>
          <w:color w:val="auto"/>
        </w:rPr>
        <w:br/>
        <w:t xml:space="preserve">(z wyłączeniem Skarbu Państwa), jednostka organizacyjna nieposiadająca osobowości prawnej, której ustawa przyznaje zdolność prawną: - który w spółce kapitałowej (spółce zależnej) posiada udziały lub akcje przekraczające 50% lub jest wspólnikiem w spółce osobowej (spółce zależnej), lub </w:t>
      </w:r>
      <w:r w:rsidR="008A241B" w:rsidRPr="00BE6FA1">
        <w:rPr>
          <w:color w:val="auto"/>
        </w:rPr>
        <w:t>–</w:t>
      </w:r>
      <w:r w:rsidRPr="00BE6FA1">
        <w:rPr>
          <w:color w:val="auto"/>
        </w:rPr>
        <w:t xml:space="preserve"> którego członkowie zarządu lub innego równorzędnego organu stanowią więcej niż połowę członków zarządu innej spółki handlowej (spółki zależnej).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c) spółką zależną jest spółka handlowa, co do której zachodzą relacje względem podmiotu dominującego, wskazane w lit. </w:t>
      </w:r>
      <w:r w:rsidR="008A241B" w:rsidRPr="00BE6FA1">
        <w:rPr>
          <w:color w:val="auto"/>
        </w:rPr>
        <w:t>B</w:t>
      </w:r>
      <w:r w:rsidRPr="00BE6FA1">
        <w:rPr>
          <w:color w:val="auto"/>
        </w:rPr>
        <w:t>.</w:t>
      </w:r>
    </w:p>
    <w:p w:rsidR="006F54FB" w:rsidRPr="00BE6FA1" w:rsidRDefault="006F54FB" w:rsidP="003A27DA">
      <w:pPr>
        <w:pStyle w:val="Default0"/>
        <w:spacing w:before="240" w:line="360" w:lineRule="auto"/>
        <w:jc w:val="both"/>
        <w:rPr>
          <w:color w:val="auto"/>
        </w:rPr>
      </w:pPr>
      <w:r w:rsidRPr="00BE6FA1">
        <w:rPr>
          <w:color w:val="auto"/>
        </w:rPr>
        <w:t>Rodzaje przedsięwzięć</w:t>
      </w:r>
    </w:p>
    <w:p w:rsidR="003F7AC9" w:rsidRPr="00BE6FA1" w:rsidRDefault="003F7AC9" w:rsidP="003F7AC9">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Rodzaje przedsięwzięć</w:t>
      </w:r>
    </w:p>
    <w:p w:rsidR="003F7AC9" w:rsidRPr="00BE6FA1" w:rsidRDefault="003F7AC9" w:rsidP="003F7AC9">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1) budowa, rozbudowa lub przebudowa obiektów wytwarzania energii elektrycznej lub ciepła z wykorzystaniem biogazu rolniczego;</w:t>
      </w:r>
    </w:p>
    <w:p w:rsidR="003F7AC9" w:rsidRPr="00BE6FA1" w:rsidRDefault="003F7AC9" w:rsidP="003F7AC9">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 xml:space="preserve">2) budowa, rozbudowa lub przebudowa instalacji wytwarzania biogazu rolniczego celem wprowadzenia go do sieci gazowej dystrybucyjnej i bezpośredniej. </w:t>
      </w:r>
    </w:p>
    <w:p w:rsidR="003F7AC9" w:rsidRPr="00BE6FA1" w:rsidRDefault="003F7AC9" w:rsidP="003F7AC9">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Program jest wdrażany w latach 2010 - 2017. </w:t>
      </w:r>
    </w:p>
    <w:p w:rsidR="003F7AC9" w:rsidRPr="00BE6FA1" w:rsidRDefault="003F7AC9" w:rsidP="003F7AC9">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kwalifikowalności kosztów od 01.01.2010 roku do 31.12.2015 roku. </w:t>
      </w:r>
    </w:p>
    <w:p w:rsidR="003F7AC9" w:rsidRPr="00BE6FA1" w:rsidRDefault="003F7AC9" w:rsidP="003F7AC9">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Formy dofinansowania </w:t>
      </w:r>
    </w:p>
    <w:p w:rsidR="003F7AC9" w:rsidRPr="00BE6FA1" w:rsidRDefault="003F7AC9" w:rsidP="003F7AC9">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1) dotacja;</w:t>
      </w:r>
    </w:p>
    <w:p w:rsidR="003F7AC9" w:rsidRPr="00BE6FA1" w:rsidRDefault="003F7AC9" w:rsidP="003F7AC9">
      <w:pPr>
        <w:spacing w:before="240" w:after="0" w:line="360" w:lineRule="auto"/>
        <w:ind w:firstLine="454"/>
        <w:jc w:val="both"/>
        <w:rPr>
          <w:rFonts w:ascii="Times New Roman" w:hAnsi="Times New Roman" w:cs="Times New Roman"/>
          <w:sz w:val="24"/>
          <w:szCs w:val="24"/>
        </w:rPr>
      </w:pPr>
      <w:r w:rsidRPr="00BE6FA1">
        <w:rPr>
          <w:rFonts w:ascii="Times New Roman" w:hAnsi="Times New Roman" w:cs="Times New Roman"/>
          <w:sz w:val="24"/>
          <w:szCs w:val="24"/>
        </w:rPr>
        <w:t>2) pożyczka.</w:t>
      </w:r>
    </w:p>
    <w:p w:rsidR="003F7AC9" w:rsidRPr="00BE6FA1" w:rsidRDefault="003F7AC9" w:rsidP="003F7AC9">
      <w:pPr>
        <w:pStyle w:val="Default0"/>
        <w:spacing w:line="360" w:lineRule="auto"/>
        <w:rPr>
          <w:color w:val="auto"/>
        </w:rPr>
      </w:pPr>
      <w:r w:rsidRPr="00BE6FA1">
        <w:rPr>
          <w:color w:val="auto"/>
        </w:rPr>
        <w:t xml:space="preserve">Kwota dotacji: do 30% kosztów kwalifikowanych </w:t>
      </w:r>
    </w:p>
    <w:p w:rsidR="003F7AC9" w:rsidRPr="00BE6FA1" w:rsidRDefault="003F7AC9" w:rsidP="003F7AC9">
      <w:pPr>
        <w:pStyle w:val="Default0"/>
        <w:spacing w:before="240" w:line="360" w:lineRule="auto"/>
        <w:jc w:val="both"/>
        <w:rPr>
          <w:color w:val="auto"/>
        </w:rPr>
      </w:pPr>
      <w:r w:rsidRPr="00BE6FA1">
        <w:rPr>
          <w:color w:val="auto"/>
        </w:rPr>
        <w:t xml:space="preserve">Kwota pożyczki: do 45% kosztów kwalifikowanych </w:t>
      </w:r>
    </w:p>
    <w:p w:rsidR="003F7AC9" w:rsidRPr="00BE6FA1" w:rsidRDefault="003F7AC9" w:rsidP="003A27DA">
      <w:pPr>
        <w:pStyle w:val="Default0"/>
        <w:spacing w:before="240" w:line="360" w:lineRule="auto"/>
        <w:jc w:val="both"/>
        <w:rPr>
          <w:color w:val="auto"/>
        </w:rPr>
      </w:pPr>
    </w:p>
    <w:p w:rsidR="006F54FB" w:rsidRPr="00BE6FA1" w:rsidRDefault="006F54FB" w:rsidP="003F7AC9">
      <w:pPr>
        <w:pStyle w:val="Default0"/>
        <w:spacing w:before="240" w:line="360" w:lineRule="auto"/>
        <w:jc w:val="both"/>
        <w:rPr>
          <w:color w:val="auto"/>
        </w:rPr>
      </w:pPr>
    </w:p>
    <w:p w:rsidR="006F54FB" w:rsidRPr="00BE6FA1" w:rsidRDefault="006F54FB" w:rsidP="003A27DA">
      <w:pPr>
        <w:pStyle w:val="Default0"/>
        <w:spacing w:before="240" w:line="360" w:lineRule="auto"/>
        <w:jc w:val="both"/>
        <w:rPr>
          <w:color w:val="auto"/>
          <w:u w:val="single"/>
        </w:rPr>
      </w:pPr>
      <w:r w:rsidRPr="00BE6FA1">
        <w:rPr>
          <w:color w:val="auto"/>
          <w:u w:val="single"/>
        </w:rPr>
        <w:t xml:space="preserve">Część 4) Budowa, rozbudowa i przebudowa sieci elektroenergetycznych w celu umożliwienia przyłączenia źródeł wytwórczych energetyki wiatrowej (OZE). </w:t>
      </w:r>
    </w:p>
    <w:p w:rsidR="006F54FB" w:rsidRPr="00BE6FA1" w:rsidRDefault="006F54FB" w:rsidP="003A27DA">
      <w:pPr>
        <w:pStyle w:val="Default0"/>
        <w:spacing w:before="240" w:line="360" w:lineRule="auto"/>
        <w:jc w:val="both"/>
        <w:rPr>
          <w:color w:val="auto"/>
        </w:rPr>
      </w:pPr>
      <w:r w:rsidRPr="00BE6FA1">
        <w:rPr>
          <w:color w:val="auto"/>
        </w:rPr>
        <w:lastRenderedPageBreak/>
        <w:t>Beneficjenci</w:t>
      </w:r>
    </w:p>
    <w:p w:rsidR="006F54FB" w:rsidRPr="00BE6FA1" w:rsidRDefault="006F54FB" w:rsidP="003A27DA">
      <w:pPr>
        <w:pStyle w:val="Default0"/>
        <w:spacing w:before="240" w:line="360" w:lineRule="auto"/>
        <w:jc w:val="both"/>
        <w:rPr>
          <w:color w:val="auto"/>
        </w:rPr>
      </w:pPr>
      <w:r w:rsidRPr="00BE6FA1">
        <w:rPr>
          <w:color w:val="auto"/>
        </w:rPr>
        <w:tab/>
        <w:t xml:space="preserve">Wytwórcy energii elektrycznej oraz operatorzy sieci i inne podmioty, takie jak inwestorzy farm wiatrowych, podejmujące realizację przedsięwzięć w zakresie efektywnego przesyłu i dystrybucji energii elektrycznej umożliwiającej przyłączenie podmiotów wytwarzających energię elektryczną z energetyki wiatrowej (OZE) do KSE. </w:t>
      </w:r>
    </w:p>
    <w:p w:rsidR="006F54FB" w:rsidRPr="00BE6FA1" w:rsidRDefault="006F54FB" w:rsidP="003A27DA">
      <w:pPr>
        <w:pStyle w:val="Default0"/>
        <w:spacing w:before="240" w:line="360" w:lineRule="auto"/>
        <w:jc w:val="both"/>
        <w:rPr>
          <w:color w:val="auto"/>
        </w:rPr>
      </w:pPr>
      <w:r w:rsidRPr="00BE6FA1">
        <w:rPr>
          <w:color w:val="auto"/>
        </w:rPr>
        <w:t>Rodzaje przedsięwzięć</w:t>
      </w:r>
    </w:p>
    <w:p w:rsidR="006F54FB" w:rsidRPr="00BE6FA1" w:rsidRDefault="006F54FB" w:rsidP="003A27DA">
      <w:pPr>
        <w:pStyle w:val="Default0"/>
        <w:spacing w:before="240" w:line="360" w:lineRule="auto"/>
        <w:ind w:firstLine="510"/>
        <w:jc w:val="both"/>
        <w:rPr>
          <w:color w:val="auto"/>
        </w:rPr>
      </w:pPr>
      <w:r w:rsidRPr="00BE6FA1">
        <w:rPr>
          <w:color w:val="auto"/>
        </w:rPr>
        <w:t>1) przedsięwzięcia dotyczące budowy, rozbudowy lub przebudowy sieci elektroenergetycznej w celu umożliwienia przyłączenia do KSE źródeł wytwórczych wytwarzających energię elektryczną z energetyki wiatrowej (OZE), w tym realizacja następujących zadań:</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a) zapewnienie przyłączy dla źródeł wytwórczych energetyki wiatrowej (OZE) (transformator, odcinek linii od źródła energii do punktu przyłączeniowego do KSE);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b) rozbudowa jednostek rozdzielnicy mocy 110 </w:t>
      </w:r>
      <w:r w:rsidR="008A241B" w:rsidRPr="00BE6FA1">
        <w:rPr>
          <w:color w:val="auto"/>
        </w:rPr>
        <w:t>Kv</w:t>
      </w:r>
      <w:r w:rsidRPr="00BE6FA1">
        <w:rPr>
          <w:color w:val="auto"/>
        </w:rPr>
        <w:t xml:space="preserve">/SN poprzez dodatkowe pola (pola liniowe, pola transformatorowe, pola łączników szyn, pola sprzęgła, pola pomiarowe, pola potrzeb własnych, pola odgromnikowe i inne) z przyłączami, ogólna poprawa systemu nadzoru i sterowania (w tym monitoring);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c) rozbudowa sieci 110 </w:t>
      </w:r>
      <w:r w:rsidR="008A241B" w:rsidRPr="00BE6FA1">
        <w:rPr>
          <w:color w:val="auto"/>
        </w:rPr>
        <w:t>Kv</w:t>
      </w:r>
      <w:r w:rsidRPr="00BE6FA1">
        <w:rPr>
          <w:color w:val="auto"/>
        </w:rPr>
        <w:t>/SN – linie napowietrzne/kablowe lub zwiększenie przepustowości istniejących linii poprzez zmianę przekrojów przewodów roboczych</w:t>
      </w:r>
      <w:r w:rsidRPr="00BE6FA1">
        <w:rPr>
          <w:color w:val="auto"/>
        </w:rPr>
        <w:br/>
        <w:t>i dodanie dodatkowego obwodu;</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d) połączenie między stacjami transformatorowo-rozdzielczymi 110 </w:t>
      </w:r>
      <w:r w:rsidR="008A241B" w:rsidRPr="00BE6FA1">
        <w:rPr>
          <w:color w:val="auto"/>
        </w:rPr>
        <w:t>Kv</w:t>
      </w:r>
      <w:r w:rsidRPr="00BE6FA1">
        <w:rPr>
          <w:color w:val="auto"/>
        </w:rPr>
        <w:t xml:space="preserve">/SN oraz pomiędzy nimi, a siecią przesyłową (220 </w:t>
      </w:r>
      <w:r w:rsidR="008A241B" w:rsidRPr="00BE6FA1">
        <w:rPr>
          <w:color w:val="auto"/>
        </w:rPr>
        <w:t>Kv</w:t>
      </w:r>
      <w:r w:rsidRPr="00BE6FA1">
        <w:rPr>
          <w:color w:val="auto"/>
        </w:rPr>
        <w:t xml:space="preserve"> lub 400 </w:t>
      </w:r>
      <w:r w:rsidR="008A241B" w:rsidRPr="00BE6FA1">
        <w:rPr>
          <w:color w:val="auto"/>
        </w:rPr>
        <w:t>Kv</w:t>
      </w:r>
      <w:r w:rsidRPr="00BE6FA1">
        <w:rPr>
          <w:color w:val="auto"/>
        </w:rPr>
        <w:t>);</w:t>
      </w:r>
    </w:p>
    <w:p w:rsidR="006F54FB" w:rsidRPr="00BE6FA1" w:rsidRDefault="006F54FB" w:rsidP="003A27DA">
      <w:pPr>
        <w:pStyle w:val="Default0"/>
        <w:spacing w:before="240" w:line="360" w:lineRule="auto"/>
        <w:ind w:left="397" w:firstLine="624"/>
        <w:jc w:val="both"/>
        <w:rPr>
          <w:color w:val="auto"/>
        </w:rPr>
      </w:pPr>
      <w:r w:rsidRPr="00BE6FA1">
        <w:rPr>
          <w:color w:val="auto"/>
        </w:rPr>
        <w:t>e) budowa nowych odcinków sieci napowietrznej i sieci kablowych;</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f) budowa nowej w pełni wyposażonej stacji transformatorowo-rozdzielczej </w:t>
      </w:r>
      <w:r w:rsidR="0071247C" w:rsidRPr="00BE6FA1">
        <w:rPr>
          <w:color w:val="auto"/>
        </w:rPr>
        <w:br/>
      </w:r>
      <w:r w:rsidRPr="00BE6FA1">
        <w:rPr>
          <w:color w:val="auto"/>
        </w:rPr>
        <w:t xml:space="preserve">110 </w:t>
      </w:r>
      <w:r w:rsidR="008A241B" w:rsidRPr="00BE6FA1">
        <w:rPr>
          <w:color w:val="auto"/>
        </w:rPr>
        <w:t>Kv</w:t>
      </w:r>
      <w:r w:rsidRPr="00BE6FA1">
        <w:rPr>
          <w:color w:val="auto"/>
        </w:rPr>
        <w:t xml:space="preserve">/SN;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g) budowa rezerwowych źródeł energii elektrycznej celem ustabilizowania sieci zasilanych okresowo z odnawialnych źródeł energii; </w:t>
      </w:r>
    </w:p>
    <w:p w:rsidR="006F54FB" w:rsidRPr="00BE6FA1" w:rsidRDefault="006F54FB" w:rsidP="003A27DA">
      <w:pPr>
        <w:pStyle w:val="Default0"/>
        <w:spacing w:before="240" w:line="360" w:lineRule="auto"/>
        <w:ind w:left="397" w:firstLine="624"/>
        <w:jc w:val="both"/>
        <w:rPr>
          <w:color w:val="auto"/>
        </w:rPr>
      </w:pPr>
      <w:r w:rsidRPr="00BE6FA1">
        <w:rPr>
          <w:color w:val="auto"/>
        </w:rPr>
        <w:lastRenderedPageBreak/>
        <w:t xml:space="preserve">h) modernizacja sieci polegająca na zwiększeniu dopuszczalnej temperatury pracy linii przesyłowej, np. poprzez podwyższenie przebiegu linii przesyłowej lub poprzez dodatkową izolację. </w:t>
      </w:r>
    </w:p>
    <w:p w:rsidR="006F54FB" w:rsidRPr="00BE6FA1" w:rsidRDefault="006F54FB" w:rsidP="003A27DA">
      <w:pPr>
        <w:pStyle w:val="Default0"/>
        <w:spacing w:before="240" w:line="360" w:lineRule="auto"/>
        <w:jc w:val="both"/>
        <w:rPr>
          <w:color w:val="auto"/>
        </w:rPr>
      </w:pPr>
      <w:r w:rsidRPr="00BE6FA1">
        <w:rPr>
          <w:color w:val="auto"/>
        </w:rPr>
        <w:t>2) w okresie trwałości przedsięwzięcia, Wnioskodawca zachowa na własnym majątku wytworzone w wyniku realizacji wyżej opisanych działań środki trwałe, na które zostanie udzielone dofinansowanie.</w:t>
      </w:r>
    </w:p>
    <w:p w:rsidR="006F54FB" w:rsidRPr="00BE6FA1" w:rsidRDefault="006F54FB" w:rsidP="003A27DA">
      <w:pPr>
        <w:pStyle w:val="Default0"/>
        <w:spacing w:before="240" w:line="360" w:lineRule="auto"/>
        <w:jc w:val="both"/>
        <w:rPr>
          <w:color w:val="auto"/>
        </w:rPr>
      </w:pPr>
      <w:r w:rsidRPr="00BE6FA1">
        <w:rPr>
          <w:color w:val="auto"/>
        </w:rPr>
        <w:t xml:space="preserve">Program jest wdrażany w latach 2010 – 2020. </w:t>
      </w:r>
    </w:p>
    <w:p w:rsidR="006F54FB" w:rsidRPr="00BE6FA1" w:rsidRDefault="006F54FB" w:rsidP="003A27DA">
      <w:pPr>
        <w:pStyle w:val="Default0"/>
        <w:spacing w:before="240" w:line="360" w:lineRule="auto"/>
        <w:jc w:val="both"/>
        <w:rPr>
          <w:color w:val="auto"/>
        </w:rPr>
      </w:pPr>
      <w:r w:rsidRPr="00BE6FA1">
        <w:rPr>
          <w:color w:val="auto"/>
        </w:rPr>
        <w:t>Okres kwalifikowalności kosztów od 01.01.2010 roku do 30.09.2016 roku.</w:t>
      </w:r>
    </w:p>
    <w:p w:rsidR="006F54FB" w:rsidRPr="00BE6FA1" w:rsidRDefault="006F54FB" w:rsidP="003A27DA">
      <w:pPr>
        <w:pStyle w:val="Default0"/>
        <w:spacing w:before="240" w:line="360" w:lineRule="auto"/>
        <w:jc w:val="both"/>
        <w:rPr>
          <w:color w:val="auto"/>
        </w:rPr>
      </w:pPr>
      <w:r w:rsidRPr="00BE6FA1">
        <w:rPr>
          <w:color w:val="auto"/>
        </w:rPr>
        <w:t>Formy dofinansowania</w:t>
      </w:r>
    </w:p>
    <w:p w:rsidR="006F54FB" w:rsidRPr="00BE6FA1" w:rsidRDefault="006F54FB" w:rsidP="003A27DA">
      <w:pPr>
        <w:pStyle w:val="Default0"/>
        <w:spacing w:before="240" w:line="360" w:lineRule="auto"/>
        <w:jc w:val="both"/>
        <w:rPr>
          <w:color w:val="auto"/>
        </w:rPr>
      </w:pPr>
      <w:r w:rsidRPr="00BE6FA1">
        <w:rPr>
          <w:color w:val="auto"/>
        </w:rPr>
        <w:t xml:space="preserve">Dotacja. </w:t>
      </w:r>
    </w:p>
    <w:p w:rsidR="006F54FB" w:rsidRPr="00BE6FA1" w:rsidRDefault="006F54FB" w:rsidP="003A27DA">
      <w:pPr>
        <w:pStyle w:val="Default0"/>
        <w:spacing w:before="240" w:line="360" w:lineRule="auto"/>
        <w:jc w:val="both"/>
        <w:rPr>
          <w:color w:val="auto"/>
        </w:rPr>
      </w:pPr>
      <w:r w:rsidRPr="00BE6FA1">
        <w:rPr>
          <w:color w:val="auto"/>
        </w:rPr>
        <w:tab/>
        <w:t xml:space="preserve">Intensywność pomocy liczona jest z uwzględnieniem łącznej wartości pomocy publicznej ze wszystkich źródeł przewidzianych w montażu finansowym dla danego przedsięwzięcia i nie może przekroczyć dopuszczalnej intensywności pomocy publicznej określonej w przepisach rozporządzenia w sprawie pomocy regionalnej. </w:t>
      </w:r>
    </w:p>
    <w:p w:rsidR="006F54FB" w:rsidRPr="00BE6FA1" w:rsidRDefault="006F54FB" w:rsidP="003A27DA">
      <w:pPr>
        <w:pStyle w:val="Default0"/>
        <w:spacing w:before="240" w:line="360" w:lineRule="auto"/>
        <w:jc w:val="both"/>
        <w:rPr>
          <w:color w:val="auto"/>
          <w:u w:val="single"/>
        </w:rPr>
      </w:pPr>
      <w:r w:rsidRPr="00BE6FA1">
        <w:rPr>
          <w:color w:val="auto"/>
          <w:u w:val="single"/>
        </w:rPr>
        <w:t xml:space="preserve">Część 5) Zarządzanie energią w budynkach wybranych podmiotów sektora finansów publicznych. </w:t>
      </w:r>
    </w:p>
    <w:p w:rsidR="006F54FB" w:rsidRPr="00BE6FA1" w:rsidRDefault="006F54FB" w:rsidP="003A27DA">
      <w:pPr>
        <w:pStyle w:val="Default0"/>
        <w:spacing w:before="240" w:line="360" w:lineRule="auto"/>
        <w:jc w:val="both"/>
        <w:rPr>
          <w:color w:val="auto"/>
        </w:rPr>
      </w:pPr>
      <w:r w:rsidRPr="00BE6FA1">
        <w:rPr>
          <w:color w:val="auto"/>
        </w:rPr>
        <w:t>Beneficjenci</w:t>
      </w:r>
    </w:p>
    <w:p w:rsidR="006F54FB" w:rsidRPr="00BE6FA1" w:rsidRDefault="006F54FB" w:rsidP="003A27DA">
      <w:pPr>
        <w:pStyle w:val="Default0"/>
        <w:spacing w:before="240" w:line="360" w:lineRule="auto"/>
        <w:ind w:firstLine="454"/>
        <w:jc w:val="both"/>
        <w:rPr>
          <w:color w:val="auto"/>
        </w:rPr>
      </w:pPr>
      <w:r w:rsidRPr="00BE6FA1">
        <w:rPr>
          <w:color w:val="auto"/>
        </w:rPr>
        <w:t>1) Polska Akademia Nauk oraz utworzone przez nią instytuty naukowe;</w:t>
      </w:r>
    </w:p>
    <w:p w:rsidR="006F54FB" w:rsidRPr="00BE6FA1" w:rsidRDefault="006F54FB" w:rsidP="003A27DA">
      <w:pPr>
        <w:pStyle w:val="Default0"/>
        <w:spacing w:before="240" w:line="360" w:lineRule="auto"/>
        <w:ind w:firstLine="454"/>
        <w:jc w:val="both"/>
        <w:rPr>
          <w:color w:val="auto"/>
        </w:rPr>
      </w:pPr>
      <w:r w:rsidRPr="00BE6FA1">
        <w:rPr>
          <w:color w:val="auto"/>
        </w:rPr>
        <w:t>2) państwowe instytucje kultury;</w:t>
      </w:r>
    </w:p>
    <w:p w:rsidR="006F54FB" w:rsidRPr="00BE6FA1" w:rsidRDefault="006F54FB" w:rsidP="003A27DA">
      <w:pPr>
        <w:pStyle w:val="Default0"/>
        <w:spacing w:before="240" w:line="360" w:lineRule="auto"/>
        <w:ind w:firstLine="454"/>
        <w:jc w:val="both"/>
        <w:rPr>
          <w:color w:val="auto"/>
        </w:rPr>
      </w:pPr>
      <w:r w:rsidRPr="00BE6FA1">
        <w:rPr>
          <w:color w:val="auto"/>
        </w:rPr>
        <w:t>3) samorządowe instytucje kultury działające w oparciu o ustawę o organizowaniu</w:t>
      </w:r>
      <w:r w:rsidRPr="00BE6FA1">
        <w:rPr>
          <w:color w:val="auto"/>
        </w:rPr>
        <w:br/>
        <w:t>i prowadzeniu działalności kulturalnej;</w:t>
      </w:r>
    </w:p>
    <w:p w:rsidR="006F54FB" w:rsidRPr="00BE6FA1" w:rsidRDefault="006F54FB" w:rsidP="003A27DA">
      <w:pPr>
        <w:pStyle w:val="Default0"/>
        <w:spacing w:before="240" w:line="360" w:lineRule="auto"/>
        <w:ind w:firstLine="454"/>
        <w:jc w:val="both"/>
        <w:rPr>
          <w:color w:val="auto"/>
        </w:rPr>
      </w:pPr>
      <w:r w:rsidRPr="00BE6FA1">
        <w:rPr>
          <w:color w:val="auto"/>
        </w:rPr>
        <w:t>4) instytucje gospodarki budżetowej;</w:t>
      </w:r>
    </w:p>
    <w:p w:rsidR="006F54FB" w:rsidRPr="00BE6FA1" w:rsidRDefault="006F54FB" w:rsidP="003A27DA">
      <w:pPr>
        <w:pStyle w:val="Default0"/>
        <w:spacing w:before="240" w:line="360" w:lineRule="auto"/>
        <w:ind w:firstLine="454"/>
        <w:jc w:val="both"/>
        <w:rPr>
          <w:color w:val="auto"/>
        </w:rPr>
      </w:pPr>
      <w:r w:rsidRPr="00BE6FA1">
        <w:rPr>
          <w:color w:val="auto"/>
        </w:rPr>
        <w:t>5) komendy powiatowe i miejskie państwowej straży pożarnej.</w:t>
      </w:r>
    </w:p>
    <w:p w:rsidR="006F54FB" w:rsidRPr="00BE6FA1" w:rsidRDefault="006F54FB" w:rsidP="003A27DA">
      <w:pPr>
        <w:pStyle w:val="Default0"/>
        <w:spacing w:before="240" w:line="360" w:lineRule="auto"/>
        <w:jc w:val="both"/>
        <w:rPr>
          <w:color w:val="auto"/>
        </w:rPr>
      </w:pPr>
      <w:r w:rsidRPr="00BE6FA1">
        <w:rPr>
          <w:color w:val="auto"/>
        </w:rPr>
        <w:t>Rodzaje przedsięwzięć</w:t>
      </w:r>
    </w:p>
    <w:p w:rsidR="006F54FB" w:rsidRPr="00BE6FA1" w:rsidRDefault="006F54FB" w:rsidP="003A27DA">
      <w:pPr>
        <w:pStyle w:val="Default0"/>
        <w:spacing w:before="240" w:line="360" w:lineRule="auto"/>
        <w:ind w:firstLine="454"/>
        <w:jc w:val="both"/>
        <w:rPr>
          <w:color w:val="auto"/>
        </w:rPr>
      </w:pPr>
      <w:r w:rsidRPr="00BE6FA1">
        <w:rPr>
          <w:color w:val="auto"/>
        </w:rPr>
        <w:lastRenderedPageBreak/>
        <w:t xml:space="preserve">1) Termomodernizacja budynków, w tym zmiany wyposażenia obiektów w urządzenia </w:t>
      </w:r>
      <w:r w:rsidR="0071247C" w:rsidRPr="00BE6FA1">
        <w:rPr>
          <w:color w:val="auto"/>
        </w:rPr>
        <w:br/>
      </w:r>
      <w:r w:rsidRPr="00BE6FA1">
        <w:rPr>
          <w:color w:val="auto"/>
        </w:rPr>
        <w:t>o najwyższych, uzasadnionych ekonomicznie standardach efektywności energetycznej związanych bezpośrednio z prowadzoną termomodernizacją obiektów w szczególności:</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a) ocieplenie obiektu,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b) wymiana okien, </w:t>
      </w:r>
    </w:p>
    <w:p w:rsidR="006F54FB" w:rsidRPr="00BE6FA1" w:rsidRDefault="006F54FB" w:rsidP="003A27DA">
      <w:pPr>
        <w:pStyle w:val="Default0"/>
        <w:spacing w:before="240" w:line="360" w:lineRule="auto"/>
        <w:ind w:left="397" w:firstLine="624"/>
        <w:jc w:val="both"/>
        <w:rPr>
          <w:color w:val="auto"/>
        </w:rPr>
      </w:pPr>
      <w:r w:rsidRPr="00BE6FA1">
        <w:rPr>
          <w:color w:val="auto"/>
        </w:rPr>
        <w:t>c) wymiana drzwi zewnętrznych,</w:t>
      </w:r>
    </w:p>
    <w:p w:rsidR="006F54FB" w:rsidRPr="00BE6FA1" w:rsidRDefault="006F54FB" w:rsidP="003A27DA">
      <w:pPr>
        <w:pStyle w:val="Default0"/>
        <w:spacing w:before="240" w:line="360" w:lineRule="auto"/>
        <w:ind w:left="397" w:firstLine="624"/>
        <w:jc w:val="both"/>
        <w:rPr>
          <w:color w:val="auto"/>
        </w:rPr>
      </w:pPr>
      <w:r w:rsidRPr="00BE6FA1">
        <w:rPr>
          <w:color w:val="auto"/>
        </w:rPr>
        <w:t>d) przebudowa systemów grzewczych (wraz z wymianą źródła ciepła),</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e) wymiana systemów wentylacji i klimatyzacji,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f) przygotowanie dokumentacji technicznej dla przedsięwzięcia,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g) zastosowanie systemów zarządzania energią w budynkach, </w:t>
      </w:r>
    </w:p>
    <w:p w:rsidR="006F54FB" w:rsidRPr="00BE6FA1" w:rsidRDefault="006F54FB" w:rsidP="003A27DA">
      <w:pPr>
        <w:pStyle w:val="Default0"/>
        <w:spacing w:before="240" w:line="360" w:lineRule="auto"/>
        <w:ind w:left="397" w:firstLine="624"/>
        <w:jc w:val="both"/>
        <w:rPr>
          <w:color w:val="auto"/>
        </w:rPr>
      </w:pPr>
      <w:r w:rsidRPr="00BE6FA1">
        <w:rPr>
          <w:color w:val="auto"/>
        </w:rPr>
        <w:t xml:space="preserve">h) wykorzystanie technologii odnawialnych źródeł energii;  </w:t>
      </w:r>
    </w:p>
    <w:p w:rsidR="006F54FB" w:rsidRPr="00BE6FA1" w:rsidRDefault="006F54FB" w:rsidP="003A27DA">
      <w:pPr>
        <w:pStyle w:val="Default0"/>
        <w:spacing w:before="240" w:line="360" w:lineRule="auto"/>
        <w:ind w:firstLine="454"/>
        <w:jc w:val="both"/>
        <w:rPr>
          <w:color w:val="auto"/>
        </w:rPr>
      </w:pPr>
      <w:r w:rsidRPr="00BE6FA1">
        <w:rPr>
          <w:color w:val="auto"/>
        </w:rPr>
        <w:t>2) Wymiana oświetlenia wewnętrznego na energooszczędne, (jako dodatkowe zadania realizowane równolegle z termomodernizacją obiektów).</w:t>
      </w:r>
    </w:p>
    <w:p w:rsidR="006F54FB" w:rsidRPr="00BE6FA1" w:rsidRDefault="006F54FB" w:rsidP="003A27DA">
      <w:pPr>
        <w:pStyle w:val="Default0"/>
        <w:spacing w:before="240" w:line="360" w:lineRule="auto"/>
        <w:jc w:val="both"/>
        <w:rPr>
          <w:color w:val="auto"/>
        </w:rPr>
      </w:pPr>
      <w:r w:rsidRPr="00BE6FA1">
        <w:rPr>
          <w:color w:val="auto"/>
        </w:rPr>
        <w:t xml:space="preserve">Program jest wdrażany w latach 2010 – 2016. </w:t>
      </w:r>
    </w:p>
    <w:p w:rsidR="006F54FB" w:rsidRPr="00BE6FA1" w:rsidRDefault="006F54FB" w:rsidP="003A27DA">
      <w:pPr>
        <w:pStyle w:val="Default0"/>
        <w:spacing w:before="240" w:line="360" w:lineRule="auto"/>
        <w:jc w:val="both"/>
        <w:rPr>
          <w:color w:val="auto"/>
        </w:rPr>
      </w:pPr>
      <w:r w:rsidRPr="00BE6FA1">
        <w:rPr>
          <w:color w:val="auto"/>
        </w:rPr>
        <w:t>Okres kwalifikowalności kosztów od 01.01.2010 roku do 31.12.2016 roku.</w:t>
      </w:r>
    </w:p>
    <w:p w:rsidR="006F54FB" w:rsidRPr="00BE6FA1" w:rsidRDefault="006F54FB" w:rsidP="003A27DA">
      <w:pPr>
        <w:pStyle w:val="Default0"/>
        <w:spacing w:before="240" w:line="360" w:lineRule="auto"/>
        <w:jc w:val="both"/>
        <w:rPr>
          <w:color w:val="auto"/>
        </w:rPr>
      </w:pPr>
      <w:r w:rsidRPr="00BE6FA1">
        <w:rPr>
          <w:color w:val="auto"/>
        </w:rPr>
        <w:t xml:space="preserve">Formy dofinansowania </w:t>
      </w:r>
    </w:p>
    <w:p w:rsidR="006F54FB" w:rsidRPr="00BE6FA1" w:rsidRDefault="006F54FB" w:rsidP="003A27DA">
      <w:pPr>
        <w:pStyle w:val="Default0"/>
        <w:spacing w:before="240" w:line="360" w:lineRule="auto"/>
        <w:jc w:val="both"/>
        <w:rPr>
          <w:color w:val="auto"/>
        </w:rPr>
      </w:pPr>
      <w:r w:rsidRPr="00BE6FA1">
        <w:rPr>
          <w:color w:val="auto"/>
        </w:rPr>
        <w:t xml:space="preserve">Dotacja. </w:t>
      </w:r>
    </w:p>
    <w:p w:rsidR="006F54FB" w:rsidRPr="00BE6FA1" w:rsidRDefault="006F54FB" w:rsidP="003A27DA">
      <w:pPr>
        <w:pStyle w:val="Default0"/>
        <w:spacing w:before="240" w:line="360" w:lineRule="auto"/>
        <w:jc w:val="both"/>
        <w:rPr>
          <w:color w:val="auto"/>
        </w:rPr>
      </w:pPr>
      <w:r w:rsidRPr="00BE6FA1">
        <w:rPr>
          <w:color w:val="auto"/>
        </w:rPr>
        <w:t xml:space="preserve">Maksymalny dopuszczalny limit dofinansowania: do 100% kosztów kwalifikowanych. </w:t>
      </w:r>
    </w:p>
    <w:p w:rsidR="006F54FB" w:rsidRPr="00BE6FA1" w:rsidRDefault="006F54FB" w:rsidP="003A27DA">
      <w:pPr>
        <w:pStyle w:val="Default0"/>
        <w:spacing w:before="240" w:line="360" w:lineRule="auto"/>
        <w:jc w:val="both"/>
        <w:rPr>
          <w:color w:val="auto"/>
          <w:u w:val="single"/>
        </w:rPr>
      </w:pPr>
      <w:r w:rsidRPr="00BE6FA1">
        <w:rPr>
          <w:color w:val="auto"/>
          <w:u w:val="single"/>
        </w:rPr>
        <w:t xml:space="preserve">Część 6) SOWA – Energooszczędne oświetlenie uliczne. </w:t>
      </w:r>
    </w:p>
    <w:p w:rsidR="006F54FB" w:rsidRPr="00BE6FA1" w:rsidRDefault="006F54FB" w:rsidP="003A27DA">
      <w:pPr>
        <w:pStyle w:val="Default0"/>
        <w:spacing w:before="240" w:line="360" w:lineRule="auto"/>
        <w:jc w:val="both"/>
        <w:rPr>
          <w:color w:val="auto"/>
        </w:rPr>
      </w:pPr>
      <w:r w:rsidRPr="00BE6FA1">
        <w:rPr>
          <w:color w:val="auto"/>
        </w:rPr>
        <w:t>Beneficjenci</w:t>
      </w:r>
    </w:p>
    <w:p w:rsidR="006F54FB" w:rsidRPr="00BE6FA1" w:rsidRDefault="006F54FB" w:rsidP="003A27DA">
      <w:pPr>
        <w:pStyle w:val="Default0"/>
        <w:spacing w:before="240" w:line="360" w:lineRule="auto"/>
        <w:jc w:val="both"/>
        <w:rPr>
          <w:color w:val="auto"/>
        </w:rPr>
      </w:pPr>
      <w:r w:rsidRPr="00BE6FA1">
        <w:rPr>
          <w:color w:val="auto"/>
        </w:rPr>
        <w:tab/>
        <w:t xml:space="preserve">Jednostki samorządu terytorialnego posiadające tytuł do dysponowania infrastrukturą oświetlenia ulicznego w zakresie realizowanego przedsięwzięcia. </w:t>
      </w:r>
    </w:p>
    <w:p w:rsidR="006F54FB" w:rsidRPr="00BE6FA1" w:rsidRDefault="006F54FB" w:rsidP="003A27DA">
      <w:pPr>
        <w:pStyle w:val="Default0"/>
        <w:spacing w:before="240" w:line="360" w:lineRule="auto"/>
        <w:jc w:val="both"/>
        <w:rPr>
          <w:color w:val="auto"/>
        </w:rPr>
      </w:pPr>
      <w:r w:rsidRPr="00BE6FA1">
        <w:rPr>
          <w:color w:val="auto"/>
        </w:rPr>
        <w:t>Rodzaje przedsięwzięć</w:t>
      </w:r>
    </w:p>
    <w:p w:rsidR="006F54FB" w:rsidRPr="00BE6FA1" w:rsidRDefault="006F54FB" w:rsidP="003A27DA">
      <w:pPr>
        <w:pStyle w:val="Default0"/>
        <w:spacing w:before="240" w:line="360" w:lineRule="auto"/>
        <w:jc w:val="both"/>
        <w:rPr>
          <w:color w:val="auto"/>
        </w:rPr>
      </w:pPr>
      <w:r w:rsidRPr="00BE6FA1">
        <w:rPr>
          <w:color w:val="auto"/>
        </w:rPr>
        <w:lastRenderedPageBreak/>
        <w:tab/>
        <w:t xml:space="preserve">Dofinansowanie może być udzielone na realizację przedsięwzięć polegających na: </w:t>
      </w:r>
    </w:p>
    <w:p w:rsidR="006F54FB" w:rsidRPr="00BE6FA1" w:rsidRDefault="006F54FB" w:rsidP="003A27DA">
      <w:pPr>
        <w:pStyle w:val="Default0"/>
        <w:spacing w:before="240" w:line="360" w:lineRule="auto"/>
        <w:ind w:firstLine="454"/>
        <w:jc w:val="both"/>
        <w:rPr>
          <w:color w:val="auto"/>
        </w:rPr>
      </w:pPr>
      <w:r w:rsidRPr="00BE6FA1">
        <w:rPr>
          <w:color w:val="auto"/>
        </w:rPr>
        <w:t>1) modernizacji oświetlenia ulicznego (m.in. wymiana: źródeł światła, opraw, zapłonników, kabli zasilających, słupów, montaż nowych punktów świetlnych w ramach modernizowanych ciągów oświetleniowych jeżeli jest to niezbędne do spełnienia normy</w:t>
      </w:r>
      <w:r w:rsidRPr="00BE6FA1">
        <w:rPr>
          <w:color w:val="auto"/>
        </w:rPr>
        <w:br/>
        <w:t>PN EN 13201),</w:t>
      </w:r>
    </w:p>
    <w:p w:rsidR="006F54FB" w:rsidRPr="00BE6FA1" w:rsidRDefault="006F54FB" w:rsidP="003A27DA">
      <w:pPr>
        <w:pStyle w:val="Default0"/>
        <w:spacing w:before="240" w:line="360" w:lineRule="auto"/>
        <w:ind w:firstLine="454"/>
        <w:jc w:val="both"/>
        <w:rPr>
          <w:color w:val="auto"/>
        </w:rPr>
      </w:pPr>
      <w:r w:rsidRPr="00BE6FA1">
        <w:rPr>
          <w:color w:val="auto"/>
        </w:rPr>
        <w:t>2) montażu urządzeń do inteligentnego sterowania oświetleniem,</w:t>
      </w:r>
    </w:p>
    <w:p w:rsidR="006F54FB" w:rsidRPr="00BE6FA1" w:rsidRDefault="006F54FB" w:rsidP="003A27DA">
      <w:pPr>
        <w:pStyle w:val="Default0"/>
        <w:spacing w:before="240" w:line="360" w:lineRule="auto"/>
        <w:ind w:firstLine="454"/>
        <w:jc w:val="both"/>
        <w:rPr>
          <w:color w:val="auto"/>
        </w:rPr>
      </w:pPr>
      <w:r w:rsidRPr="00BE6FA1">
        <w:rPr>
          <w:color w:val="auto"/>
        </w:rPr>
        <w:t xml:space="preserve">3) montażu sterowalnych układów redukcji mocy oraz stabilizacji napięcia zasilającego. </w:t>
      </w:r>
    </w:p>
    <w:p w:rsidR="006F54FB" w:rsidRPr="00BE6FA1" w:rsidRDefault="006F54FB" w:rsidP="003A27DA">
      <w:pPr>
        <w:pStyle w:val="Default0"/>
        <w:spacing w:before="240" w:line="360" w:lineRule="auto"/>
        <w:jc w:val="both"/>
        <w:rPr>
          <w:color w:val="auto"/>
        </w:rPr>
      </w:pPr>
      <w:r w:rsidRPr="00BE6FA1">
        <w:rPr>
          <w:color w:val="auto"/>
        </w:rPr>
        <w:t xml:space="preserve">Program jest wdrażany w latach 2013 – 2017. </w:t>
      </w:r>
    </w:p>
    <w:p w:rsidR="006F54FB" w:rsidRPr="00BE6FA1" w:rsidRDefault="006F54FB" w:rsidP="003A27DA">
      <w:pPr>
        <w:pStyle w:val="Default0"/>
        <w:spacing w:before="240" w:line="360" w:lineRule="auto"/>
        <w:jc w:val="both"/>
        <w:rPr>
          <w:color w:val="auto"/>
        </w:rPr>
      </w:pPr>
      <w:r w:rsidRPr="00BE6FA1">
        <w:rPr>
          <w:color w:val="auto"/>
        </w:rPr>
        <w:t>Okres kwalifikowalności kosztów od 01.01.2012 r. do 31.12.2015 r.</w:t>
      </w:r>
    </w:p>
    <w:p w:rsidR="006F54FB" w:rsidRPr="00BE6FA1" w:rsidRDefault="006F54FB" w:rsidP="003A27DA">
      <w:pPr>
        <w:pStyle w:val="Default0"/>
        <w:spacing w:before="240" w:line="360" w:lineRule="auto"/>
        <w:jc w:val="both"/>
        <w:rPr>
          <w:color w:val="auto"/>
        </w:rPr>
      </w:pPr>
      <w:r w:rsidRPr="00BE6FA1">
        <w:rPr>
          <w:color w:val="auto"/>
        </w:rPr>
        <w:t xml:space="preserve">Formy dofinansowania </w:t>
      </w:r>
    </w:p>
    <w:p w:rsidR="006F54FB" w:rsidRPr="00BE6FA1" w:rsidRDefault="006F54FB" w:rsidP="003A27DA">
      <w:pPr>
        <w:pStyle w:val="Default0"/>
        <w:spacing w:before="240" w:line="360" w:lineRule="auto"/>
        <w:jc w:val="both"/>
        <w:rPr>
          <w:color w:val="auto"/>
        </w:rPr>
      </w:pPr>
      <w:r w:rsidRPr="00BE6FA1">
        <w:rPr>
          <w:color w:val="auto"/>
        </w:rPr>
        <w:t>1) dotacja;</w:t>
      </w:r>
    </w:p>
    <w:p w:rsidR="006F54FB" w:rsidRPr="00BE6FA1" w:rsidRDefault="006F54FB" w:rsidP="003A27DA">
      <w:pPr>
        <w:pStyle w:val="Default0"/>
        <w:spacing w:before="240" w:line="360" w:lineRule="auto"/>
        <w:jc w:val="both"/>
        <w:rPr>
          <w:color w:val="auto"/>
        </w:rPr>
      </w:pPr>
      <w:r w:rsidRPr="00BE6FA1">
        <w:rPr>
          <w:color w:val="auto"/>
        </w:rPr>
        <w:t>2) pożyczka.</w:t>
      </w:r>
    </w:p>
    <w:p w:rsidR="006F54FB" w:rsidRPr="00BE6FA1" w:rsidRDefault="008A241B" w:rsidP="003A27DA">
      <w:pPr>
        <w:pStyle w:val="Default0"/>
        <w:spacing w:before="240" w:line="360" w:lineRule="auto"/>
        <w:jc w:val="both"/>
        <w:rPr>
          <w:color w:val="auto"/>
        </w:rPr>
      </w:pPr>
      <w:r w:rsidRPr="00BE6FA1">
        <w:rPr>
          <w:color w:val="auto"/>
        </w:rPr>
        <w:t>D</w:t>
      </w:r>
      <w:r w:rsidR="006F54FB" w:rsidRPr="00BE6FA1">
        <w:rPr>
          <w:color w:val="auto"/>
        </w:rPr>
        <w:t xml:space="preserve">ofinansowanie w formie dotacji: do 45 % kosztów kwalifikowanych przedsięwzięcia; </w:t>
      </w:r>
    </w:p>
    <w:p w:rsidR="006F54FB" w:rsidRPr="00BE6FA1" w:rsidRDefault="006F54FB" w:rsidP="003A27DA">
      <w:pPr>
        <w:pStyle w:val="Default0"/>
        <w:spacing w:before="240" w:line="360" w:lineRule="auto"/>
        <w:jc w:val="both"/>
        <w:rPr>
          <w:color w:val="auto"/>
        </w:rPr>
      </w:pPr>
      <w:r w:rsidRPr="00BE6FA1">
        <w:rPr>
          <w:color w:val="auto"/>
        </w:rPr>
        <w:t xml:space="preserve"> dofinansowanie w formie pożyczki: do 55% kosztów kwalifikowanych przedsięwzięcia. </w:t>
      </w:r>
    </w:p>
    <w:p w:rsidR="006F54FB" w:rsidRPr="00BE6FA1" w:rsidRDefault="006F54FB" w:rsidP="003A27DA">
      <w:pPr>
        <w:pStyle w:val="Default0"/>
        <w:spacing w:before="240" w:line="360" w:lineRule="auto"/>
        <w:jc w:val="both"/>
        <w:rPr>
          <w:color w:val="auto"/>
          <w:u w:val="single"/>
        </w:rPr>
      </w:pPr>
      <w:r w:rsidRPr="00BE6FA1">
        <w:rPr>
          <w:color w:val="auto"/>
          <w:u w:val="single"/>
        </w:rPr>
        <w:t xml:space="preserve">Część 7) GAZELA </w:t>
      </w:r>
      <w:r w:rsidR="008A241B" w:rsidRPr="00BE6FA1">
        <w:rPr>
          <w:color w:val="auto"/>
          <w:u w:val="single"/>
        </w:rPr>
        <w:t>–</w:t>
      </w:r>
      <w:r w:rsidRPr="00BE6FA1">
        <w:rPr>
          <w:color w:val="auto"/>
          <w:u w:val="single"/>
        </w:rPr>
        <w:t xml:space="preserve"> Niskoemisyjny transport miejski </w:t>
      </w:r>
    </w:p>
    <w:p w:rsidR="006F54FB" w:rsidRPr="00BE6FA1" w:rsidRDefault="006F54FB" w:rsidP="003A27DA">
      <w:pPr>
        <w:pStyle w:val="Default0"/>
        <w:spacing w:before="240" w:line="360" w:lineRule="auto"/>
        <w:jc w:val="both"/>
        <w:rPr>
          <w:color w:val="auto"/>
        </w:rPr>
      </w:pPr>
      <w:r w:rsidRPr="00BE6FA1">
        <w:rPr>
          <w:color w:val="auto"/>
        </w:rPr>
        <w:t>Beneficjenci</w:t>
      </w:r>
    </w:p>
    <w:p w:rsidR="006F54FB" w:rsidRPr="00BE6FA1" w:rsidRDefault="006F54FB" w:rsidP="003A27DA">
      <w:pPr>
        <w:pStyle w:val="Default0"/>
        <w:spacing w:before="240" w:line="360" w:lineRule="auto"/>
        <w:jc w:val="both"/>
        <w:rPr>
          <w:color w:val="auto"/>
        </w:rPr>
      </w:pPr>
      <w:r w:rsidRPr="00BE6FA1">
        <w:rPr>
          <w:color w:val="auto"/>
        </w:rPr>
        <w:t xml:space="preserve">Beneficjentami programu mogą być: </w:t>
      </w:r>
    </w:p>
    <w:p w:rsidR="006F54FB" w:rsidRPr="00BE6FA1" w:rsidRDefault="006F54FB" w:rsidP="003A27DA">
      <w:pPr>
        <w:pStyle w:val="Default0"/>
        <w:spacing w:before="240" w:line="360" w:lineRule="auto"/>
        <w:ind w:firstLine="454"/>
        <w:jc w:val="both"/>
        <w:rPr>
          <w:color w:val="auto"/>
        </w:rPr>
      </w:pPr>
      <w:r w:rsidRPr="00BE6FA1">
        <w:rPr>
          <w:color w:val="auto"/>
        </w:rPr>
        <w:t>1) gminy miejskie;</w:t>
      </w:r>
    </w:p>
    <w:p w:rsidR="006F54FB" w:rsidRPr="00BE6FA1" w:rsidRDefault="006F54FB" w:rsidP="003A27DA">
      <w:pPr>
        <w:pStyle w:val="Default0"/>
        <w:spacing w:before="240" w:line="360" w:lineRule="auto"/>
        <w:ind w:firstLine="454"/>
        <w:jc w:val="both"/>
        <w:rPr>
          <w:color w:val="auto"/>
        </w:rPr>
      </w:pPr>
      <w:r w:rsidRPr="00BE6FA1">
        <w:rPr>
          <w:color w:val="auto"/>
        </w:rPr>
        <w:t>2) spółki komunalne które działają w celu wykonania zadań gmin miejskich związanych z lokalnym transportem zbiorowym;</w:t>
      </w:r>
    </w:p>
    <w:p w:rsidR="006F54FB" w:rsidRPr="00BE6FA1" w:rsidRDefault="006F54FB" w:rsidP="003A27DA">
      <w:pPr>
        <w:pStyle w:val="Default0"/>
        <w:spacing w:before="240" w:line="360" w:lineRule="auto"/>
        <w:ind w:firstLine="454"/>
        <w:jc w:val="both"/>
        <w:rPr>
          <w:color w:val="auto"/>
        </w:rPr>
      </w:pPr>
      <w:r w:rsidRPr="00BE6FA1">
        <w:rPr>
          <w:color w:val="auto"/>
        </w:rPr>
        <w:t>3) inne podmioty świadczące usługi w zakresie lokalnego transportu miejskiego na podstawie umowy zawartej z gminą miejską. Poprzez komunikację miejską należy rozumieć w znaczeniu określonym w ustawie z dnia 16 grudnia 2010 r. o publicznym transporcie zbiorowym.</w:t>
      </w:r>
    </w:p>
    <w:p w:rsidR="006F54FB" w:rsidRPr="00BE6FA1" w:rsidRDefault="006F54FB" w:rsidP="003A27DA">
      <w:pPr>
        <w:pStyle w:val="Default0"/>
        <w:spacing w:before="240" w:line="360" w:lineRule="auto"/>
        <w:jc w:val="both"/>
        <w:rPr>
          <w:color w:val="auto"/>
        </w:rPr>
      </w:pPr>
      <w:r w:rsidRPr="00BE6FA1">
        <w:rPr>
          <w:color w:val="auto"/>
        </w:rPr>
        <w:lastRenderedPageBreak/>
        <w:t>Rodzaje przedsięwzięć</w:t>
      </w:r>
    </w:p>
    <w:p w:rsidR="006F54FB" w:rsidRPr="00BE6FA1" w:rsidRDefault="006F54FB" w:rsidP="003A27DA">
      <w:pPr>
        <w:pStyle w:val="Default0"/>
        <w:spacing w:before="240" w:line="360" w:lineRule="auto"/>
        <w:jc w:val="both"/>
        <w:rPr>
          <w:color w:val="auto"/>
        </w:rPr>
      </w:pPr>
      <w:r w:rsidRPr="00BE6FA1">
        <w:rPr>
          <w:color w:val="auto"/>
        </w:rPr>
        <w:tab/>
        <w:t xml:space="preserve">Dofinansowanie może być udzielone na realizację przedsięwzięć zmierzających do obniżenia zużycia energii i paliw w komunikacji miejskiej. Program obejmuje następujące działania: </w:t>
      </w:r>
    </w:p>
    <w:p w:rsidR="006F54FB" w:rsidRPr="00BE6FA1" w:rsidRDefault="006F54FB" w:rsidP="009A7AFF">
      <w:pPr>
        <w:pStyle w:val="Default0"/>
        <w:numPr>
          <w:ilvl w:val="0"/>
          <w:numId w:val="27"/>
        </w:numPr>
        <w:spacing w:before="240" w:line="360" w:lineRule="auto"/>
        <w:jc w:val="both"/>
        <w:rPr>
          <w:color w:val="auto"/>
        </w:rPr>
      </w:pPr>
      <w:r w:rsidRPr="00BE6FA1">
        <w:rPr>
          <w:color w:val="auto"/>
        </w:rPr>
        <w:t>dotyczące taboru polegające na:</w:t>
      </w:r>
    </w:p>
    <w:p w:rsidR="006F54FB" w:rsidRPr="00BE6FA1" w:rsidRDefault="006F54FB" w:rsidP="009A7AFF">
      <w:pPr>
        <w:pStyle w:val="Default0"/>
        <w:numPr>
          <w:ilvl w:val="0"/>
          <w:numId w:val="25"/>
        </w:numPr>
        <w:autoSpaceDE/>
        <w:autoSpaceDN/>
        <w:adjustRightInd/>
        <w:spacing w:before="240" w:line="360" w:lineRule="auto"/>
        <w:ind w:firstLine="624"/>
        <w:jc w:val="both"/>
        <w:rPr>
          <w:color w:val="auto"/>
        </w:rPr>
      </w:pPr>
      <w:r w:rsidRPr="00BE6FA1">
        <w:rPr>
          <w:color w:val="auto"/>
        </w:rPr>
        <w:t xml:space="preserve">zakupie nowych autobusów hybrydowych zasilanych gazem CNG, </w:t>
      </w:r>
    </w:p>
    <w:p w:rsidR="006F54FB" w:rsidRPr="00BE6FA1" w:rsidRDefault="006F54FB" w:rsidP="009A7AFF">
      <w:pPr>
        <w:pStyle w:val="Default0"/>
        <w:numPr>
          <w:ilvl w:val="0"/>
          <w:numId w:val="25"/>
        </w:numPr>
        <w:autoSpaceDE/>
        <w:autoSpaceDN/>
        <w:adjustRightInd/>
        <w:spacing w:before="240" w:line="360" w:lineRule="auto"/>
        <w:ind w:firstLine="624"/>
        <w:jc w:val="both"/>
        <w:rPr>
          <w:color w:val="auto"/>
        </w:rPr>
      </w:pPr>
      <w:r w:rsidRPr="00BE6FA1">
        <w:rPr>
          <w:color w:val="auto"/>
        </w:rPr>
        <w:t xml:space="preserve">szkoleniu kierowców pojazdów transportu miejskiego z obsługi niskoemisyjnego taboru, </w:t>
      </w:r>
    </w:p>
    <w:p w:rsidR="006F54FB" w:rsidRPr="00BE6FA1" w:rsidRDefault="006F54FB" w:rsidP="003A27DA">
      <w:pPr>
        <w:pStyle w:val="Default0"/>
        <w:spacing w:before="240" w:line="360" w:lineRule="auto"/>
        <w:ind w:firstLine="454"/>
        <w:jc w:val="both"/>
        <w:rPr>
          <w:color w:val="auto"/>
        </w:rPr>
      </w:pPr>
      <w:r w:rsidRPr="00BE6FA1">
        <w:rPr>
          <w:color w:val="auto"/>
        </w:rPr>
        <w:t>2) dotyczące infrastruktury i zarządzania polegające na:</w:t>
      </w:r>
    </w:p>
    <w:p w:rsidR="006F54FB" w:rsidRPr="00BE6FA1" w:rsidRDefault="006F54FB" w:rsidP="009A7AFF">
      <w:pPr>
        <w:pStyle w:val="Default0"/>
        <w:numPr>
          <w:ilvl w:val="0"/>
          <w:numId w:val="27"/>
        </w:numPr>
        <w:autoSpaceDE/>
        <w:autoSpaceDN/>
        <w:adjustRightInd/>
        <w:spacing w:before="240" w:line="360" w:lineRule="auto"/>
        <w:ind w:firstLine="624"/>
        <w:jc w:val="both"/>
        <w:rPr>
          <w:color w:val="auto"/>
        </w:rPr>
      </w:pPr>
      <w:r w:rsidRPr="00BE6FA1">
        <w:rPr>
          <w:color w:val="auto"/>
        </w:rPr>
        <w:t xml:space="preserve">modernizacji lub budowie stacji obsługi tankowania pojazdów transportu zbiorowego w zakresie dostosowania do autobusów hybrydowych zasilanych gazem CNG, </w:t>
      </w:r>
    </w:p>
    <w:p w:rsidR="006F54FB" w:rsidRPr="00BE6FA1" w:rsidRDefault="006F54FB" w:rsidP="009A7AFF">
      <w:pPr>
        <w:pStyle w:val="Default0"/>
        <w:numPr>
          <w:ilvl w:val="0"/>
          <w:numId w:val="26"/>
        </w:numPr>
        <w:autoSpaceDE/>
        <w:autoSpaceDN/>
        <w:adjustRightInd/>
        <w:spacing w:before="240" w:line="360" w:lineRule="auto"/>
        <w:ind w:firstLine="624"/>
        <w:jc w:val="both"/>
        <w:rPr>
          <w:color w:val="auto"/>
        </w:rPr>
      </w:pPr>
      <w:r w:rsidRPr="00BE6FA1">
        <w:rPr>
          <w:color w:val="auto"/>
        </w:rPr>
        <w:t xml:space="preserve">modernizacji lub budowie tras rowerowych, </w:t>
      </w:r>
    </w:p>
    <w:p w:rsidR="006F54FB" w:rsidRPr="00BE6FA1" w:rsidRDefault="006F54FB" w:rsidP="009A7AFF">
      <w:pPr>
        <w:pStyle w:val="Default0"/>
        <w:numPr>
          <w:ilvl w:val="0"/>
          <w:numId w:val="26"/>
        </w:numPr>
        <w:autoSpaceDE/>
        <w:autoSpaceDN/>
        <w:adjustRightInd/>
        <w:spacing w:before="240" w:line="360" w:lineRule="auto"/>
        <w:ind w:firstLine="624"/>
        <w:jc w:val="both"/>
        <w:rPr>
          <w:color w:val="auto"/>
        </w:rPr>
      </w:pPr>
      <w:r w:rsidRPr="00BE6FA1">
        <w:rPr>
          <w:color w:val="auto"/>
        </w:rPr>
        <w:t>modernizacji lub budowie bus pasów,</w:t>
      </w:r>
    </w:p>
    <w:p w:rsidR="006F54FB" w:rsidRPr="00BE6FA1" w:rsidRDefault="006F54FB" w:rsidP="009A7AFF">
      <w:pPr>
        <w:pStyle w:val="Default0"/>
        <w:numPr>
          <w:ilvl w:val="0"/>
          <w:numId w:val="26"/>
        </w:numPr>
        <w:autoSpaceDE/>
        <w:autoSpaceDN/>
        <w:adjustRightInd/>
        <w:spacing w:before="240" w:line="360" w:lineRule="auto"/>
        <w:ind w:firstLine="624"/>
        <w:jc w:val="both"/>
        <w:rPr>
          <w:color w:val="auto"/>
        </w:rPr>
      </w:pPr>
      <w:r w:rsidRPr="00BE6FA1">
        <w:rPr>
          <w:color w:val="auto"/>
        </w:rPr>
        <w:t>modernizacji lub budowie parkingów „Parkuj i Jedź”,</w:t>
      </w:r>
    </w:p>
    <w:p w:rsidR="006F54FB" w:rsidRPr="00BE6FA1" w:rsidRDefault="006F54FB" w:rsidP="009A7AFF">
      <w:pPr>
        <w:pStyle w:val="Default0"/>
        <w:numPr>
          <w:ilvl w:val="0"/>
          <w:numId w:val="26"/>
        </w:numPr>
        <w:autoSpaceDE/>
        <w:autoSpaceDN/>
        <w:adjustRightInd/>
        <w:spacing w:before="240" w:line="360" w:lineRule="auto"/>
        <w:ind w:firstLine="624"/>
        <w:jc w:val="both"/>
        <w:rPr>
          <w:color w:val="auto"/>
        </w:rPr>
      </w:pPr>
      <w:r w:rsidRPr="00BE6FA1">
        <w:rPr>
          <w:color w:val="auto"/>
        </w:rPr>
        <w:t xml:space="preserve">wdrażaniu systemów zarządzania transportem miejskim, </w:t>
      </w:r>
    </w:p>
    <w:p w:rsidR="006F54FB" w:rsidRPr="00BE6FA1" w:rsidRDefault="006F54FB" w:rsidP="009A7AFF">
      <w:pPr>
        <w:pStyle w:val="Default0"/>
        <w:numPr>
          <w:ilvl w:val="0"/>
          <w:numId w:val="26"/>
        </w:numPr>
        <w:autoSpaceDE/>
        <w:autoSpaceDN/>
        <w:adjustRightInd/>
        <w:spacing w:before="240" w:line="360" w:lineRule="auto"/>
        <w:ind w:firstLine="624"/>
        <w:jc w:val="both"/>
        <w:rPr>
          <w:color w:val="auto"/>
        </w:rPr>
      </w:pPr>
      <w:r w:rsidRPr="00BE6FA1">
        <w:rPr>
          <w:color w:val="auto"/>
        </w:rPr>
        <w:t xml:space="preserve">wdrożeniu systemu roweru miejskiego. </w:t>
      </w:r>
    </w:p>
    <w:p w:rsidR="006F54FB" w:rsidRPr="00BE6FA1" w:rsidRDefault="006F54FB" w:rsidP="003A27DA">
      <w:pPr>
        <w:pStyle w:val="Default0"/>
        <w:spacing w:before="240" w:line="360" w:lineRule="auto"/>
        <w:jc w:val="both"/>
        <w:rPr>
          <w:color w:val="auto"/>
        </w:rPr>
      </w:pPr>
      <w:r w:rsidRPr="00BE6FA1">
        <w:rPr>
          <w:color w:val="auto"/>
        </w:rPr>
        <w:t xml:space="preserve">Program jest wdrażany w latach 2013 – 2018. </w:t>
      </w:r>
    </w:p>
    <w:p w:rsidR="006F54FB" w:rsidRPr="00BE6FA1" w:rsidRDefault="006F54FB" w:rsidP="003A27DA">
      <w:pPr>
        <w:pStyle w:val="Default0"/>
        <w:spacing w:before="240" w:line="360" w:lineRule="auto"/>
        <w:jc w:val="both"/>
        <w:rPr>
          <w:color w:val="auto"/>
        </w:rPr>
      </w:pPr>
      <w:r w:rsidRPr="00BE6FA1">
        <w:rPr>
          <w:color w:val="auto"/>
        </w:rPr>
        <w:t>Okres kwalifikowalności kosztów od 01.01.2012 r. do 31.12.2017r.</w:t>
      </w:r>
    </w:p>
    <w:p w:rsidR="006F54FB" w:rsidRPr="00BE6FA1" w:rsidRDefault="006F54FB" w:rsidP="003A27DA">
      <w:pPr>
        <w:pStyle w:val="Default0"/>
        <w:spacing w:before="240" w:line="360" w:lineRule="auto"/>
        <w:jc w:val="both"/>
        <w:rPr>
          <w:color w:val="auto"/>
        </w:rPr>
      </w:pPr>
      <w:r w:rsidRPr="00BE6FA1">
        <w:rPr>
          <w:color w:val="auto"/>
        </w:rPr>
        <w:t xml:space="preserve">Formy dofinansowania </w:t>
      </w:r>
    </w:p>
    <w:p w:rsidR="006F54FB" w:rsidRPr="00BE6FA1" w:rsidRDefault="006F54FB" w:rsidP="003A27DA">
      <w:pPr>
        <w:pStyle w:val="Default0"/>
        <w:spacing w:before="240" w:line="360" w:lineRule="auto"/>
        <w:jc w:val="both"/>
        <w:rPr>
          <w:color w:val="auto"/>
        </w:rPr>
      </w:pPr>
      <w:r w:rsidRPr="00BE6FA1">
        <w:rPr>
          <w:color w:val="auto"/>
        </w:rPr>
        <w:t xml:space="preserve">Dotacja. </w:t>
      </w:r>
    </w:p>
    <w:p w:rsidR="006F54FB" w:rsidRPr="00BE6FA1" w:rsidRDefault="006F54FB" w:rsidP="003A27DA">
      <w:pPr>
        <w:pStyle w:val="Default0"/>
        <w:spacing w:before="240" w:line="360" w:lineRule="auto"/>
        <w:ind w:firstLine="454"/>
        <w:jc w:val="both"/>
        <w:rPr>
          <w:color w:val="auto"/>
        </w:rPr>
      </w:pPr>
      <w:r w:rsidRPr="00BE6FA1">
        <w:rPr>
          <w:color w:val="auto"/>
        </w:rPr>
        <w:t>1) dofinansowanie w wysokości do 100% kosztów kwalifikowanych przedsięwzięcia;</w:t>
      </w:r>
    </w:p>
    <w:p w:rsidR="006F54FB" w:rsidRPr="00BE6FA1" w:rsidRDefault="006F54FB" w:rsidP="003A27DA">
      <w:pPr>
        <w:pStyle w:val="Default0"/>
        <w:spacing w:before="240" w:line="360" w:lineRule="auto"/>
        <w:ind w:firstLine="454"/>
        <w:jc w:val="both"/>
        <w:rPr>
          <w:color w:val="auto"/>
        </w:rPr>
      </w:pPr>
      <w:r w:rsidRPr="00BE6FA1">
        <w:rPr>
          <w:color w:val="auto"/>
        </w:rPr>
        <w:lastRenderedPageBreak/>
        <w:t>2) w przypadku gdy dofinansowanie stanowi pomoc publiczną, jego intensywność nie może przekraczać dopuszczalnych wartości określonych w regulacjach dotyczących pomocy publicznej</w:t>
      </w:r>
    </w:p>
    <w:p w:rsidR="006F54FB" w:rsidRPr="00BE6FA1" w:rsidRDefault="006F54FB" w:rsidP="003A27DA">
      <w:pPr>
        <w:pStyle w:val="Default0"/>
        <w:spacing w:before="240" w:line="360" w:lineRule="auto"/>
        <w:jc w:val="both"/>
        <w:rPr>
          <w:color w:val="auto"/>
        </w:rPr>
      </w:pPr>
    </w:p>
    <w:p w:rsidR="006F54FB" w:rsidRPr="00BE6FA1" w:rsidRDefault="006F54FB" w:rsidP="009A7AFF">
      <w:pPr>
        <w:numPr>
          <w:ilvl w:val="0"/>
          <w:numId w:val="34"/>
        </w:numPr>
        <w:spacing w:before="240" w:after="0" w:line="360" w:lineRule="auto"/>
        <w:jc w:val="both"/>
        <w:rPr>
          <w:rFonts w:ascii="Times New Roman" w:hAnsi="Times New Roman" w:cs="Times New Roman"/>
          <w:b/>
        </w:rPr>
      </w:pPr>
      <w:r w:rsidRPr="00BE6FA1">
        <w:rPr>
          <w:rFonts w:ascii="Times New Roman" w:hAnsi="Times New Roman" w:cs="Times New Roman"/>
          <w:b/>
          <w:sz w:val="24"/>
          <w:szCs w:val="24"/>
        </w:rPr>
        <w:t>Program Operacyjny Infrastruktura i Środowisko 2014-2020</w:t>
      </w:r>
    </w:p>
    <w:p w:rsidR="006F54FB" w:rsidRPr="00BE6FA1" w:rsidRDefault="006F54FB" w:rsidP="008A241B">
      <w:pPr>
        <w:spacing w:before="240" w:after="0" w:line="360" w:lineRule="auto"/>
        <w:ind w:left="720"/>
        <w:jc w:val="both"/>
        <w:rPr>
          <w:rFonts w:ascii="Times New Roman" w:hAnsi="Times New Roman" w:cs="Times New Roman"/>
        </w:rPr>
      </w:pPr>
      <w:r w:rsidRPr="00BE6FA1">
        <w:rPr>
          <w:rFonts w:ascii="Times New Roman" w:hAnsi="Times New Roman" w:cs="Times New Roman"/>
          <w:sz w:val="24"/>
          <w:szCs w:val="24"/>
        </w:rPr>
        <w:t xml:space="preserve">Program Operacyjny Infrastruktura i Środowisko przy wykorzystaniu środków Funduszu Spójności i Europejskiego Funduszu Rozwoju Regionalnego.  </w:t>
      </w:r>
      <w:r w:rsidR="008A241B" w:rsidRPr="00BE6FA1">
        <w:rPr>
          <w:rFonts w:ascii="Times New Roman" w:hAnsi="Times New Roman" w:cs="Times New Roman"/>
          <w:sz w:val="24"/>
          <w:szCs w:val="24"/>
        </w:rPr>
        <w:t>S</w:t>
      </w:r>
      <w:r w:rsidRPr="00BE6FA1">
        <w:rPr>
          <w:rFonts w:ascii="Times New Roman" w:hAnsi="Times New Roman" w:cs="Times New Roman"/>
          <w:sz w:val="24"/>
          <w:szCs w:val="24"/>
        </w:rPr>
        <w:t xml:space="preserve">tanowi podstawowe narzędzie do finansowania zadań z zakresu ochrony środowiska, </w:t>
      </w:r>
      <w:r w:rsidR="00F31AC5" w:rsidRPr="00BE6FA1">
        <w:rPr>
          <w:rFonts w:ascii="Times New Roman" w:hAnsi="Times New Roman" w:cs="Times New Roman"/>
          <w:sz w:val="24"/>
          <w:szCs w:val="24"/>
        </w:rPr>
        <w:br/>
      </w:r>
      <w:r w:rsidRPr="00BE6FA1">
        <w:rPr>
          <w:rFonts w:ascii="Times New Roman" w:hAnsi="Times New Roman" w:cs="Times New Roman"/>
          <w:sz w:val="24"/>
          <w:szCs w:val="24"/>
        </w:rPr>
        <w:t>a zarazem ochrony powietrza w latach 2014-2020.</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Cs w:val="24"/>
        </w:rPr>
        <w:tab/>
      </w:r>
      <w:r w:rsidRPr="00BE6FA1">
        <w:rPr>
          <w:rFonts w:ascii="Times New Roman" w:hAnsi="Times New Roman" w:cs="Times New Roman"/>
          <w:sz w:val="24"/>
          <w:szCs w:val="24"/>
        </w:rPr>
        <w:t>Celem głównym programu jest wsparcie gospodarki efektywnie korzystającej</w:t>
      </w:r>
      <w:r w:rsidRPr="00BE6FA1">
        <w:rPr>
          <w:rFonts w:ascii="Times New Roman" w:hAnsi="Times New Roman" w:cs="Times New Roman"/>
          <w:sz w:val="24"/>
          <w:szCs w:val="24"/>
        </w:rPr>
        <w:br/>
        <w:t>z zasobów i przyjaznej środowisku oraz sprzyjającej spójności terytorialnej i społecznej</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ab/>
        <w:t xml:space="preserve">Cel główny POIŚ wynika z jednego z trzech priorytetów Strategii Europa 2020, którym jest wzrost zrównoważony rozumiany jako wspieranie gospodarki efektywniej korzystającej z zasobów, bardziej przyjaznej środowisku i bardziej konkurencyjnej, w której cele środowiskowe są dopełnione działaniami na rzecz spójności gospodarczej, społecznej </w:t>
      </w:r>
      <w:r w:rsidR="00F31AC5" w:rsidRPr="00BE6FA1">
        <w:rPr>
          <w:rFonts w:ascii="Times New Roman" w:hAnsi="Times New Roman" w:cs="Times New Roman"/>
          <w:sz w:val="24"/>
          <w:szCs w:val="24"/>
        </w:rPr>
        <w:br/>
      </w:r>
      <w:r w:rsidRPr="00BE6FA1">
        <w:rPr>
          <w:rFonts w:ascii="Times New Roman" w:hAnsi="Times New Roman" w:cs="Times New Roman"/>
          <w:sz w:val="24"/>
          <w:szCs w:val="24"/>
        </w:rPr>
        <w:t>i terytorialnej. Priorytet ten został oparty na równowadze oraz wzajemnym uzupełnianiu się działań w trzech podstawowych obszarach:</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czystej i efektywnej energii, w tym efektywności energetycznej, ograniczeniu emisji gazów cieplarnianych, rozwoju energii ze źródeł odnawialnych oraz integracji i poprawy funkcjonowania europejskiego rynku energii;</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 adaptacji do zmian klimatu oraz efektywnego korzystania z zasobów, wzmocnieniu odporności systemów gospodarczych na zagrożenia związane z klimatem oraz zwiększeniu możliwości zapobiegania zagrożeniom (zwłaszcza zagrożeniom naturalnym) i reagowania </w:t>
      </w:r>
      <w:r w:rsidR="00F31AC5" w:rsidRPr="00BE6FA1">
        <w:rPr>
          <w:rFonts w:ascii="Times New Roman" w:hAnsi="Times New Roman" w:cs="Times New Roman"/>
          <w:sz w:val="24"/>
          <w:szCs w:val="24"/>
        </w:rPr>
        <w:br/>
      </w:r>
      <w:r w:rsidRPr="00BE6FA1">
        <w:rPr>
          <w:rFonts w:ascii="Times New Roman" w:hAnsi="Times New Roman" w:cs="Times New Roman"/>
          <w:sz w:val="24"/>
          <w:szCs w:val="24"/>
        </w:rPr>
        <w:t>na nie;</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rsidR="006F54FB" w:rsidRPr="00BE6FA1" w:rsidRDefault="006F54FB" w:rsidP="003A27DA">
      <w:pPr>
        <w:spacing w:before="240"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ab/>
        <w:t xml:space="preserve">Dotychczasowe działania podejmowane w Polsce (również dzięki interwencji Polityki Spójności) pozwoliły zbliżyć się do celu, jakim jest zrównoważony rozwój, niemniej </w:t>
      </w:r>
      <w:r w:rsidR="00F31AC5" w:rsidRPr="00BE6FA1">
        <w:rPr>
          <w:rFonts w:ascii="Times New Roman" w:hAnsi="Times New Roman" w:cs="Times New Roman"/>
          <w:sz w:val="24"/>
          <w:szCs w:val="24"/>
        </w:rPr>
        <w:br/>
      </w:r>
      <w:r w:rsidRPr="00BE6FA1">
        <w:rPr>
          <w:rFonts w:ascii="Times New Roman" w:hAnsi="Times New Roman" w:cs="Times New Roman"/>
          <w:sz w:val="24"/>
          <w:szCs w:val="24"/>
        </w:rPr>
        <w:t>w dalszym ciągu stanowi on poważne wyzwanie dla kraju, zwłaszcza na tle całej UE. Polska jest zobowiązana podjąć to wyzwanie, jej zadaniem pozostaje właściwa diagnoza potrzeb oraz określenie niezbędnych działań i przedsięwzięć.</w:t>
      </w:r>
    </w:p>
    <w:p w:rsidR="006F54FB" w:rsidRPr="00BE6FA1" w:rsidRDefault="006F54FB" w:rsidP="003A27DA">
      <w:pPr>
        <w:spacing w:before="240" w:after="0" w:line="360" w:lineRule="auto"/>
        <w:jc w:val="both"/>
        <w:rPr>
          <w:rFonts w:ascii="Times New Roman" w:hAnsi="Times New Roman" w:cs="Times New Roman"/>
          <w:sz w:val="24"/>
          <w:szCs w:val="24"/>
        </w:rPr>
      </w:pP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ab/>
        <w:t xml:space="preserve">Program Operacyjny Infrastruktura i Środowisko odbywa się w ramach 10 osi priorytetowych: </w:t>
      </w:r>
    </w:p>
    <w:p w:rsidR="006F54FB" w:rsidRPr="00BE6FA1" w:rsidRDefault="006F54FB" w:rsidP="003A27DA">
      <w:pPr>
        <w:spacing w:after="58"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I: ZMNIEJSZENIE EMISYJNOŚCI GOSPODARKI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OŚ PRIORYTETOWA II: OCHRONA ŚRODOWISKA, W TYM ADAPTACJA DO ZMIAN KLIMATU</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III: ROZWÓJ SIECI DROGOWEJ TEN-T I TRANSPORTU MULTIMODALNEGO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IV: INFRASTRUKTURA DROGOWA DLA MIAST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V: ROZWÓJ TRANSPORTU KOLEJOWEGO W POLSCE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VI: ROZWÓJ NISKOEMISYJNEGO TRANSPORTU ZBIOROWEGO W MIASTACH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VII: POPRAWA BEZPIECZEŃSTWA ENERGETYCZNEGO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VIII: OCHRONA DZIEDZICTWA KULTUROWEGO I ROZWÓJ ZASOBÓW KULTURY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PRIORYTETOWA IX: WZMOCNIENIE STRATEGICZNEJ INFRASTRUKTURY OCHRONY ZDROWIA </w:t>
      </w:r>
    </w:p>
    <w:p w:rsidR="006F54FB" w:rsidRPr="00BE6FA1" w:rsidRDefault="006F54FB" w:rsidP="003A27DA">
      <w:pPr>
        <w:spacing w:after="58" w:line="360" w:lineRule="auto"/>
        <w:jc w:val="both"/>
        <w:rPr>
          <w:rFonts w:ascii="Times New Roman" w:hAnsi="Times New Roman" w:cs="Times New Roman"/>
          <w:sz w:val="24"/>
          <w:szCs w:val="24"/>
        </w:rPr>
      </w:pPr>
      <w:r w:rsidRPr="00BE6FA1">
        <w:rPr>
          <w:rFonts w:ascii="Times New Roman" w:hAnsi="Times New Roman" w:cs="Times New Roman"/>
          <w:sz w:val="24"/>
          <w:szCs w:val="24"/>
        </w:rPr>
        <w:t>OŚ PRIORYTETOWA X: POMOC TECHNICZNA</w:t>
      </w:r>
    </w:p>
    <w:p w:rsidR="006F54FB" w:rsidRPr="00BE6FA1" w:rsidRDefault="006F54FB" w:rsidP="003A27DA">
      <w:pPr>
        <w:spacing w:after="58" w:line="360" w:lineRule="auto"/>
        <w:jc w:val="both"/>
        <w:rPr>
          <w:rFonts w:ascii="Times New Roman" w:hAnsi="Times New Roman" w:cs="Times New Roman"/>
          <w:sz w:val="24"/>
          <w:szCs w:val="24"/>
        </w:rPr>
      </w:pPr>
    </w:p>
    <w:p w:rsidR="006F54FB" w:rsidRPr="00BE6FA1" w:rsidRDefault="006F54FB" w:rsidP="003A27DA">
      <w:pPr>
        <w:pStyle w:val="Default0"/>
        <w:spacing w:line="360" w:lineRule="auto"/>
        <w:jc w:val="both"/>
        <w:rPr>
          <w:color w:val="auto"/>
        </w:rPr>
      </w:pPr>
      <w:r w:rsidRPr="00BE6FA1">
        <w:rPr>
          <w:color w:val="auto"/>
        </w:rPr>
        <w:tab/>
        <w:t>Poniżej przedstawiono projekty inwestycyjne zawarte w POIŚ związane m.in.</w:t>
      </w:r>
      <w:r w:rsidRPr="00BE6FA1">
        <w:rPr>
          <w:color w:val="auto"/>
        </w:rPr>
        <w:br/>
        <w:t>z redukcją emisji gazów cieplarnianych (CO</w:t>
      </w:r>
      <w:r w:rsidRPr="00BE6FA1">
        <w:rPr>
          <w:color w:val="auto"/>
          <w:vertAlign w:val="subscript"/>
        </w:rPr>
        <w:t>2</w:t>
      </w:r>
      <w:r w:rsidRPr="00BE6FA1">
        <w:rPr>
          <w:color w:val="auto"/>
        </w:rPr>
        <w:t xml:space="preserve">), zwiększaniem udziału energii pochodzącej </w:t>
      </w:r>
      <w:r w:rsidR="00F31AC5" w:rsidRPr="00BE6FA1">
        <w:rPr>
          <w:color w:val="auto"/>
        </w:rPr>
        <w:br/>
      </w:r>
      <w:r w:rsidRPr="00BE6FA1">
        <w:rPr>
          <w:color w:val="auto"/>
        </w:rPr>
        <w:t xml:space="preserve">ze źródeł odnawialnych, redukcją zużycia energii finalnej i podnoszeniem efektywności energetycznej </w:t>
      </w:r>
    </w:p>
    <w:p w:rsidR="006F54FB" w:rsidRPr="00BE6FA1" w:rsidRDefault="006F54FB" w:rsidP="003A27DA">
      <w:pPr>
        <w:pStyle w:val="Default0"/>
        <w:spacing w:line="360" w:lineRule="auto"/>
        <w:jc w:val="both"/>
        <w:rPr>
          <w:color w:val="auto"/>
        </w:rPr>
      </w:pPr>
      <w:r w:rsidRPr="00BE6FA1">
        <w:rPr>
          <w:color w:val="auto"/>
        </w:rPr>
        <w:lastRenderedPageBreak/>
        <w:t>OŚ I</w:t>
      </w:r>
    </w:p>
    <w:p w:rsidR="006F54FB" w:rsidRPr="00BE6FA1" w:rsidRDefault="006F54FB"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4.1. Wspieranie wytwarzania i dystrybucji energii pochodzącej ze źródeł odnawialnych;</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4.2. Promowanie efektywności energetycznej i korzystania z odnawialnych źródeł energii</w:t>
      </w:r>
      <w:r w:rsidRPr="00BE6FA1">
        <w:rPr>
          <w:rFonts w:ascii="Times New Roman" w:hAnsi="Times New Roman" w:cs="Times New Roman"/>
          <w:sz w:val="24"/>
          <w:szCs w:val="24"/>
        </w:rPr>
        <w:br/>
        <w:t>w przedsiębiorstwach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4.3. Wspieranie efektywności energetycznej, inteligentnego zarządzania energią</w:t>
      </w:r>
      <w:r w:rsidRPr="00BE6FA1">
        <w:rPr>
          <w:rFonts w:ascii="Times New Roman" w:hAnsi="Times New Roman" w:cs="Times New Roman"/>
          <w:sz w:val="24"/>
          <w:szCs w:val="24"/>
        </w:rPr>
        <w:br/>
        <w:t>i wykorzystania odnawialnych źródeł energii w infrastrukturze publicznej, w tym</w:t>
      </w:r>
      <w:r w:rsidRPr="00BE6FA1">
        <w:rPr>
          <w:rFonts w:ascii="Times New Roman" w:hAnsi="Times New Roman" w:cs="Times New Roman"/>
          <w:sz w:val="24"/>
          <w:szCs w:val="24"/>
        </w:rPr>
        <w:br/>
        <w:t>w budynkach publicznych, i w sektorze mieszkaniowym;</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4.4. Rozwijanie i wdrażanie inteligentnych systemów dystrybucji działających na niskich</w:t>
      </w:r>
      <w:r w:rsidRPr="00BE6FA1">
        <w:rPr>
          <w:rFonts w:ascii="Times New Roman" w:hAnsi="Times New Roman" w:cs="Times New Roman"/>
          <w:sz w:val="24"/>
          <w:szCs w:val="24"/>
        </w:rPr>
        <w:br/>
        <w:t>i średnich poziomach napięcia;</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4.5. Promowanie strategii niskoemisyjnych dla wszystkich rodzajów terytoriów,</w:t>
      </w:r>
      <w:r w:rsidRPr="00BE6FA1">
        <w:rPr>
          <w:rFonts w:ascii="Times New Roman" w:hAnsi="Times New Roman" w:cs="Times New Roman"/>
          <w:sz w:val="24"/>
          <w:szCs w:val="24"/>
        </w:rPr>
        <w:br/>
        <w:t>w szczególności dla obszarów miejskich, w tym wspieranie zrównoważonej multimodalnej mobilności miejskiej i działań adaptacyjnych mających oddziaływanie łagodzące na zmiany klimatu;</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4.6. Promowanie wykorzystywania wysokosprawnej </w:t>
      </w:r>
      <w:r w:rsidR="00F31AC5" w:rsidRPr="00BE6FA1">
        <w:rPr>
          <w:rFonts w:ascii="Times New Roman" w:hAnsi="Times New Roman" w:cs="Times New Roman"/>
          <w:sz w:val="24"/>
          <w:szCs w:val="24"/>
        </w:rPr>
        <w:pgNum/>
      </w:r>
      <w:r w:rsidR="00F31AC5" w:rsidRPr="00BE6FA1">
        <w:rPr>
          <w:rFonts w:ascii="Times New Roman" w:hAnsi="Times New Roman" w:cs="Times New Roman"/>
          <w:sz w:val="24"/>
          <w:szCs w:val="24"/>
        </w:rPr>
        <w:t>kogeneracji</w:t>
      </w:r>
      <w:r w:rsidRPr="00BE6FA1">
        <w:rPr>
          <w:rFonts w:ascii="Times New Roman" w:hAnsi="Times New Roman" w:cs="Times New Roman"/>
          <w:sz w:val="24"/>
          <w:szCs w:val="24"/>
        </w:rPr>
        <w:t xml:space="preserve"> ciepła i energii elektrycznej w oparciu o zapotrzebowanie na ciepło użytkowe.</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OŚ II</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6.4. Podejmowanie przedsięwzięć mających na celu poprawę stanu jakości środowiska miejskiego, rewitalizację miast, rekultywację i dekontaminację terenów poprzemysłowych</w:t>
      </w:r>
      <w:r w:rsidRPr="00BE6FA1">
        <w:rPr>
          <w:rFonts w:ascii="Times New Roman" w:hAnsi="Times New Roman" w:cs="Times New Roman"/>
          <w:sz w:val="24"/>
          <w:szCs w:val="24"/>
        </w:rPr>
        <w:br/>
        <w:t>(w tym terenów powojskowych), zmniejszenie zanieczyszczenia powiet</w:t>
      </w:r>
      <w:r w:rsidR="00F31AC5" w:rsidRPr="00BE6FA1">
        <w:rPr>
          <w:rFonts w:ascii="Times New Roman" w:hAnsi="Times New Roman" w:cs="Times New Roman"/>
          <w:sz w:val="24"/>
          <w:szCs w:val="24"/>
        </w:rPr>
        <w:t>rza i propagowanie działań służ</w:t>
      </w:r>
      <w:r w:rsidRPr="00BE6FA1">
        <w:rPr>
          <w:rFonts w:ascii="Times New Roman" w:hAnsi="Times New Roman" w:cs="Times New Roman"/>
          <w:sz w:val="24"/>
          <w:szCs w:val="24"/>
        </w:rPr>
        <w:t>ących zmniejszeniu hałasu.</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Oś III </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7.2. Rozwój i usprawnianie przyjaznych środowisku (w tym o obniżonej emisji hałasu)</w:t>
      </w:r>
      <w:r w:rsidRPr="00BE6FA1">
        <w:rPr>
          <w:rFonts w:ascii="Times New Roman" w:hAnsi="Times New Roman" w:cs="Times New Roman"/>
          <w:sz w:val="24"/>
          <w:szCs w:val="24"/>
        </w:rPr>
        <w:br/>
        <w:t>i niskoemisyjnych systemów transportu, w tym śródlądowych dróg wodnych i transportu morskiego, portów, połączeń multimodalnych oraz infrastruktury portów lotniczych, w celu promowania zrównoważonej mobilności regionalnej i lokalnej;</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OŚ VI</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4.5. Promowanie strategii niskoemisyjnych dla wszystkich rodzajów terytoriów,</w:t>
      </w:r>
      <w:r w:rsidRPr="00BE6FA1">
        <w:rPr>
          <w:rFonts w:ascii="Times New Roman" w:hAnsi="Times New Roman" w:cs="Times New Roman"/>
          <w:sz w:val="24"/>
          <w:szCs w:val="24"/>
        </w:rPr>
        <w:br/>
        <w:t xml:space="preserve">w szczególności dla obszarów miejskich, w tym wspieranie zrównoważonej multimodalnej </w:t>
      </w:r>
      <w:r w:rsidRPr="00BE6FA1">
        <w:rPr>
          <w:rFonts w:ascii="Times New Roman" w:hAnsi="Times New Roman" w:cs="Times New Roman"/>
          <w:sz w:val="24"/>
          <w:szCs w:val="24"/>
        </w:rPr>
        <w:lastRenderedPageBreak/>
        <w:t>mobilności miejskiej i działań adaptacyjnych mających oddziaływanie łagodzące na zmiany klimatu.</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OŚ VII</w:t>
      </w:r>
    </w:p>
    <w:p w:rsidR="006F54FB" w:rsidRPr="00BE6FA1" w:rsidRDefault="006F54FB" w:rsidP="003A27DA">
      <w:p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7.5. Zwiększenie efektywności energetycznej i bezpieczeństwa dostaw poprzez rozwój inteligentnych systemów dystrybucji, magazynowania i przesyłu energii oraz poprzez integrację rozproszonego wytwarzania energii ze źródeł odnawialnych.</w:t>
      </w:r>
    </w:p>
    <w:p w:rsidR="006F54FB" w:rsidRPr="00BE6FA1" w:rsidRDefault="006F54FB" w:rsidP="003A27DA">
      <w:pPr>
        <w:pStyle w:val="Default0"/>
        <w:spacing w:line="360" w:lineRule="auto"/>
        <w:jc w:val="both"/>
        <w:rPr>
          <w:b/>
          <w:color w:val="auto"/>
          <w:u w:val="single"/>
        </w:rPr>
      </w:pPr>
    </w:p>
    <w:p w:rsidR="006F54FB" w:rsidRPr="00BE6FA1" w:rsidRDefault="006F54FB" w:rsidP="003A27DA">
      <w:pPr>
        <w:pStyle w:val="Default0"/>
        <w:spacing w:line="360" w:lineRule="auto"/>
        <w:jc w:val="both"/>
        <w:rPr>
          <w:b/>
          <w:color w:val="auto"/>
          <w:u w:val="single"/>
        </w:rPr>
      </w:pPr>
    </w:p>
    <w:p w:rsidR="006F54FB" w:rsidRPr="00BE6FA1" w:rsidRDefault="006F54FB" w:rsidP="009A7AFF">
      <w:pPr>
        <w:pStyle w:val="Default0"/>
        <w:widowControl w:val="0"/>
        <w:numPr>
          <w:ilvl w:val="0"/>
          <w:numId w:val="34"/>
        </w:numPr>
        <w:autoSpaceDE/>
        <w:autoSpaceDN/>
        <w:adjustRightInd/>
        <w:spacing w:after="200" w:line="360" w:lineRule="auto"/>
        <w:jc w:val="both"/>
        <w:rPr>
          <w:b/>
          <w:color w:val="auto"/>
        </w:rPr>
      </w:pPr>
      <w:r w:rsidRPr="00BE6FA1">
        <w:rPr>
          <w:b/>
          <w:color w:val="auto"/>
        </w:rPr>
        <w:t xml:space="preserve"> Regionalny Program Operacyjny Województwa Podkarpackiego na lata </w:t>
      </w:r>
      <w:r w:rsidR="00F31AC5" w:rsidRPr="00BE6FA1">
        <w:rPr>
          <w:b/>
          <w:color w:val="auto"/>
        </w:rPr>
        <w:br/>
      </w:r>
      <w:r w:rsidRPr="00BE6FA1">
        <w:rPr>
          <w:b/>
          <w:color w:val="auto"/>
        </w:rPr>
        <w:t xml:space="preserve">2014-2020 </w:t>
      </w:r>
    </w:p>
    <w:p w:rsidR="006F54FB" w:rsidRPr="00BE6FA1" w:rsidRDefault="006F54FB" w:rsidP="003A27DA">
      <w:pPr>
        <w:pStyle w:val="Default0"/>
        <w:spacing w:line="360" w:lineRule="auto"/>
        <w:ind w:firstLine="720"/>
        <w:jc w:val="both"/>
        <w:rPr>
          <w:color w:val="auto"/>
          <w:highlight w:val="yellow"/>
        </w:rPr>
      </w:pPr>
      <w:r w:rsidRPr="00BE6FA1">
        <w:rPr>
          <w:color w:val="auto"/>
        </w:rPr>
        <w:t>Zakres Regionalnego Programu Operacyjnego Województwa Podkarpackiego na lata 2014-2020 jest odpowiedzią na wyzwania rozwojowe, określone dla regionu w głównych dokumentach strategicznych i uwzględnia te obszary interwencji, których realizacja przyniesie największe efekty. Program formułuje ramy interwencji dla prowadzenia działań wpisujących się w trzy priorytety określone w głównym dokumencie kierunkowym dla polityki spójności, jakim jest Strategia na rzecz inteligentnego i zrównoważonego rozwoju sprzyjającego włączeniu społecznemu Europa 2020.</w:t>
      </w:r>
    </w:p>
    <w:p w:rsidR="006F54FB" w:rsidRPr="00BE6FA1" w:rsidRDefault="006F54FB" w:rsidP="003A27DA">
      <w:pPr>
        <w:pStyle w:val="Default0"/>
        <w:spacing w:line="360" w:lineRule="auto"/>
        <w:ind w:firstLine="720"/>
        <w:jc w:val="both"/>
        <w:rPr>
          <w:color w:val="auto"/>
        </w:rPr>
      </w:pPr>
      <w:r w:rsidRPr="00BE6FA1">
        <w:rPr>
          <w:color w:val="auto"/>
        </w:rPr>
        <w:t xml:space="preserve">W Regionalnym Programie Operacyjnym dla województwa Podkarpackiego na lata 2014-2020 (projekt z dnia 9 kwietnia 2014) wyznaczono 10 osi priorytetowych: </w:t>
      </w:r>
    </w:p>
    <w:p w:rsidR="006F54FB" w:rsidRPr="00BE6FA1" w:rsidRDefault="006F54FB" w:rsidP="003A27DA">
      <w:pPr>
        <w:pStyle w:val="Default0"/>
        <w:spacing w:after="30" w:line="360" w:lineRule="auto"/>
        <w:jc w:val="both"/>
        <w:rPr>
          <w:color w:val="auto"/>
        </w:rPr>
      </w:pPr>
      <w:r w:rsidRPr="00BE6FA1">
        <w:rPr>
          <w:color w:val="auto"/>
        </w:rPr>
        <w:t xml:space="preserve">OŚ Priorytetowa 1. Konkurencyjna i innowacyjna gospodarka. </w:t>
      </w:r>
    </w:p>
    <w:p w:rsidR="006F54FB" w:rsidRPr="00BE6FA1" w:rsidRDefault="006F54FB" w:rsidP="003A27DA">
      <w:pPr>
        <w:pStyle w:val="Default0"/>
        <w:spacing w:after="30" w:line="360" w:lineRule="auto"/>
        <w:jc w:val="both"/>
        <w:rPr>
          <w:color w:val="auto"/>
        </w:rPr>
      </w:pPr>
      <w:r w:rsidRPr="00BE6FA1">
        <w:rPr>
          <w:color w:val="auto"/>
        </w:rPr>
        <w:t xml:space="preserve">OŚ Priorytetowa 2. Cyfrowe Podkarpacie. </w:t>
      </w:r>
    </w:p>
    <w:p w:rsidR="006F54FB" w:rsidRPr="00BE6FA1" w:rsidRDefault="006F54FB" w:rsidP="003A27DA">
      <w:pPr>
        <w:pStyle w:val="Default0"/>
        <w:spacing w:after="30" w:line="360" w:lineRule="auto"/>
        <w:jc w:val="both"/>
        <w:rPr>
          <w:color w:val="auto"/>
        </w:rPr>
      </w:pPr>
      <w:r w:rsidRPr="00BE6FA1">
        <w:rPr>
          <w:color w:val="auto"/>
        </w:rPr>
        <w:t xml:space="preserve">OŚ Priorytetowa 3. Czysta energia. </w:t>
      </w:r>
    </w:p>
    <w:p w:rsidR="006F54FB" w:rsidRPr="00BE6FA1" w:rsidRDefault="006F54FB" w:rsidP="003A27DA">
      <w:pPr>
        <w:pStyle w:val="Default0"/>
        <w:spacing w:after="30" w:line="360" w:lineRule="auto"/>
        <w:jc w:val="both"/>
        <w:rPr>
          <w:color w:val="auto"/>
        </w:rPr>
      </w:pPr>
      <w:r w:rsidRPr="00BE6FA1">
        <w:rPr>
          <w:color w:val="auto"/>
        </w:rPr>
        <w:t xml:space="preserve">OŚ Priorytetowa 4. Ochrona środowiska naturalnego i dziedzictwa kulturowego. </w:t>
      </w:r>
    </w:p>
    <w:p w:rsidR="006F54FB" w:rsidRPr="00BE6FA1" w:rsidRDefault="006F54FB" w:rsidP="003A27DA">
      <w:pPr>
        <w:pStyle w:val="Default0"/>
        <w:spacing w:after="30" w:line="360" w:lineRule="auto"/>
        <w:jc w:val="both"/>
        <w:rPr>
          <w:color w:val="auto"/>
        </w:rPr>
      </w:pPr>
      <w:r w:rsidRPr="00BE6FA1">
        <w:rPr>
          <w:color w:val="auto"/>
        </w:rPr>
        <w:t xml:space="preserve">OŚ Priorytetowa 5. Infrastruktura komunikacyjna. </w:t>
      </w:r>
    </w:p>
    <w:p w:rsidR="006F54FB" w:rsidRPr="00BE6FA1" w:rsidRDefault="006F54FB" w:rsidP="003A27DA">
      <w:pPr>
        <w:pStyle w:val="Default0"/>
        <w:spacing w:after="30" w:line="360" w:lineRule="auto"/>
        <w:jc w:val="both"/>
        <w:rPr>
          <w:color w:val="auto"/>
        </w:rPr>
      </w:pPr>
      <w:r w:rsidRPr="00BE6FA1">
        <w:rPr>
          <w:color w:val="auto"/>
        </w:rPr>
        <w:t xml:space="preserve">OŚ Priorytetowa 6. Spójność przestrzenna i społeczna. </w:t>
      </w:r>
    </w:p>
    <w:p w:rsidR="006F54FB" w:rsidRPr="00BE6FA1" w:rsidRDefault="006F54FB" w:rsidP="003A27DA">
      <w:pPr>
        <w:pStyle w:val="Default0"/>
        <w:spacing w:after="30" w:line="360" w:lineRule="auto"/>
        <w:jc w:val="both"/>
        <w:rPr>
          <w:color w:val="auto"/>
        </w:rPr>
      </w:pPr>
      <w:r w:rsidRPr="00BE6FA1">
        <w:rPr>
          <w:color w:val="auto"/>
        </w:rPr>
        <w:t xml:space="preserve">OŚ Priorytetowa 7. Regionalny rynek pracy. </w:t>
      </w:r>
    </w:p>
    <w:p w:rsidR="006F54FB" w:rsidRPr="00BE6FA1" w:rsidRDefault="006F54FB" w:rsidP="003A27DA">
      <w:pPr>
        <w:pStyle w:val="Default0"/>
        <w:spacing w:after="30" w:line="360" w:lineRule="auto"/>
        <w:jc w:val="both"/>
        <w:rPr>
          <w:color w:val="auto"/>
        </w:rPr>
      </w:pPr>
      <w:r w:rsidRPr="00BE6FA1">
        <w:rPr>
          <w:color w:val="auto"/>
          <w:sz w:val="22"/>
        </w:rPr>
        <w:t xml:space="preserve">OŚ Priorytetowa 8. Integracja społeczna. </w:t>
      </w:r>
    </w:p>
    <w:p w:rsidR="006F54FB" w:rsidRPr="00BE6FA1" w:rsidRDefault="006F54FB" w:rsidP="003A27DA">
      <w:pPr>
        <w:pStyle w:val="Default0"/>
        <w:spacing w:after="30" w:line="360" w:lineRule="auto"/>
        <w:jc w:val="both"/>
        <w:rPr>
          <w:color w:val="auto"/>
        </w:rPr>
      </w:pPr>
      <w:r w:rsidRPr="00BE6FA1">
        <w:rPr>
          <w:color w:val="auto"/>
          <w:sz w:val="22"/>
        </w:rPr>
        <w:t xml:space="preserve">OŚ Priorytetowa 9: Jakość edukacji i kompetencji w regionie. </w:t>
      </w:r>
    </w:p>
    <w:p w:rsidR="006F54FB" w:rsidRPr="00BE6FA1" w:rsidRDefault="006F54FB" w:rsidP="003A27DA">
      <w:pPr>
        <w:pStyle w:val="Default0"/>
        <w:spacing w:line="360" w:lineRule="auto"/>
        <w:jc w:val="both"/>
        <w:rPr>
          <w:color w:val="auto"/>
          <w:sz w:val="22"/>
        </w:rPr>
      </w:pPr>
      <w:r w:rsidRPr="00BE6FA1">
        <w:rPr>
          <w:color w:val="auto"/>
          <w:sz w:val="22"/>
        </w:rPr>
        <w:t xml:space="preserve">OŚ Priorytetowa 10: Pomoc techniczna. </w:t>
      </w:r>
    </w:p>
    <w:p w:rsidR="006F54FB" w:rsidRPr="00BE6FA1" w:rsidRDefault="006F54FB" w:rsidP="003A27DA">
      <w:pPr>
        <w:pStyle w:val="Default0"/>
        <w:spacing w:line="360" w:lineRule="auto"/>
        <w:jc w:val="both"/>
        <w:rPr>
          <w:color w:val="auto"/>
        </w:rPr>
      </w:pPr>
    </w:p>
    <w:p w:rsidR="006F54FB" w:rsidRPr="00BE6FA1" w:rsidRDefault="006F54FB" w:rsidP="003A27DA">
      <w:pPr>
        <w:spacing w:line="360" w:lineRule="auto"/>
        <w:jc w:val="both"/>
        <w:rPr>
          <w:rFonts w:ascii="Times New Roman" w:hAnsi="Times New Roman" w:cs="Times New Roman"/>
          <w:b/>
          <w:sz w:val="24"/>
          <w:u w:val="single"/>
        </w:rPr>
      </w:pPr>
      <w:r w:rsidRPr="00BE6FA1">
        <w:rPr>
          <w:rFonts w:ascii="Times New Roman" w:hAnsi="Times New Roman" w:cs="Times New Roman"/>
          <w:b/>
          <w:sz w:val="24"/>
          <w:u w:val="single"/>
        </w:rPr>
        <w:t xml:space="preserve">Oś priorytetowa 3. Czysta energia </w:t>
      </w:r>
    </w:p>
    <w:p w:rsidR="006F54FB" w:rsidRPr="00BE6FA1" w:rsidRDefault="006F54FB" w:rsidP="003A27DA">
      <w:pPr>
        <w:tabs>
          <w:tab w:val="left" w:pos="427"/>
        </w:tabs>
        <w:spacing w:before="115" w:after="0" w:line="360" w:lineRule="auto"/>
        <w:jc w:val="both"/>
        <w:rPr>
          <w:rFonts w:ascii="Times New Roman" w:hAnsi="Times New Roman" w:cs="Times New Roman"/>
          <w:sz w:val="24"/>
        </w:rPr>
      </w:pPr>
      <w:r w:rsidRPr="00BE6FA1">
        <w:rPr>
          <w:rStyle w:val="Wyrnienie"/>
          <w:rFonts w:ascii="Times New Roman" w:hAnsi="Times New Roman" w:cs="Times New Roman"/>
          <w:sz w:val="24"/>
          <w:szCs w:val="24"/>
        </w:rPr>
        <w:lastRenderedPageBreak/>
        <w:tab/>
        <w:t>Realizowane inwestycje powinny przyczyniać się do osiągnięcia jak największej efektywności energetycznej oraz jak najmniejszej emisji, CO</w:t>
      </w:r>
      <w:r w:rsidRPr="00BE6FA1">
        <w:rPr>
          <w:rStyle w:val="Wyrnienie"/>
          <w:rFonts w:ascii="Times New Roman" w:hAnsi="Times New Roman" w:cs="Times New Roman"/>
          <w:sz w:val="24"/>
          <w:szCs w:val="24"/>
          <w:vertAlign w:val="subscript"/>
        </w:rPr>
        <w:t>2</w:t>
      </w:r>
      <w:r w:rsidRPr="00BE6FA1">
        <w:rPr>
          <w:rStyle w:val="Wyrnienie"/>
          <w:rFonts w:ascii="Times New Roman" w:hAnsi="Times New Roman" w:cs="Times New Roman"/>
          <w:sz w:val="24"/>
          <w:szCs w:val="24"/>
        </w:rPr>
        <w:t xml:space="preserve"> i innych zanieczyszczeń powietrza. W celu poprawy efektywności sektora energetycznego i zneutralizowania jego negatywnego wpływu na środowisko, należy wspierać wykorzystanie OZE w systemach wysokosprawnej </w:t>
      </w:r>
      <w:r w:rsidR="00F31AC5" w:rsidRPr="00BE6FA1">
        <w:rPr>
          <w:rStyle w:val="Wyrnienie"/>
          <w:rFonts w:ascii="Times New Roman" w:hAnsi="Times New Roman" w:cs="Times New Roman"/>
          <w:sz w:val="24"/>
          <w:szCs w:val="24"/>
        </w:rPr>
        <w:pgNum/>
      </w:r>
      <w:r w:rsidR="00F31AC5" w:rsidRPr="00BE6FA1">
        <w:rPr>
          <w:rStyle w:val="Wyrnienie"/>
          <w:rFonts w:ascii="Times New Roman" w:hAnsi="Times New Roman" w:cs="Times New Roman"/>
          <w:sz w:val="24"/>
          <w:szCs w:val="24"/>
        </w:rPr>
        <w:t>kogeneracji</w:t>
      </w:r>
      <w:r w:rsidRPr="00BE6FA1">
        <w:rPr>
          <w:rStyle w:val="Wyrnienie"/>
          <w:rFonts w:ascii="Times New Roman" w:hAnsi="Times New Roman" w:cs="Times New Roman"/>
          <w:sz w:val="24"/>
          <w:szCs w:val="24"/>
        </w:rPr>
        <w:t xml:space="preserve">, poprzez budowę nowych i modernizację istniejących. Interwencja ukierunkowana jest na zwiększenie wzrostu produkcji z OZE poprzez racjonalne wykorzystanie zasobów, zwiększenie efektywności energetycznej, wzrost bezpieczeństwa energetycznego i dywersyfikację źródeł. Synergiczna produkcja energii elektrycznej/cieplnej </w:t>
      </w:r>
      <w:r w:rsidR="00F31AC5"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z OZE jest alternatywą dla zasobów nieodnawialnych i pozwoli na osiągniecie celu Europa 2020. Interwencja w zakresie energetyki wodnej będzie dotyczyć wyłącznie małych elektrowni wodnych poprzez modernizację istniejących piętrzeń, w zakresie energetyki wiatrowej-mikro</w:t>
      </w:r>
      <w:r w:rsidR="00F31AC5"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 xml:space="preserve"> i małe turbiny, w zakresie energetyki solarnej </w:t>
      </w:r>
      <w:r w:rsidR="008A241B" w:rsidRPr="00BE6FA1">
        <w:rPr>
          <w:rStyle w:val="Wyrnienie"/>
          <w:rFonts w:ascii="Times New Roman" w:hAnsi="Times New Roman" w:cs="Times New Roman"/>
          <w:sz w:val="24"/>
          <w:szCs w:val="24"/>
        </w:rPr>
        <w:t>–</w:t>
      </w:r>
      <w:r w:rsidRPr="00BE6FA1">
        <w:rPr>
          <w:rStyle w:val="Wyrnienie"/>
          <w:rFonts w:ascii="Times New Roman" w:hAnsi="Times New Roman" w:cs="Times New Roman"/>
          <w:sz w:val="24"/>
          <w:szCs w:val="24"/>
        </w:rPr>
        <w:t xml:space="preserve"> kolektory słoneczne i ogniwa fotowoltaiczne, </w:t>
      </w:r>
      <w:r w:rsidR="00F31AC5"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w zakresie geotermii na cele produkcji ciepła. Instalowane jednostki wykorzystujące OZE, mogą mieć ch</w:t>
      </w:r>
      <w:r w:rsidR="00F31AC5" w:rsidRPr="00BE6FA1">
        <w:rPr>
          <w:rStyle w:val="Wyrnienie"/>
          <w:rFonts w:ascii="Times New Roman" w:hAnsi="Times New Roman" w:cs="Times New Roman"/>
          <w:sz w:val="24"/>
          <w:szCs w:val="24"/>
        </w:rPr>
        <w:t>arakter mikro źródeł i systemów kogeneracyjnych</w:t>
      </w:r>
      <w:r w:rsidRPr="00BE6FA1">
        <w:rPr>
          <w:rStyle w:val="Wyrnienie"/>
          <w:rFonts w:ascii="Times New Roman" w:hAnsi="Times New Roman" w:cs="Times New Roman"/>
          <w:sz w:val="24"/>
          <w:szCs w:val="24"/>
        </w:rPr>
        <w:t xml:space="preserve">. Lokalizacja inwestycji będzie uwzględniała ograniczenia obszarowych form ochrony przyrody w tym obszary Natura 2000 </w:t>
      </w:r>
      <w:r w:rsidR="00F31AC5" w:rsidRPr="00BE6FA1">
        <w:rPr>
          <w:rStyle w:val="Wyrnienie"/>
          <w:rFonts w:ascii="Times New Roman" w:hAnsi="Times New Roman" w:cs="Times New Roman"/>
          <w:sz w:val="24"/>
          <w:szCs w:val="24"/>
        </w:rPr>
        <w:br/>
      </w:r>
      <w:r w:rsidRPr="00BE6FA1">
        <w:rPr>
          <w:rStyle w:val="Wyrnienie"/>
          <w:rFonts w:ascii="Times New Roman" w:hAnsi="Times New Roman" w:cs="Times New Roman"/>
          <w:sz w:val="24"/>
          <w:szCs w:val="24"/>
        </w:rPr>
        <w:t>i korytarze migracyjne zwierząt oraz inne ograniczenia wskazane w opracowaniach regionalnych w tym zakresie oraz przy spełnieniu zapisów Dyrektywy Wodnej. Poprawa efektywności energetycznej jest osiągana również przez zastosowanie wydajniejszych technologii lub procesów produkcyjnych. Ograniczanie zużycia energii obniża koszty eksploatacji gdyż zmniejsza się zapotrzebowanie na energię oraz przyczynia się do oszczędności w wydatkach konsumentów, pod warunkiem, że oszczędności energetyczne są wyższe niż koszty, związane z wdrażaniem energooszczędnych technologii.</w:t>
      </w:r>
    </w:p>
    <w:p w:rsidR="006F54FB" w:rsidRPr="00BE6FA1" w:rsidRDefault="006F54FB" w:rsidP="003A27DA">
      <w:pPr>
        <w:spacing w:line="360" w:lineRule="auto"/>
        <w:jc w:val="both"/>
        <w:rPr>
          <w:rFonts w:ascii="Times New Roman" w:hAnsi="Times New Roman" w:cs="Times New Roman"/>
          <w:sz w:val="24"/>
          <w:szCs w:val="24"/>
        </w:rPr>
      </w:pPr>
    </w:p>
    <w:p w:rsidR="006F54FB" w:rsidRPr="00BE6FA1" w:rsidRDefault="006F54FB" w:rsidP="003A27DA">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szCs w:val="24"/>
        </w:rPr>
        <w:t>Priorytety inwestycyjne i cele szczegółowe w ramach Osi Priorytetowej 3: Czysta energia</w:t>
      </w:r>
    </w:p>
    <w:p w:rsidR="006F54FB" w:rsidRPr="00BE6FA1" w:rsidRDefault="006F54FB" w:rsidP="003A27DA">
      <w:pPr>
        <w:autoSpaceDE w:val="0"/>
        <w:autoSpaceDN w:val="0"/>
        <w:adjustRightInd w:val="0"/>
        <w:spacing w:after="0" w:line="360" w:lineRule="auto"/>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Priorytet inwestycyjny: </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 xml:space="preserve">Wspieranie wytwarzania i dystrybucji energii pochodzącej ze źródeł odnawialnych </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 xml:space="preserve">Cel szczegółowy: Zwiększony poziom produkcji energii z odnawialnych źródeł energii </w:t>
      </w:r>
      <w:r w:rsidRPr="00BE6FA1">
        <w:rPr>
          <w:rFonts w:ascii="Times New Roman" w:hAnsi="Times New Roman" w:cs="Times New Roman"/>
          <w:bCs/>
          <w:sz w:val="24"/>
          <w:szCs w:val="24"/>
        </w:rPr>
        <w:br/>
        <w:t>w generacji rozproszonej</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Priorytet inwestycyjny: </w:t>
      </w:r>
    </w:p>
    <w:p w:rsidR="006F54FB" w:rsidRPr="00BE6FA1" w:rsidRDefault="006F54FB" w:rsidP="003A27DA">
      <w:p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bCs/>
          <w:sz w:val="24"/>
          <w:szCs w:val="24"/>
        </w:rPr>
        <w:lastRenderedPageBreak/>
        <w:t>Wspieranie efektywności energetycznej, inteligentnego zarządzania energią</w:t>
      </w:r>
      <w:r w:rsidRPr="00BE6FA1">
        <w:rPr>
          <w:rFonts w:ascii="Times New Roman" w:hAnsi="Times New Roman" w:cs="Times New Roman"/>
          <w:bCs/>
          <w:sz w:val="24"/>
          <w:szCs w:val="24"/>
        </w:rPr>
        <w:br/>
        <w:t xml:space="preserve">i wykorzystywania odnawialnych źródeł energii w infrastrukturze publicznej, w tym </w:t>
      </w:r>
      <w:r w:rsidRPr="00BE6FA1">
        <w:rPr>
          <w:rFonts w:ascii="Times New Roman" w:hAnsi="Times New Roman" w:cs="Times New Roman"/>
          <w:bCs/>
          <w:sz w:val="24"/>
          <w:szCs w:val="24"/>
        </w:rPr>
        <w:br/>
        <w:t xml:space="preserve">w budynkach publicznych i w sektorze mieszkaniowym </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 xml:space="preserve">Cel szczegółowy: Zwiększona efektywność energetyczna w sektorze mieszkaniowym </w:t>
      </w:r>
      <w:r w:rsidRPr="00BE6FA1">
        <w:rPr>
          <w:rFonts w:ascii="Times New Roman" w:hAnsi="Times New Roman" w:cs="Times New Roman"/>
          <w:bCs/>
          <w:sz w:val="24"/>
          <w:szCs w:val="24"/>
        </w:rPr>
        <w:br/>
        <w:t>i budynkach użyteczności publicznej</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Priorytet inwestycyjny: </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 xml:space="preserve">Promowanie strategii niskoemisyjnych dla wszystkich rodzajów terytoriów, </w:t>
      </w:r>
      <w:r w:rsidRPr="00BE6FA1">
        <w:rPr>
          <w:rFonts w:ascii="Times New Roman" w:hAnsi="Times New Roman" w:cs="Times New Roman"/>
          <w:bCs/>
          <w:sz w:val="24"/>
          <w:szCs w:val="24"/>
        </w:rPr>
        <w:br/>
        <w:t xml:space="preserve">w szczególności dla obszarów miejskich, w tym wspieranie zrównoważonej multimodalnej mobilności miejskiej i działań adaptacyjnych mających oddziaływanie łagodzące na zmiany klimatu </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Cel szczegółowy: Obniżona emisyjność pyłów w ośrodkach miejskich województwa</w:t>
      </w:r>
    </w:p>
    <w:p w:rsidR="006F54FB" w:rsidRPr="00BE6FA1" w:rsidRDefault="006F54FB" w:rsidP="003A27DA">
      <w:pPr>
        <w:autoSpaceDE w:val="0"/>
        <w:autoSpaceDN w:val="0"/>
        <w:adjustRightInd w:val="0"/>
        <w:spacing w:after="0" w:line="360" w:lineRule="auto"/>
        <w:jc w:val="both"/>
        <w:rPr>
          <w:rFonts w:ascii="Times New Roman" w:hAnsi="Times New Roman" w:cs="Times New Roman"/>
          <w:bCs/>
          <w:sz w:val="24"/>
          <w:szCs w:val="24"/>
        </w:rPr>
      </w:pPr>
    </w:p>
    <w:p w:rsidR="006F54FB" w:rsidRPr="00BE6FA1" w:rsidRDefault="006F54FB" w:rsidP="003A27DA">
      <w:pPr>
        <w:autoSpaceDE w:val="0"/>
        <w:autoSpaceDN w:val="0"/>
        <w:adjustRightInd w:val="0"/>
        <w:spacing w:after="0" w:line="360" w:lineRule="auto"/>
        <w:jc w:val="both"/>
        <w:rPr>
          <w:rFonts w:ascii="Times New Roman" w:hAnsi="Times New Roman" w:cs="Times New Roman"/>
          <w:b/>
          <w:bCs/>
          <w:sz w:val="24"/>
          <w:szCs w:val="24"/>
        </w:rPr>
      </w:pPr>
      <w:r w:rsidRPr="00BE6FA1">
        <w:rPr>
          <w:rFonts w:ascii="Times New Roman" w:hAnsi="Times New Roman" w:cs="Times New Roman"/>
          <w:b/>
          <w:bCs/>
          <w:sz w:val="24"/>
          <w:szCs w:val="24"/>
        </w:rPr>
        <w:t xml:space="preserve">Priorytet inwestycyjny: </w:t>
      </w:r>
    </w:p>
    <w:p w:rsidR="006F54FB" w:rsidRPr="00BE6FA1" w:rsidRDefault="006F54FB" w:rsidP="003A27DA">
      <w:pPr>
        <w:autoSpaceDE w:val="0"/>
        <w:autoSpaceDN w:val="0"/>
        <w:adjustRightInd w:val="0"/>
        <w:spacing w:after="0" w:line="360" w:lineRule="auto"/>
        <w:jc w:val="both"/>
        <w:rPr>
          <w:rFonts w:ascii="Times New Roman" w:hAnsi="Times New Roman" w:cs="Times New Roman"/>
          <w:sz w:val="24"/>
          <w:szCs w:val="24"/>
        </w:rPr>
      </w:pPr>
      <w:r w:rsidRPr="00BE6FA1">
        <w:rPr>
          <w:rFonts w:ascii="Times New Roman" w:hAnsi="Times New Roman" w:cs="Times New Roman"/>
          <w:bCs/>
          <w:sz w:val="24"/>
          <w:szCs w:val="24"/>
        </w:rPr>
        <w:t xml:space="preserve">Podejmowanie przedsięwzięć mających na celu poprawę stanu jakości środowiska miejskiego, rewitalizację miast, rekultywację i dekontaminację terenów poprzemysłowych </w:t>
      </w:r>
      <w:r w:rsidRPr="00BE6FA1">
        <w:rPr>
          <w:rFonts w:ascii="Times New Roman" w:hAnsi="Times New Roman" w:cs="Times New Roman"/>
          <w:bCs/>
          <w:sz w:val="24"/>
          <w:szCs w:val="24"/>
        </w:rPr>
        <w:br/>
        <w:t xml:space="preserve">(w tym terenów powojskowych), zmniejszenie zanieczyszczenia powietrza i propagowanie działań służących zmniejszeniu hałasu </w:t>
      </w:r>
    </w:p>
    <w:p w:rsidR="006F54FB" w:rsidRPr="00BE6FA1" w:rsidRDefault="006F54FB" w:rsidP="003A27DA">
      <w:pPr>
        <w:autoSpaceDE w:val="0"/>
        <w:autoSpaceDN w:val="0"/>
        <w:adjustRightInd w:val="0"/>
        <w:spacing w:after="0" w:line="360" w:lineRule="auto"/>
        <w:jc w:val="both"/>
        <w:rPr>
          <w:rFonts w:ascii="Times New Roman" w:hAnsi="Times New Roman" w:cs="Times New Roman"/>
          <w:sz w:val="24"/>
          <w:szCs w:val="24"/>
        </w:rPr>
      </w:pPr>
    </w:p>
    <w:p w:rsidR="006F54FB" w:rsidRPr="00BE6FA1" w:rsidRDefault="006F54FB" w:rsidP="003A27DA">
      <w:pPr>
        <w:spacing w:line="360" w:lineRule="auto"/>
        <w:jc w:val="both"/>
        <w:rPr>
          <w:rFonts w:ascii="Times New Roman" w:hAnsi="Times New Roman" w:cs="Times New Roman"/>
          <w:bCs/>
          <w:sz w:val="24"/>
          <w:szCs w:val="24"/>
        </w:rPr>
      </w:pPr>
      <w:r w:rsidRPr="00BE6FA1">
        <w:rPr>
          <w:rFonts w:ascii="Times New Roman" w:hAnsi="Times New Roman" w:cs="Times New Roman"/>
          <w:bCs/>
          <w:sz w:val="24"/>
          <w:szCs w:val="24"/>
        </w:rPr>
        <w:t>Cel szczegółowy: Lepsza jakość powietrza w ośrodkach miejskich województwa</w:t>
      </w:r>
    </w:p>
    <w:p w:rsidR="006F54FB" w:rsidRPr="00BE6FA1" w:rsidRDefault="006F54FB" w:rsidP="009A7AFF">
      <w:pPr>
        <w:pStyle w:val="Akapitzlist"/>
        <w:numPr>
          <w:ilvl w:val="0"/>
          <w:numId w:val="34"/>
        </w:numPr>
        <w:spacing w:line="360" w:lineRule="auto"/>
        <w:rPr>
          <w:rFonts w:ascii="Times New Roman" w:hAnsi="Times New Roman" w:cs="Times New Roman"/>
          <w:b/>
          <w:sz w:val="24"/>
        </w:rPr>
      </w:pPr>
      <w:r w:rsidRPr="00BE6FA1">
        <w:rPr>
          <w:rFonts w:ascii="Times New Roman" w:hAnsi="Times New Roman" w:cs="Times New Roman"/>
          <w:b/>
          <w:sz w:val="24"/>
        </w:rPr>
        <w:t xml:space="preserve">Fundusz Termomodernizacji i </w:t>
      </w:r>
      <w:r w:rsidR="00F31AC5" w:rsidRPr="00BE6FA1">
        <w:rPr>
          <w:rFonts w:ascii="Times New Roman" w:hAnsi="Times New Roman" w:cs="Times New Roman"/>
          <w:b/>
          <w:sz w:val="24"/>
        </w:rPr>
        <w:t>Remontów</w:t>
      </w:r>
    </w:p>
    <w:p w:rsidR="006F54FB" w:rsidRPr="00BE6FA1" w:rsidRDefault="006F54FB" w:rsidP="008A241B">
      <w:pPr>
        <w:spacing w:after="225" w:line="360" w:lineRule="auto"/>
        <w:ind w:left="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Podstawowym celem Funduszu Termomodernizacji i Remontów jest pomoc finansowa dla inwestoró</w:t>
      </w:r>
      <w:r w:rsidR="00F31AC5" w:rsidRPr="00BE6FA1">
        <w:rPr>
          <w:rFonts w:ascii="Times New Roman" w:eastAsia="Times New Roman" w:hAnsi="Times New Roman" w:cs="Times New Roman"/>
          <w:sz w:val="24"/>
          <w:szCs w:val="24"/>
        </w:rPr>
        <w:t xml:space="preserve">w realizujących przedsięwzięcia termo modernizacyjne </w:t>
      </w:r>
      <w:r w:rsidR="00F31AC5"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 xml:space="preserve">i remontowe oraz wypłata rekompensat dla właścicieli budynków mieszkalnych, </w:t>
      </w:r>
      <w:r w:rsidR="0071247C"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 xml:space="preserve">w których były lokale kwaterunkowe. </w:t>
      </w:r>
      <w:r w:rsidRPr="00BE6FA1">
        <w:rPr>
          <w:rFonts w:ascii="Times New Roman" w:hAnsi="Times New Roman" w:cs="Times New Roman"/>
          <w:sz w:val="24"/>
          <w:szCs w:val="24"/>
          <w:shd w:val="clear" w:color="auto" w:fill="FFFFFF"/>
        </w:rPr>
        <w:t>Premia jest przyznawania przez Bank Gospodarstwa Krajowego.</w:t>
      </w:r>
      <w:r w:rsidRPr="00BE6FA1">
        <w:rPr>
          <w:rStyle w:val="apple-converted-space"/>
          <w:rFonts w:ascii="Times New Roman" w:hAnsi="Times New Roman" w:cs="Times New Roman"/>
          <w:sz w:val="24"/>
          <w:szCs w:val="24"/>
          <w:shd w:val="clear" w:color="auto" w:fill="FFFFFF"/>
        </w:rPr>
        <w:t> </w:t>
      </w:r>
      <w:r w:rsidRPr="00BE6FA1">
        <w:rPr>
          <w:rFonts w:ascii="Times New Roman" w:eastAsia="Times New Roman" w:hAnsi="Times New Roman" w:cs="Times New Roman"/>
          <w:sz w:val="24"/>
          <w:szCs w:val="24"/>
        </w:rPr>
        <w:t xml:space="preserve">Poniższe informacje uzyskano ze strony internetowej: </w:t>
      </w:r>
      <w:r w:rsidR="0071247C" w:rsidRPr="00BE6FA1">
        <w:rPr>
          <w:rFonts w:ascii="Times New Roman" w:eastAsia="Times New Roman" w:hAnsi="Times New Roman" w:cs="Times New Roman"/>
          <w:sz w:val="24"/>
          <w:szCs w:val="24"/>
        </w:rPr>
        <w:t>www.bgk.pl.</w:t>
      </w:r>
    </w:p>
    <w:p w:rsidR="0071247C" w:rsidRPr="00BE6FA1" w:rsidRDefault="0071247C" w:rsidP="008A241B">
      <w:pPr>
        <w:spacing w:after="225" w:line="360" w:lineRule="auto"/>
        <w:ind w:left="720"/>
        <w:jc w:val="both"/>
        <w:rPr>
          <w:rFonts w:ascii="Times New Roman" w:eastAsia="Times New Roman" w:hAnsi="Times New Roman" w:cs="Times New Roman"/>
          <w:sz w:val="24"/>
          <w:szCs w:val="24"/>
        </w:rPr>
      </w:pPr>
    </w:p>
    <w:p w:rsidR="0071247C" w:rsidRPr="00BE6FA1" w:rsidRDefault="0071247C" w:rsidP="008A241B">
      <w:pPr>
        <w:spacing w:after="225" w:line="360" w:lineRule="auto"/>
        <w:ind w:left="720"/>
        <w:jc w:val="both"/>
        <w:rPr>
          <w:rFonts w:ascii="Times New Roman" w:eastAsia="Times New Roman" w:hAnsi="Times New Roman" w:cs="Times New Roman"/>
          <w:sz w:val="24"/>
          <w:szCs w:val="24"/>
        </w:rPr>
      </w:pPr>
    </w:p>
    <w:p w:rsidR="006F54FB" w:rsidRPr="00BE6FA1" w:rsidRDefault="006F54FB" w:rsidP="003A27DA">
      <w:pPr>
        <w:spacing w:after="225"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Formy pomocy:</w:t>
      </w:r>
    </w:p>
    <w:p w:rsidR="006F54FB" w:rsidRPr="00BE6FA1" w:rsidRDefault="00F31AC5" w:rsidP="009A7AFF">
      <w:pPr>
        <w:numPr>
          <w:ilvl w:val="0"/>
          <w:numId w:val="35"/>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premia termomodernizacyjna</w:t>
      </w:r>
    </w:p>
    <w:p w:rsidR="006F54FB" w:rsidRPr="00BE6FA1" w:rsidRDefault="006F54FB" w:rsidP="009A7AFF">
      <w:pPr>
        <w:numPr>
          <w:ilvl w:val="0"/>
          <w:numId w:val="35"/>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premia remontowa</w:t>
      </w:r>
    </w:p>
    <w:p w:rsidR="006F54FB" w:rsidRPr="00BE6FA1" w:rsidRDefault="006F54FB" w:rsidP="009A7AFF">
      <w:pPr>
        <w:numPr>
          <w:ilvl w:val="0"/>
          <w:numId w:val="35"/>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premia kompensacyjna</w:t>
      </w:r>
    </w:p>
    <w:p w:rsidR="006F54FB" w:rsidRPr="00BE6FA1" w:rsidRDefault="006F54FB" w:rsidP="003A27DA">
      <w:pPr>
        <w:spacing w:after="225" w:line="360" w:lineRule="auto"/>
        <w:jc w:val="both"/>
        <w:rPr>
          <w:rFonts w:ascii="Times New Roman" w:eastAsia="Times New Roman" w:hAnsi="Times New Roman" w:cs="Times New Roman"/>
          <w:b/>
          <w:sz w:val="24"/>
          <w:szCs w:val="24"/>
        </w:rPr>
      </w:pPr>
    </w:p>
    <w:p w:rsidR="002350DE" w:rsidRPr="00BE6FA1" w:rsidRDefault="002350DE" w:rsidP="002350DE">
      <w:pPr>
        <w:spacing w:after="225" w:line="360" w:lineRule="auto"/>
        <w:jc w:val="both"/>
        <w:rPr>
          <w:rFonts w:ascii="Times New Roman" w:eastAsia="Times New Roman" w:hAnsi="Times New Roman" w:cs="Times New Roman"/>
          <w:b/>
          <w:sz w:val="24"/>
          <w:szCs w:val="24"/>
        </w:rPr>
      </w:pPr>
      <w:r w:rsidRPr="00BE6FA1">
        <w:rPr>
          <w:rFonts w:ascii="Times New Roman" w:eastAsia="Times New Roman" w:hAnsi="Times New Roman" w:cs="Times New Roman"/>
          <w:b/>
          <w:sz w:val="24"/>
          <w:szCs w:val="24"/>
        </w:rPr>
        <w:t>Premia termomodernizacyjna</w:t>
      </w:r>
    </w:p>
    <w:p w:rsidR="002350DE" w:rsidRPr="00BE6FA1" w:rsidRDefault="002350DE" w:rsidP="002350DE">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 dofinansowanie projektu w ramach premii termomodernizacyjnej, mogą się ubiegać właściciele lub zarządcy:</w:t>
      </w:r>
    </w:p>
    <w:p w:rsidR="002350DE" w:rsidRPr="00BE6FA1" w:rsidRDefault="002350DE" w:rsidP="009A7AFF">
      <w:pPr>
        <w:numPr>
          <w:ilvl w:val="0"/>
          <w:numId w:val="36"/>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budynków mieszkalnych,</w:t>
      </w:r>
    </w:p>
    <w:p w:rsidR="002350DE" w:rsidRPr="00BE6FA1" w:rsidRDefault="002350DE" w:rsidP="009A7AFF">
      <w:pPr>
        <w:numPr>
          <w:ilvl w:val="0"/>
          <w:numId w:val="36"/>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budynków zbiorowego zamieszkania,</w:t>
      </w:r>
    </w:p>
    <w:p w:rsidR="002350DE" w:rsidRPr="00BE6FA1" w:rsidRDefault="002350DE" w:rsidP="009A7AFF">
      <w:pPr>
        <w:numPr>
          <w:ilvl w:val="0"/>
          <w:numId w:val="36"/>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budynków użyteczności publicznej stanowiących własność jednostek samorządu terytorialnego służących do wykonywania przez nie zadań publicznych,</w:t>
      </w:r>
    </w:p>
    <w:p w:rsidR="002350DE" w:rsidRPr="00BE6FA1" w:rsidRDefault="002350DE" w:rsidP="009A7AFF">
      <w:pPr>
        <w:numPr>
          <w:ilvl w:val="0"/>
          <w:numId w:val="36"/>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lokalnych sieci ciepłowniczych,</w:t>
      </w:r>
    </w:p>
    <w:p w:rsidR="002350DE" w:rsidRPr="00BE6FA1" w:rsidRDefault="002350DE" w:rsidP="009A7AFF">
      <w:pPr>
        <w:numPr>
          <w:ilvl w:val="0"/>
          <w:numId w:val="36"/>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lokalnych źródeł ciepła.</w:t>
      </w:r>
    </w:p>
    <w:p w:rsidR="002350DE" w:rsidRPr="00BE6FA1" w:rsidRDefault="002350DE" w:rsidP="002350DE">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Z premii mogą korzystać inwestorzy bez względu na status prawny z wyłączeniem jednostek budżetowych i samorządowych zakładów budżetowych, a więc np.:</w:t>
      </w:r>
    </w:p>
    <w:p w:rsidR="002350DE" w:rsidRPr="00BE6FA1" w:rsidRDefault="002350DE" w:rsidP="009A7AFF">
      <w:pPr>
        <w:numPr>
          <w:ilvl w:val="0"/>
          <w:numId w:val="37"/>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osoby prawne (m.in. spółdzielnie mieszkaniowe i spółki prawa handlowego),</w:t>
      </w:r>
    </w:p>
    <w:p w:rsidR="002350DE" w:rsidRPr="00BE6FA1" w:rsidRDefault="002350DE" w:rsidP="009A7AFF">
      <w:pPr>
        <w:numPr>
          <w:ilvl w:val="0"/>
          <w:numId w:val="37"/>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jednostki samorządu terytorialnego,</w:t>
      </w:r>
    </w:p>
    <w:p w:rsidR="002350DE" w:rsidRPr="00BE6FA1" w:rsidRDefault="002350DE" w:rsidP="009A7AFF">
      <w:pPr>
        <w:numPr>
          <w:ilvl w:val="0"/>
          <w:numId w:val="37"/>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wspólnoty mieszkaniowe,</w:t>
      </w:r>
    </w:p>
    <w:p w:rsidR="002350DE" w:rsidRPr="00BE6FA1" w:rsidRDefault="002350DE" w:rsidP="009A7AFF">
      <w:pPr>
        <w:numPr>
          <w:ilvl w:val="0"/>
          <w:numId w:val="37"/>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osoby fizyczne (w tym właściciele domów jednorodzinnych).</w:t>
      </w:r>
    </w:p>
    <w:p w:rsidR="002350DE" w:rsidRPr="00BE6FA1" w:rsidRDefault="002350DE" w:rsidP="002350DE">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Premia termomodernizacyjna przysługuje inwestorowi z tytułu realizacji przedsięwzięcia termomodernizacyjnego i stanowi spłatę części kredytu zaciągniętego przez inwestora.</w:t>
      </w:r>
    </w:p>
    <w:p w:rsidR="002350DE" w:rsidRPr="00BE6FA1" w:rsidRDefault="002350DE" w:rsidP="002350DE">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Przysługuje tylko inwestorom korzystającym z kredytu. Nie mogą z niej korzystać inwestorzy realizujący przedsięwzięcie termomodernizacyjne wyłącznie z własnych środków.</w:t>
      </w:r>
    </w:p>
    <w:p w:rsidR="002350DE" w:rsidRPr="00BE6FA1" w:rsidRDefault="002350DE" w:rsidP="002350DE">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Wysokość premii termomodernizacyjnej wynosi 20% kwoty kredytu wykorzystanego na realizację przedsięwzięcia termomodernizacyjnego, jednak nie może wynosić więcej niż:</w:t>
      </w:r>
    </w:p>
    <w:p w:rsidR="002350DE" w:rsidRPr="00BE6FA1" w:rsidRDefault="002350DE" w:rsidP="009A7AFF">
      <w:pPr>
        <w:numPr>
          <w:ilvl w:val="0"/>
          <w:numId w:val="38"/>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16% kosztów poniesionych na realizację przedsięwzięcia termomo</w:t>
      </w:r>
      <w:r w:rsidR="0071247C" w:rsidRPr="00BE6FA1">
        <w:rPr>
          <w:rFonts w:ascii="Times New Roman" w:eastAsia="Times New Roman" w:hAnsi="Times New Roman" w:cs="Times New Roman"/>
          <w:sz w:val="24"/>
          <w:szCs w:val="24"/>
        </w:rPr>
        <w:t>dernizacyjnego</w:t>
      </w:r>
    </w:p>
    <w:p w:rsidR="002350DE" w:rsidRPr="00BE6FA1" w:rsidRDefault="002350DE" w:rsidP="009A7AFF">
      <w:pPr>
        <w:numPr>
          <w:ilvl w:val="0"/>
          <w:numId w:val="38"/>
        </w:numPr>
        <w:spacing w:before="100" w:beforeAutospacing="1" w:after="120" w:line="360" w:lineRule="auto"/>
        <w:ind w:left="0" w:firstLine="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dwukrotność przewidywanych rocznych oszczędności kosztów energii, ustalonych na podstawie audytu energetycznego.</w:t>
      </w:r>
    </w:p>
    <w:p w:rsidR="002350DE" w:rsidRPr="00BE6FA1" w:rsidRDefault="002350DE" w:rsidP="003A27DA">
      <w:pPr>
        <w:spacing w:before="100" w:beforeAutospacing="1" w:after="300" w:line="360" w:lineRule="auto"/>
        <w:jc w:val="both"/>
        <w:rPr>
          <w:rFonts w:ascii="Times New Roman" w:eastAsia="Times New Roman" w:hAnsi="Times New Roman" w:cs="Times New Roman"/>
          <w:b/>
          <w:sz w:val="24"/>
          <w:szCs w:val="24"/>
        </w:rPr>
      </w:pPr>
    </w:p>
    <w:p w:rsidR="006F54FB" w:rsidRPr="00BE6FA1" w:rsidRDefault="006F54FB" w:rsidP="003A27DA">
      <w:pPr>
        <w:spacing w:before="100" w:beforeAutospacing="1" w:after="300" w:line="360" w:lineRule="auto"/>
        <w:jc w:val="both"/>
        <w:rPr>
          <w:rFonts w:ascii="Times New Roman" w:eastAsia="Times New Roman" w:hAnsi="Times New Roman" w:cs="Times New Roman"/>
          <w:b/>
          <w:sz w:val="24"/>
          <w:szCs w:val="24"/>
        </w:rPr>
      </w:pPr>
      <w:r w:rsidRPr="00BE6FA1">
        <w:rPr>
          <w:rFonts w:ascii="Times New Roman" w:eastAsia="Times New Roman" w:hAnsi="Times New Roman" w:cs="Times New Roman"/>
          <w:b/>
          <w:sz w:val="24"/>
          <w:szCs w:val="24"/>
        </w:rPr>
        <w:t>Premia remontowa</w:t>
      </w:r>
    </w:p>
    <w:p w:rsidR="006F54FB" w:rsidRPr="00BE6FA1" w:rsidRDefault="006F54FB" w:rsidP="003A27DA">
      <w:pPr>
        <w:spacing w:before="100" w:beforeAutospacing="1" w:after="300" w:line="360" w:lineRule="auto"/>
        <w:ind w:firstLine="720"/>
        <w:jc w:val="both"/>
        <w:rPr>
          <w:rFonts w:ascii="Times New Roman" w:eastAsia="Times New Roman" w:hAnsi="Times New Roman" w:cs="Times New Roman"/>
          <w:sz w:val="24"/>
          <w:szCs w:val="24"/>
        </w:rPr>
      </w:pPr>
      <w:r w:rsidRPr="00BE6FA1">
        <w:rPr>
          <w:rFonts w:ascii="Times New Roman" w:hAnsi="Times New Roman" w:cs="Times New Roman"/>
          <w:sz w:val="24"/>
          <w:szCs w:val="24"/>
          <w:shd w:val="clear" w:color="auto" w:fill="FFFFFF"/>
        </w:rPr>
        <w:t>O dofinansowanie projektu w ramach premii remontowej, mogą się ubiegać właściciele lub zarządcy budynków wielorodzinnych, których użytkowanie rozpoczęto przed dniem 14 sierpnia 1961 roku.</w:t>
      </w:r>
    </w:p>
    <w:p w:rsidR="006F54FB" w:rsidRPr="00BE6FA1" w:rsidRDefault="006F54FB" w:rsidP="003A27DA">
      <w:pPr>
        <w:pStyle w:val="bodytext"/>
        <w:spacing w:before="0" w:beforeAutospacing="0" w:after="225" w:afterAutospacing="0" w:line="360" w:lineRule="auto"/>
        <w:ind w:firstLine="720"/>
        <w:jc w:val="both"/>
      </w:pPr>
      <w:r w:rsidRPr="00BE6FA1">
        <w:t>Z premii mogą skorzystać wyłącznie:</w:t>
      </w:r>
    </w:p>
    <w:p w:rsidR="006F54FB" w:rsidRPr="00BE6FA1" w:rsidRDefault="006F54FB" w:rsidP="009A7AFF">
      <w:pPr>
        <w:numPr>
          <w:ilvl w:val="0"/>
          <w:numId w:val="39"/>
        </w:numPr>
        <w:spacing w:before="100" w:beforeAutospacing="1" w:after="120" w:line="360" w:lineRule="auto"/>
        <w:ind w:left="0" w:firstLine="0"/>
        <w:jc w:val="both"/>
        <w:rPr>
          <w:rFonts w:ascii="Times New Roman" w:hAnsi="Times New Roman" w:cs="Times New Roman"/>
          <w:sz w:val="24"/>
          <w:szCs w:val="24"/>
        </w:rPr>
      </w:pPr>
      <w:r w:rsidRPr="00BE6FA1">
        <w:rPr>
          <w:rFonts w:ascii="Times New Roman" w:hAnsi="Times New Roman" w:cs="Times New Roman"/>
          <w:sz w:val="24"/>
          <w:szCs w:val="24"/>
        </w:rPr>
        <w:t>osoby fizyczne,</w:t>
      </w:r>
    </w:p>
    <w:p w:rsidR="006F54FB" w:rsidRPr="00BE6FA1" w:rsidRDefault="006F54FB" w:rsidP="009A7AFF">
      <w:pPr>
        <w:numPr>
          <w:ilvl w:val="0"/>
          <w:numId w:val="39"/>
        </w:numPr>
        <w:spacing w:before="100" w:beforeAutospacing="1" w:after="120" w:line="360" w:lineRule="auto"/>
        <w:ind w:left="0" w:firstLine="0"/>
        <w:jc w:val="both"/>
        <w:rPr>
          <w:rFonts w:ascii="Times New Roman" w:hAnsi="Times New Roman" w:cs="Times New Roman"/>
          <w:sz w:val="24"/>
          <w:szCs w:val="24"/>
        </w:rPr>
      </w:pPr>
      <w:r w:rsidRPr="00BE6FA1">
        <w:rPr>
          <w:rFonts w:ascii="Times New Roman" w:hAnsi="Times New Roman" w:cs="Times New Roman"/>
          <w:sz w:val="24"/>
          <w:szCs w:val="24"/>
        </w:rPr>
        <w:t>wspólnoty mieszkaniowe z większościowym udziałem osób fizycznych,</w:t>
      </w:r>
    </w:p>
    <w:p w:rsidR="006F54FB" w:rsidRPr="00BE6FA1" w:rsidRDefault="006F54FB" w:rsidP="009A7AFF">
      <w:pPr>
        <w:numPr>
          <w:ilvl w:val="0"/>
          <w:numId w:val="39"/>
        </w:numPr>
        <w:spacing w:before="100" w:beforeAutospacing="1" w:after="120" w:line="360" w:lineRule="auto"/>
        <w:ind w:left="0" w:firstLine="0"/>
        <w:jc w:val="both"/>
        <w:rPr>
          <w:rFonts w:ascii="Times New Roman" w:hAnsi="Times New Roman" w:cs="Times New Roman"/>
          <w:sz w:val="24"/>
          <w:szCs w:val="24"/>
        </w:rPr>
      </w:pPr>
      <w:r w:rsidRPr="00BE6FA1">
        <w:rPr>
          <w:rFonts w:ascii="Times New Roman" w:hAnsi="Times New Roman" w:cs="Times New Roman"/>
          <w:sz w:val="24"/>
          <w:szCs w:val="24"/>
        </w:rPr>
        <w:t>spółdzielnie mieszkaniowe,</w:t>
      </w:r>
    </w:p>
    <w:p w:rsidR="006F54FB" w:rsidRPr="00BE6FA1" w:rsidRDefault="006F54FB" w:rsidP="009A7AFF">
      <w:pPr>
        <w:numPr>
          <w:ilvl w:val="0"/>
          <w:numId w:val="39"/>
        </w:numPr>
        <w:spacing w:before="100" w:beforeAutospacing="1" w:after="120" w:line="360" w:lineRule="auto"/>
        <w:ind w:left="0" w:firstLine="0"/>
        <w:jc w:val="both"/>
        <w:rPr>
          <w:rFonts w:ascii="Times New Roman" w:hAnsi="Times New Roman" w:cs="Times New Roman"/>
          <w:sz w:val="24"/>
          <w:szCs w:val="24"/>
        </w:rPr>
      </w:pPr>
      <w:r w:rsidRPr="00BE6FA1">
        <w:rPr>
          <w:rFonts w:ascii="Times New Roman" w:hAnsi="Times New Roman" w:cs="Times New Roman"/>
          <w:sz w:val="24"/>
          <w:szCs w:val="24"/>
        </w:rPr>
        <w:t>towarzystwa budownictwa społecznego.</w:t>
      </w:r>
    </w:p>
    <w:p w:rsidR="006F54FB" w:rsidRPr="00BE6FA1" w:rsidRDefault="006F54FB" w:rsidP="003A27DA">
      <w:pPr>
        <w:pStyle w:val="bodytext"/>
        <w:spacing w:before="0" w:beforeAutospacing="0" w:after="225" w:afterAutospacing="0" w:line="360" w:lineRule="auto"/>
        <w:ind w:firstLine="720"/>
        <w:jc w:val="both"/>
      </w:pPr>
      <w:r w:rsidRPr="00BE6FA1">
        <w:t>Premia remontowa przysługuje inwestorowi z tytułu realizacji przedsięwzięcia remontowego i stanowi spłatę części kredytu zaciągniętego przez inwestora.</w:t>
      </w:r>
    </w:p>
    <w:p w:rsidR="006F54FB" w:rsidRPr="00BE6FA1" w:rsidRDefault="006F54FB" w:rsidP="003A27DA">
      <w:pPr>
        <w:pStyle w:val="bodytext"/>
        <w:spacing w:before="0" w:beforeAutospacing="0" w:after="225" w:afterAutospacing="0" w:line="360" w:lineRule="auto"/>
        <w:ind w:firstLine="720"/>
        <w:jc w:val="both"/>
      </w:pPr>
      <w:r w:rsidRPr="00BE6FA1">
        <w:t>Przysługuje tylko inwestorom korzystającym z kredytu. Nie mogą z niej korzystać inwestorzy realizujący przedsięwzięcie remontowe wyłącznie z własnych środków.</w:t>
      </w:r>
    </w:p>
    <w:p w:rsidR="006F54FB" w:rsidRPr="00BE6FA1" w:rsidRDefault="006F54FB" w:rsidP="003A27DA">
      <w:pPr>
        <w:pStyle w:val="bodytext"/>
        <w:spacing w:before="0" w:beforeAutospacing="0" w:after="225" w:afterAutospacing="0" w:line="360" w:lineRule="auto"/>
        <w:ind w:firstLine="720"/>
        <w:jc w:val="both"/>
      </w:pPr>
      <w:r w:rsidRPr="00BE6FA1">
        <w:t>Wysokość premii remontowej wynosi 20% kwoty kredytu wykorzystanego na realizację przedsięwzięcia remontowego, jednak nie może wynosić niż 15% kosztów przedsięwzięcia remontowego.</w:t>
      </w:r>
    </w:p>
    <w:p w:rsidR="006F54FB" w:rsidRPr="00BE6FA1" w:rsidRDefault="006F54FB" w:rsidP="0071247C">
      <w:pPr>
        <w:pStyle w:val="bodytext"/>
        <w:spacing w:before="0" w:beforeAutospacing="0" w:after="225" w:afterAutospacing="0" w:line="360" w:lineRule="auto"/>
        <w:ind w:firstLine="720"/>
        <w:jc w:val="both"/>
      </w:pPr>
      <w:r w:rsidRPr="00BE6FA1">
        <w:t>Jeśli w budynku będącym przedmiotem przedsięwzięcia remontowego znajdują się lokale inne niż mieszkalne, wysokość premii remontowej stanowi iloczyn kwoty ustalonej jak wyżej i wskaźnika udziału powierzchni użytkowej lokali mieszkalnych w powierzchni użytkowej wszystkich lokali w tym budynku.</w:t>
      </w:r>
    </w:p>
    <w:p w:rsidR="006F54FB" w:rsidRPr="00BE6FA1" w:rsidRDefault="006F54FB" w:rsidP="003A27DA">
      <w:pPr>
        <w:pStyle w:val="bodytext"/>
        <w:spacing w:before="0" w:beforeAutospacing="0" w:after="225" w:afterAutospacing="0" w:line="360" w:lineRule="auto"/>
        <w:jc w:val="both"/>
        <w:rPr>
          <w:b/>
        </w:rPr>
      </w:pPr>
      <w:r w:rsidRPr="00BE6FA1">
        <w:rPr>
          <w:b/>
        </w:rPr>
        <w:lastRenderedPageBreak/>
        <w:t>Premia kompensacyjna</w:t>
      </w:r>
    </w:p>
    <w:p w:rsidR="006F54FB" w:rsidRPr="00BE6FA1" w:rsidRDefault="006F54FB" w:rsidP="003A27DA">
      <w:pPr>
        <w:pStyle w:val="bodytext"/>
        <w:spacing w:before="0" w:beforeAutospacing="0" w:after="225" w:afterAutospacing="0" w:line="360" w:lineRule="auto"/>
        <w:ind w:firstLine="720"/>
        <w:jc w:val="both"/>
      </w:pPr>
      <w:r w:rsidRPr="00BE6FA1">
        <w:t xml:space="preserve">O dofinansowanie projektu w ramach premii kompensacyjnej, mogą się ubiegać właściciele budynków mieszkalnych oraz właściciele części budynków mieszkalnych, </w:t>
      </w:r>
      <w:r w:rsidRPr="00BE6FA1">
        <w:br/>
        <w:t>w których w okresie między 12 listopada 1994 roku a 25 kwietnia 2005 roku znajdowały się lokale kwaterunkowe.</w:t>
      </w:r>
    </w:p>
    <w:p w:rsidR="006F54FB" w:rsidRPr="00BE6FA1" w:rsidRDefault="006F54FB" w:rsidP="003A27DA">
      <w:pPr>
        <w:pStyle w:val="bodytext"/>
        <w:spacing w:before="0" w:beforeAutospacing="0" w:after="225" w:afterAutospacing="0" w:line="360" w:lineRule="auto"/>
        <w:ind w:firstLine="720"/>
        <w:jc w:val="both"/>
      </w:pPr>
      <w:r w:rsidRPr="00BE6FA1">
        <w:t>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rsidR="006F54FB" w:rsidRPr="00BE6FA1" w:rsidRDefault="006F54FB" w:rsidP="003A27DA">
      <w:pPr>
        <w:pStyle w:val="bodytext"/>
        <w:spacing w:before="0" w:beforeAutospacing="0" w:after="225" w:afterAutospacing="0" w:line="360" w:lineRule="auto"/>
        <w:ind w:firstLine="720"/>
        <w:jc w:val="both"/>
      </w:pPr>
      <w:r w:rsidRPr="00BE6FA1">
        <w:t>W przypadku współwłasności budynku mieszkalnego albo części budynku mieszkalnego, do wniosku o premię kompensacyjną muszą przystąpić łącznie wszystkie uprawione osoby fizyczne.</w:t>
      </w:r>
    </w:p>
    <w:p w:rsidR="006F54FB" w:rsidRPr="00BE6FA1" w:rsidRDefault="006F54FB" w:rsidP="003A27DA">
      <w:pPr>
        <w:pStyle w:val="bodytext"/>
        <w:spacing w:before="0" w:beforeAutospacing="0" w:after="225" w:afterAutospacing="0" w:line="360" w:lineRule="auto"/>
        <w:ind w:firstLine="720"/>
        <w:jc w:val="both"/>
      </w:pPr>
      <w:r w:rsidRPr="00BE6FA1">
        <w:t>Premię kompensacyjną mogą otrzymać ww. osoby fizyczne, które realizują przedsięwzięcie remontowe lub remont budynku mieszkalnego.</w:t>
      </w:r>
    </w:p>
    <w:p w:rsidR="006F54FB" w:rsidRPr="00BE6FA1" w:rsidRDefault="006F54FB" w:rsidP="003A27DA">
      <w:pPr>
        <w:pStyle w:val="bodytext"/>
        <w:spacing w:before="0" w:beforeAutospacing="0" w:after="225" w:afterAutospacing="0" w:line="360" w:lineRule="auto"/>
        <w:ind w:firstLine="720"/>
        <w:jc w:val="both"/>
      </w:pPr>
      <w:r w:rsidRPr="00BE6FA1">
        <w:t>Przysługuje inwestorom korzystającym ze środków własnych lub kredytu z premią remontową.</w:t>
      </w:r>
    </w:p>
    <w:p w:rsidR="006F54FB" w:rsidRPr="00BE6FA1" w:rsidRDefault="006F54FB" w:rsidP="003A27DA">
      <w:pPr>
        <w:pStyle w:val="bodytext"/>
        <w:spacing w:before="0" w:beforeAutospacing="0" w:after="225" w:afterAutospacing="0" w:line="360" w:lineRule="auto"/>
        <w:ind w:firstLine="720"/>
        <w:jc w:val="both"/>
      </w:pPr>
      <w:r w:rsidRPr="00BE6FA1">
        <w:t>Wysokość premii kompensacyjnej jest równa iloczynowi wskaźnika kosztu przedsięwzięcia oraz kwoty wynoszącej 2% wskaźnika przeliczeniowego za każdy</w:t>
      </w:r>
      <w:r w:rsidRPr="00BE6FA1">
        <w:br/>
        <w:t>1 m</w:t>
      </w:r>
      <w:r w:rsidRPr="00BE6FA1">
        <w:rPr>
          <w:vertAlign w:val="superscript"/>
        </w:rPr>
        <w:t>2</w:t>
      </w:r>
      <w:r w:rsidRPr="00BE6FA1">
        <w:rPr>
          <w:rStyle w:val="apple-converted-space"/>
          <w:rFonts w:eastAsia="Calibri"/>
        </w:rPr>
        <w:t> </w:t>
      </w:r>
      <w:r w:rsidRPr="00BE6FA1">
        <w:t>powierzchni użytkowej lokalu kwaterunkowego za każdy rok, w którym obowiązywały w stosunku do tego lokalu ograniczenia dotyczące wysokości czynszu za najem, w okresie od 12 listopada 1994 roku do 25 kwietnia 2005 roku, a w przypadku nabycia budynku albo części budynku po 12 listopada 1994 roku w sposób inny niż w drodze spadkobrania — od dnia nabycia do dnia 25 kwietnia 2005 roku.</w:t>
      </w:r>
    </w:p>
    <w:p w:rsidR="006F54FB" w:rsidRPr="00BE6FA1" w:rsidRDefault="006F54FB" w:rsidP="003A27DA">
      <w:pPr>
        <w:spacing w:after="225" w:line="360" w:lineRule="auto"/>
        <w:ind w:firstLine="720"/>
        <w:jc w:val="both"/>
        <w:rPr>
          <w:rFonts w:ascii="Times New Roman" w:eastAsia="Times New Roman" w:hAnsi="Times New Roman" w:cs="Times New Roman"/>
          <w:sz w:val="24"/>
          <w:szCs w:val="24"/>
        </w:rPr>
      </w:pPr>
    </w:p>
    <w:p w:rsidR="006F54FB" w:rsidRPr="00BE6FA1" w:rsidRDefault="006F54FB" w:rsidP="003A27DA">
      <w:pPr>
        <w:spacing w:after="225" w:line="360" w:lineRule="auto"/>
        <w:ind w:firstLine="720"/>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Bank Gospodarstwa Krajowego, w zakresie Funduszu Termomodernizacji </w:t>
      </w:r>
      <w:r w:rsidRPr="00BE6FA1">
        <w:rPr>
          <w:rFonts w:ascii="Times New Roman" w:eastAsia="Times New Roman" w:hAnsi="Times New Roman" w:cs="Times New Roman"/>
          <w:sz w:val="24"/>
          <w:szCs w:val="24"/>
        </w:rPr>
        <w:br/>
        <w:t>i Remontów, współpracuje z następującymi bankami kredytującymi:</w:t>
      </w:r>
    </w:p>
    <w:p w:rsidR="006F54FB" w:rsidRPr="00BE6FA1" w:rsidRDefault="006F54FB" w:rsidP="003A27DA">
      <w:pPr>
        <w:spacing w:after="12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1. Bank Ochrony Środowiska S.A.</w:t>
      </w:r>
    </w:p>
    <w:p w:rsidR="006F54FB" w:rsidRPr="00BE6FA1" w:rsidRDefault="006F54FB" w:rsidP="003A27DA">
      <w:pPr>
        <w:spacing w:after="12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2. Bank Polskiej Spółdzielczości S.A.</w:t>
      </w:r>
    </w:p>
    <w:p w:rsidR="006F54FB" w:rsidRPr="00BE6FA1" w:rsidRDefault="006F54FB" w:rsidP="003A27DA">
      <w:pPr>
        <w:spacing w:after="12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3. Krakowski Bank Spółdzielczy</w:t>
      </w:r>
    </w:p>
    <w:p w:rsidR="006F54FB" w:rsidRPr="00BE6FA1" w:rsidRDefault="006F54FB" w:rsidP="003A27DA">
      <w:pPr>
        <w:spacing w:after="12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4. Spółdzielcza Grupa Bankowa </w:t>
      </w:r>
      <w:r w:rsidR="008A241B" w:rsidRPr="00BE6FA1">
        <w:rPr>
          <w:rFonts w:ascii="Times New Roman" w:eastAsia="Times New Roman" w:hAnsi="Times New Roman" w:cs="Times New Roman"/>
          <w:sz w:val="24"/>
          <w:szCs w:val="24"/>
        </w:rPr>
        <w:t>–</w:t>
      </w:r>
      <w:r w:rsidRPr="00BE6FA1">
        <w:rPr>
          <w:rFonts w:ascii="Times New Roman" w:eastAsia="Times New Roman" w:hAnsi="Times New Roman" w:cs="Times New Roman"/>
          <w:sz w:val="24"/>
          <w:szCs w:val="24"/>
        </w:rPr>
        <w:t xml:space="preserve"> Bank S.A.</w:t>
      </w:r>
    </w:p>
    <w:p w:rsidR="006F54FB" w:rsidRPr="00BE6FA1" w:rsidRDefault="006F54FB" w:rsidP="003A27DA">
      <w:pPr>
        <w:spacing w:after="225" w:line="360" w:lineRule="auto"/>
        <w:jc w:val="both"/>
        <w:rPr>
          <w:rFonts w:ascii="Times New Roman" w:eastAsia="Times New Roman" w:hAnsi="Times New Roman" w:cs="Times New Roman"/>
          <w:sz w:val="24"/>
          <w:szCs w:val="24"/>
        </w:rPr>
      </w:pPr>
    </w:p>
    <w:p w:rsidR="006F54FB" w:rsidRPr="00BE6FA1" w:rsidRDefault="006F54FB" w:rsidP="009A7AFF">
      <w:pPr>
        <w:pStyle w:val="bodytext"/>
        <w:numPr>
          <w:ilvl w:val="0"/>
          <w:numId w:val="34"/>
        </w:numPr>
        <w:spacing w:before="0" w:beforeAutospacing="0" w:after="225" w:afterAutospacing="0" w:line="360" w:lineRule="auto"/>
        <w:jc w:val="both"/>
        <w:rPr>
          <w:b/>
        </w:rPr>
      </w:pPr>
      <w:r w:rsidRPr="00BE6FA1">
        <w:rPr>
          <w:b/>
        </w:rPr>
        <w:t>Kredyty ekologiczne BOŚ Banku</w:t>
      </w:r>
    </w:p>
    <w:p w:rsidR="006F54FB" w:rsidRPr="00BE6FA1" w:rsidRDefault="006F54FB" w:rsidP="009A7AFF">
      <w:pPr>
        <w:pStyle w:val="Akapitzlist"/>
        <w:numPr>
          <w:ilvl w:val="0"/>
          <w:numId w:val="40"/>
        </w:numPr>
        <w:spacing w:line="360" w:lineRule="auto"/>
        <w:jc w:val="both"/>
        <w:rPr>
          <w:rFonts w:ascii="Times New Roman" w:eastAsia="Times New Roman" w:hAnsi="Times New Roman" w:cs="Times New Roman"/>
          <w:sz w:val="24"/>
          <w:szCs w:val="24"/>
          <w:u w:val="single"/>
        </w:rPr>
      </w:pPr>
      <w:r w:rsidRPr="00BE6FA1">
        <w:rPr>
          <w:rFonts w:ascii="Times New Roman" w:eastAsia="Times New Roman" w:hAnsi="Times New Roman" w:cs="Times New Roman"/>
          <w:sz w:val="24"/>
          <w:szCs w:val="24"/>
          <w:u w:val="single"/>
        </w:rPr>
        <w:t>Kredyt Eko Inwestycje</w:t>
      </w:r>
    </w:p>
    <w:p w:rsidR="006F54FB" w:rsidRPr="00BE6FA1" w:rsidRDefault="006F54FB" w:rsidP="003A27DA">
      <w:pPr>
        <w:spacing w:line="360" w:lineRule="auto"/>
        <w:ind w:firstLine="720"/>
        <w:jc w:val="both"/>
        <w:rPr>
          <w:rFonts w:ascii="Times New Roman" w:hAnsi="Times New Roman" w:cs="Times New Roman"/>
          <w:sz w:val="24"/>
          <w:szCs w:val="24"/>
          <w:shd w:val="clear" w:color="auto" w:fill="FFFFFF"/>
        </w:rPr>
      </w:pPr>
      <w:r w:rsidRPr="00BE6FA1">
        <w:rPr>
          <w:rFonts w:ascii="Times New Roman" w:hAnsi="Times New Roman" w:cs="Times New Roman"/>
          <w:bCs/>
          <w:sz w:val="24"/>
          <w:szCs w:val="24"/>
          <w:bdr w:val="none" w:sz="0" w:space="0" w:color="auto" w:frame="1"/>
        </w:rPr>
        <w:t>Kredyt Eko Inwestycje z dotacją Narodowego Funduszu Ochrony Środowiska</w:t>
      </w:r>
      <w:r w:rsidRPr="00BE6FA1">
        <w:rPr>
          <w:rFonts w:ascii="Times New Roman" w:hAnsi="Times New Roman" w:cs="Times New Roman"/>
          <w:bCs/>
          <w:sz w:val="24"/>
          <w:szCs w:val="24"/>
          <w:bdr w:val="none" w:sz="0" w:space="0" w:color="auto" w:frame="1"/>
        </w:rPr>
        <w:br/>
        <w:t>i Gospodarki Wodnej dla małych i średnich przedsiębiorstw to możliwość sfinansowania do 100% kosztów, dopłata do kredytu do 15% kosztów kwalifikowanych.</w:t>
      </w:r>
      <w:r w:rsidRPr="00BE6FA1">
        <w:rPr>
          <w:rStyle w:val="apple-converted-space"/>
          <w:rFonts w:ascii="Times New Roman" w:hAnsi="Times New Roman" w:cs="Times New Roman"/>
          <w:bCs/>
          <w:sz w:val="24"/>
          <w:szCs w:val="24"/>
          <w:bdr w:val="none" w:sz="0" w:space="0" w:color="auto" w:frame="1"/>
        </w:rPr>
        <w:t> </w:t>
      </w:r>
      <w:r w:rsidRPr="00BE6FA1">
        <w:rPr>
          <w:rFonts w:ascii="Times New Roman" w:hAnsi="Times New Roman" w:cs="Times New Roman"/>
          <w:sz w:val="24"/>
          <w:szCs w:val="24"/>
          <w:shd w:val="clear" w:color="auto" w:fill="FFFFFF"/>
        </w:rPr>
        <w:t>Okres kredytowania wynosi do 10 lat, co daje możliwość rozłożenia kosztów inwestycji w czasie.</w:t>
      </w:r>
    </w:p>
    <w:p w:rsidR="006F54FB" w:rsidRPr="00BE6FA1" w:rsidRDefault="006F54FB" w:rsidP="003A27DA">
      <w:pPr>
        <w:spacing w:line="360" w:lineRule="auto"/>
        <w:ind w:firstLine="720"/>
        <w:jc w:val="both"/>
        <w:rPr>
          <w:rStyle w:val="apple-converted-space"/>
          <w:rFonts w:ascii="Times New Roman" w:hAnsi="Times New Roman" w:cs="Times New Roman"/>
          <w:sz w:val="24"/>
          <w:szCs w:val="24"/>
          <w:shd w:val="clear" w:color="auto" w:fill="FFFFFF"/>
        </w:rPr>
      </w:pPr>
      <w:r w:rsidRPr="00BE6FA1">
        <w:rPr>
          <w:rFonts w:ascii="Times New Roman" w:hAnsi="Times New Roman" w:cs="Times New Roman"/>
          <w:sz w:val="24"/>
          <w:szCs w:val="24"/>
          <w:shd w:val="clear" w:color="auto" w:fill="FFFFFF"/>
        </w:rPr>
        <w:t>Kredyt Eko Inwestycje to finansowanie inwestycji w nowe technologie i urządzenia obniżające zużycie energii z listy LEME (lista dostępna</w:t>
      </w:r>
      <w:r w:rsidR="002350DE" w:rsidRPr="00BE6FA1">
        <w:rPr>
          <w:rFonts w:ascii="Times New Roman" w:hAnsi="Times New Roman" w:cs="Times New Roman"/>
          <w:sz w:val="24"/>
          <w:szCs w:val="24"/>
          <w:shd w:val="clear" w:color="auto" w:fill="FFFFFF"/>
        </w:rPr>
        <w:t xml:space="preserve"> na</w:t>
      </w:r>
      <w:r w:rsidRPr="00BE6FA1">
        <w:rPr>
          <w:rFonts w:ascii="Times New Roman" w:hAnsi="Times New Roman" w:cs="Times New Roman"/>
          <w:sz w:val="24"/>
          <w:szCs w:val="24"/>
          <w:shd w:val="clear" w:color="auto" w:fill="FFFFFF"/>
        </w:rPr>
        <w:t xml:space="preserve"> </w:t>
      </w:r>
      <w:r w:rsidR="002350DE" w:rsidRPr="00BE6FA1">
        <w:rPr>
          <w:rFonts w:ascii="Times New Roman" w:hAnsi="Times New Roman" w:cs="Times New Roman"/>
          <w:sz w:val="24"/>
          <w:szCs w:val="24"/>
          <w:shd w:val="clear" w:color="auto" w:fill="FFFFFF"/>
        </w:rPr>
        <w:t>stronie</w:t>
      </w:r>
      <w:r w:rsidR="002350DE" w:rsidRPr="00BE6FA1">
        <w:rPr>
          <w:rStyle w:val="apple-converted-space"/>
          <w:rFonts w:ascii="Times New Roman" w:hAnsi="Times New Roman" w:cs="Times New Roman"/>
          <w:sz w:val="24"/>
          <w:szCs w:val="24"/>
          <w:shd w:val="clear" w:color="auto" w:fill="FFFFFF"/>
        </w:rPr>
        <w:t> </w:t>
      </w:r>
      <w:r w:rsidR="002350DE" w:rsidRPr="00BE6FA1">
        <w:rPr>
          <w:rFonts w:ascii="Times New Roman" w:hAnsi="Times New Roman" w:cs="Times New Roman"/>
          <w:sz w:val="24"/>
          <w:szCs w:val="24"/>
          <w:bdr w:val="none" w:sz="0" w:space="0" w:color="auto" w:frame="1"/>
          <w:shd w:val="clear" w:color="auto" w:fill="FFFFFF"/>
        </w:rPr>
        <w:t>www.nfosigw.gov.pl</w:t>
      </w:r>
      <w:r w:rsidRPr="00BE6FA1">
        <w:rPr>
          <w:rFonts w:ascii="Times New Roman" w:hAnsi="Times New Roman" w:cs="Times New Roman"/>
          <w:sz w:val="24"/>
          <w:szCs w:val="24"/>
          <w:shd w:val="clear" w:color="auto" w:fill="FFFFFF"/>
        </w:rPr>
        <w:t xml:space="preserve">), </w:t>
      </w:r>
      <w:r w:rsidRPr="00BE6FA1">
        <w:rPr>
          <w:rFonts w:ascii="Times New Roman" w:hAnsi="Times New Roman" w:cs="Times New Roman"/>
          <w:sz w:val="24"/>
          <w:szCs w:val="24"/>
          <w:shd w:val="clear" w:color="auto" w:fill="FFFFFF"/>
        </w:rPr>
        <w:br/>
        <w:t>a także projektów z obszaru Efektywności Energetycznej, Energii Odnawialnej oraz Termomodernizacji budynków.</w:t>
      </w:r>
    </w:p>
    <w:p w:rsidR="006F54FB" w:rsidRPr="00BE6FA1" w:rsidRDefault="006F54FB" w:rsidP="009A7AFF">
      <w:pPr>
        <w:numPr>
          <w:ilvl w:val="0"/>
          <w:numId w:val="41"/>
        </w:numPr>
        <w:spacing w:after="0" w:line="360" w:lineRule="auto"/>
        <w:ind w:left="709"/>
        <w:jc w:val="both"/>
        <w:textAlignment w:val="baseline"/>
        <w:rPr>
          <w:rFonts w:ascii="Times New Roman" w:eastAsia="Times New Roman" w:hAnsi="Times New Roman" w:cs="Times New Roman"/>
          <w:sz w:val="24"/>
          <w:szCs w:val="24"/>
          <w:u w:val="single"/>
        </w:rPr>
      </w:pPr>
      <w:r w:rsidRPr="00BE6FA1">
        <w:rPr>
          <w:rFonts w:ascii="Times New Roman" w:eastAsia="Times New Roman" w:hAnsi="Times New Roman" w:cs="Times New Roman"/>
          <w:sz w:val="24"/>
          <w:szCs w:val="24"/>
          <w:u w:val="single"/>
          <w:bdr w:val="none" w:sz="0" w:space="0" w:color="auto" w:frame="1"/>
        </w:rPr>
        <w:t>Kredyt Energia na Plus</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3A27DA">
      <w:pPr>
        <w:shd w:val="clear" w:color="auto" w:fill="FFFFFF"/>
        <w:spacing w:after="0" w:line="360" w:lineRule="auto"/>
        <w:ind w:firstLine="349"/>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Kredyt Energia na Plus obejmuje następujące przedsięwzięcia:</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9A7AFF">
      <w:pPr>
        <w:pStyle w:val="Akapitzlist"/>
        <w:numPr>
          <w:ilvl w:val="0"/>
          <w:numId w:val="48"/>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BE6FA1">
        <w:rPr>
          <w:rFonts w:ascii="Times New Roman" w:eastAsia="Times New Roman" w:hAnsi="Times New Roman" w:cs="Times New Roman"/>
          <w:bCs/>
          <w:sz w:val="24"/>
          <w:szCs w:val="24"/>
          <w:bdr w:val="none" w:sz="0" w:space="0" w:color="auto" w:frame="1"/>
        </w:rPr>
        <w:t>Działania w obszarze efektywności energetycznej:</w:t>
      </w:r>
    </w:p>
    <w:p w:rsidR="006F54FB" w:rsidRPr="00BE6FA1" w:rsidRDefault="006F54FB" w:rsidP="003A27DA">
      <w:pPr>
        <w:shd w:val="clear" w:color="auto" w:fill="FFFFFF"/>
        <w:spacing w:after="24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Budynki przemysłowe i mieszkalne</w:t>
      </w:r>
    </w:p>
    <w:p w:rsidR="006F54FB" w:rsidRPr="00BE6FA1" w:rsidRDefault="006F54FB" w:rsidP="009A7AFF">
      <w:pPr>
        <w:numPr>
          <w:ilvl w:val="0"/>
          <w:numId w:val="42"/>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termomodernizacja (np. docieplenie elewacji zewnętrznej, dachu, stropów, wymiana okien, drzwi),</w:t>
      </w:r>
    </w:p>
    <w:p w:rsidR="006F54FB" w:rsidRPr="00BE6FA1" w:rsidRDefault="006F54FB" w:rsidP="009A7AFF">
      <w:pPr>
        <w:numPr>
          <w:ilvl w:val="0"/>
          <w:numId w:val="42"/>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wymiana oświetlenia i innych odbiorników energii elektrycznej (windy, mechaniczna wentylacja, system chłodzenia),</w:t>
      </w:r>
    </w:p>
    <w:p w:rsidR="006F54FB" w:rsidRPr="00BE6FA1" w:rsidRDefault="006F54FB" w:rsidP="009A7AFF">
      <w:pPr>
        <w:numPr>
          <w:ilvl w:val="0"/>
          <w:numId w:val="42"/>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modernizacja/wymiana indywidualnych systemów grzewczych w budynkach,</w:t>
      </w:r>
    </w:p>
    <w:p w:rsidR="006F54FB" w:rsidRPr="00BE6FA1" w:rsidRDefault="006F54FB" w:rsidP="009A7AFF">
      <w:pPr>
        <w:numPr>
          <w:ilvl w:val="0"/>
          <w:numId w:val="42"/>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wykorzystanie odnawialnych źródeł energii w celu poprawy efektywności energetycznej,</w:t>
      </w:r>
    </w:p>
    <w:p w:rsidR="006F54FB" w:rsidRPr="00BE6FA1" w:rsidRDefault="006F54FB" w:rsidP="003A27DA">
      <w:pPr>
        <w:shd w:val="clear" w:color="auto" w:fill="FFFFFF"/>
        <w:spacing w:after="120" w:line="360" w:lineRule="auto"/>
        <w:jc w:val="both"/>
        <w:textAlignment w:val="baseline"/>
        <w:rPr>
          <w:rFonts w:ascii="Times New Roman" w:eastAsia="Times New Roman" w:hAnsi="Times New Roman" w:cs="Times New Roman"/>
          <w:sz w:val="24"/>
          <w:szCs w:val="24"/>
        </w:rPr>
      </w:pPr>
    </w:p>
    <w:p w:rsidR="002350DE" w:rsidRPr="00BE6FA1" w:rsidRDefault="002350DE" w:rsidP="002350DE">
      <w:pPr>
        <w:shd w:val="clear" w:color="auto" w:fill="FFFFFF"/>
        <w:spacing w:after="12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Infrastruktura przemysłowa</w:t>
      </w:r>
    </w:p>
    <w:p w:rsidR="002350DE" w:rsidRPr="00BE6FA1" w:rsidRDefault="002350DE" w:rsidP="009A7AFF">
      <w:pPr>
        <w:numPr>
          <w:ilvl w:val="0"/>
          <w:numId w:val="43"/>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lub wymiana urządzeń, linii technologicznych będących odbiornikami energii,</w:t>
      </w:r>
    </w:p>
    <w:p w:rsidR="002350DE" w:rsidRPr="00BE6FA1" w:rsidRDefault="002350DE" w:rsidP="009A7AFF">
      <w:pPr>
        <w:numPr>
          <w:ilvl w:val="0"/>
          <w:numId w:val="43"/>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zastosowanie kogeneracji/trigeneracji (jednoczesnego wytwarzania energii elektrycznej, cieplnej, a w przypadku trigeneracji także  chłodu),</w:t>
      </w:r>
    </w:p>
    <w:p w:rsidR="002350DE" w:rsidRPr="00BE6FA1" w:rsidRDefault="002350DE" w:rsidP="009A7AFF">
      <w:pPr>
        <w:numPr>
          <w:ilvl w:val="0"/>
          <w:numId w:val="43"/>
        </w:numPr>
        <w:shd w:val="clear" w:color="auto" w:fill="FFFFFF"/>
        <w:spacing w:after="12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modernizacja lokalnych sieci ciepłowniczych</w:t>
      </w:r>
    </w:p>
    <w:p w:rsidR="002350DE" w:rsidRPr="00BE6FA1" w:rsidRDefault="002350DE" w:rsidP="002350DE">
      <w:pPr>
        <w:shd w:val="clear" w:color="auto" w:fill="FFFFFF"/>
        <w:spacing w:after="120" w:line="360" w:lineRule="auto"/>
        <w:jc w:val="both"/>
        <w:textAlignment w:val="baseline"/>
        <w:rPr>
          <w:rFonts w:ascii="Times New Roman" w:eastAsia="Times New Roman" w:hAnsi="Times New Roman" w:cs="Times New Roman"/>
          <w:sz w:val="24"/>
          <w:szCs w:val="24"/>
        </w:rPr>
      </w:pPr>
    </w:p>
    <w:p w:rsidR="006F54FB" w:rsidRPr="00BE6FA1" w:rsidRDefault="006F54FB" w:rsidP="009A7AFF">
      <w:pPr>
        <w:pStyle w:val="Akapitzlist"/>
        <w:numPr>
          <w:ilvl w:val="0"/>
          <w:numId w:val="48"/>
        </w:num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Budowa systemów OZE (Odnawialnych Źródeł Energii) </w:t>
      </w:r>
    </w:p>
    <w:p w:rsidR="006F54FB" w:rsidRPr="00BE6FA1" w:rsidRDefault="006F54FB" w:rsidP="003A27DA">
      <w:pPr>
        <w:shd w:val="clear" w:color="auto" w:fill="FFFFFF"/>
        <w:spacing w:after="24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pod warunkiem spełnienia wymogów Programu Efektywności Energetycznej dla Małych i Średnich Przedsiębiorstw w zakresie realizacji Efektu ekologicznego SMEFF EE, przy czym Miernikiem Efektu ekologicznego SMEFF EE jest oszczędność energii lub redukcja emisji CO</w:t>
      </w:r>
      <w:r w:rsidRPr="00BE6FA1">
        <w:rPr>
          <w:rFonts w:ascii="Times New Roman" w:eastAsia="Times New Roman" w:hAnsi="Times New Roman" w:cs="Times New Roman"/>
          <w:sz w:val="24"/>
          <w:szCs w:val="24"/>
          <w:vertAlign w:val="subscript"/>
        </w:rPr>
        <w:t>2</w:t>
      </w:r>
      <w:r w:rsidRPr="00BE6FA1">
        <w:rPr>
          <w:rFonts w:ascii="Times New Roman" w:eastAsia="Times New Roman" w:hAnsi="Times New Roman" w:cs="Times New Roman"/>
          <w:sz w:val="24"/>
          <w:szCs w:val="24"/>
        </w:rPr>
        <w:t>, wyrażone w procentach.</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Kwota przedsięwzięcia:</w:t>
      </w:r>
      <w:r w:rsidRPr="00BE6FA1">
        <w:rPr>
          <w:rFonts w:ascii="Times New Roman" w:eastAsia="Times New Roman" w:hAnsi="Times New Roman" w:cs="Times New Roman"/>
          <w:sz w:val="24"/>
          <w:szCs w:val="24"/>
        </w:rPr>
        <w:t> do 25 mln EUR</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Kwota kredytu:</w:t>
      </w:r>
      <w:r w:rsidRPr="00BE6FA1">
        <w:rPr>
          <w:rFonts w:ascii="Times New Roman" w:eastAsia="Times New Roman" w:hAnsi="Times New Roman" w:cs="Times New Roman"/>
          <w:sz w:val="24"/>
          <w:szCs w:val="24"/>
        </w:rPr>
        <w:t> do 12,5 mln EUR, do 85% wartości inwestycji netto</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Okres finansowania:</w:t>
      </w:r>
      <w:r w:rsidRPr="00BE6FA1">
        <w:rPr>
          <w:rFonts w:ascii="Times New Roman" w:eastAsia="Times New Roman" w:hAnsi="Times New Roman" w:cs="Times New Roman"/>
          <w:sz w:val="24"/>
          <w:szCs w:val="24"/>
        </w:rPr>
        <w:t xml:space="preserve"> do 15 lat w przypadku inwestycji OZE, w pozostałych </w:t>
      </w:r>
      <w:r w:rsidR="002350DE"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przypadkach 10 lat</w:t>
      </w:r>
      <w:r w:rsidR="002350DE" w:rsidRPr="00BE6FA1">
        <w:rPr>
          <w:rFonts w:ascii="Times New Roman" w:eastAsia="Times New Roman" w:hAnsi="Times New Roman" w:cs="Times New Roman"/>
          <w:sz w:val="24"/>
          <w:szCs w:val="24"/>
        </w:rPr>
        <w:t>.</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Waluta:</w:t>
      </w:r>
      <w:r w:rsidRPr="00BE6FA1">
        <w:rPr>
          <w:rFonts w:ascii="Times New Roman" w:eastAsia="Times New Roman" w:hAnsi="Times New Roman" w:cs="Times New Roman"/>
          <w:sz w:val="24"/>
          <w:szCs w:val="24"/>
        </w:rPr>
        <w:t> PLN i EUR</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BE6FA1">
        <w:rPr>
          <w:rFonts w:ascii="Times New Roman" w:eastAsia="Times New Roman" w:hAnsi="Times New Roman" w:cs="Times New Roman"/>
          <w:bCs/>
          <w:sz w:val="24"/>
          <w:szCs w:val="24"/>
          <w:bdr w:val="none" w:sz="0" w:space="0" w:color="auto" w:frame="1"/>
        </w:rPr>
        <w:t>Maksymalna wartość zachęty finansowej:</w:t>
      </w:r>
      <w:r w:rsidRPr="00BE6FA1">
        <w:rPr>
          <w:rFonts w:ascii="Times New Roman" w:eastAsia="Times New Roman" w:hAnsi="Times New Roman" w:cs="Times New Roman"/>
          <w:sz w:val="24"/>
          <w:szCs w:val="24"/>
        </w:rPr>
        <w:t xml:space="preserve"> do 12% kwoty kredytu, jednak nie więcej niż </w:t>
      </w:r>
      <w:r w:rsidR="002350DE"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120 tys. EUR dla kredytu, którego wartość jest równa lub wyższa od równowartości</w:t>
      </w:r>
      <w:r w:rsidR="002350DE" w:rsidRPr="00BE6FA1">
        <w:rPr>
          <w:rFonts w:ascii="Times New Roman" w:eastAsia="Times New Roman" w:hAnsi="Times New Roman" w:cs="Times New Roman"/>
          <w:sz w:val="24"/>
          <w:szCs w:val="24"/>
        </w:rPr>
        <w:br/>
      </w:r>
      <w:r w:rsidRPr="00BE6FA1">
        <w:rPr>
          <w:rFonts w:ascii="Times New Roman" w:eastAsia="Times New Roman" w:hAnsi="Times New Roman" w:cs="Times New Roman"/>
          <w:sz w:val="24"/>
          <w:szCs w:val="24"/>
        </w:rPr>
        <w:t>w PLN kwoty 1 mln EUR.</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9A7AFF">
      <w:pPr>
        <w:pStyle w:val="Akapitzlist"/>
        <w:numPr>
          <w:ilvl w:val="0"/>
          <w:numId w:val="40"/>
        </w:numPr>
        <w:spacing w:line="360" w:lineRule="auto"/>
        <w:rPr>
          <w:rFonts w:ascii="Times New Roman" w:hAnsi="Times New Roman" w:cs="Times New Roman"/>
          <w:sz w:val="24"/>
          <w:szCs w:val="24"/>
        </w:rPr>
      </w:pPr>
      <w:r w:rsidRPr="00BE6FA1">
        <w:rPr>
          <w:rFonts w:ascii="Times New Roman" w:hAnsi="Times New Roman" w:cs="Times New Roman"/>
          <w:sz w:val="24"/>
          <w:szCs w:val="24"/>
        </w:rPr>
        <w:t>Kredyt z dobrą energią</w:t>
      </w:r>
    </w:p>
    <w:p w:rsidR="006F54FB" w:rsidRPr="00BE6FA1" w:rsidRDefault="006F54FB" w:rsidP="003A27DA">
      <w:pPr>
        <w:pStyle w:val="NormalnyWeb"/>
        <w:shd w:val="clear" w:color="auto" w:fill="FFFFFF"/>
        <w:spacing w:before="0" w:beforeAutospacing="0" w:after="0" w:afterAutospacing="0" w:line="360" w:lineRule="auto"/>
        <w:jc w:val="both"/>
        <w:textAlignment w:val="baseline"/>
        <w:rPr>
          <w:bCs/>
          <w:bdr w:val="none" w:sz="0" w:space="0" w:color="auto" w:frame="1"/>
        </w:rPr>
      </w:pPr>
    </w:p>
    <w:p w:rsidR="006F54FB" w:rsidRPr="00BE6FA1" w:rsidRDefault="006F54FB" w:rsidP="003A27DA">
      <w:pPr>
        <w:pStyle w:val="NormalnyWeb"/>
        <w:shd w:val="clear" w:color="auto" w:fill="FFFFFF"/>
        <w:spacing w:before="0" w:beforeAutospacing="0" w:after="0" w:afterAutospacing="0" w:line="360" w:lineRule="auto"/>
        <w:ind w:firstLine="360"/>
        <w:jc w:val="both"/>
        <w:textAlignment w:val="baseline"/>
      </w:pPr>
      <w:r w:rsidRPr="00BE6FA1">
        <w:rPr>
          <w:bCs/>
          <w:bdr w:val="none" w:sz="0" w:space="0" w:color="auto" w:frame="1"/>
        </w:rPr>
        <w:t>Kredyt z dobrą energią</w:t>
      </w:r>
      <w:r w:rsidRPr="00BE6FA1">
        <w:rPr>
          <w:rStyle w:val="apple-converted-space"/>
          <w:rFonts w:eastAsia="Calibri"/>
        </w:rPr>
        <w:t> </w:t>
      </w:r>
      <w:r w:rsidRPr="00BE6FA1">
        <w:t>to długoterminowe finansowanie inwestycji w budowę odnawialnych źródeł energii tj.:</w:t>
      </w:r>
    </w:p>
    <w:p w:rsidR="006F54FB" w:rsidRPr="00BE6FA1" w:rsidRDefault="006F54FB"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biogazownie</w:t>
      </w:r>
    </w:p>
    <w:p w:rsidR="006F54FB" w:rsidRPr="00BE6FA1" w:rsidRDefault="006F54FB"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elektrownie wiatrowe</w:t>
      </w:r>
    </w:p>
    <w:p w:rsidR="006F54FB" w:rsidRPr="00BE6FA1" w:rsidRDefault="006F54FB"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elektrownie fotowoltaiczne</w:t>
      </w:r>
    </w:p>
    <w:p w:rsidR="006F54FB" w:rsidRPr="00BE6FA1" w:rsidRDefault="006F54FB"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instalacje energetycznego wykorzystania biomasy</w:t>
      </w:r>
    </w:p>
    <w:p w:rsidR="006F54FB" w:rsidRPr="00BE6FA1" w:rsidRDefault="006F54FB"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oraz inne projekty z zakresu energetyki odnawialnej.</w:t>
      </w:r>
    </w:p>
    <w:p w:rsidR="006F54FB" w:rsidRPr="00BE6FA1" w:rsidRDefault="006F54FB" w:rsidP="003A27DA">
      <w:pPr>
        <w:pStyle w:val="Akapitzlist"/>
        <w:spacing w:line="360" w:lineRule="auto"/>
        <w:ind w:left="0"/>
        <w:jc w:val="both"/>
        <w:rPr>
          <w:rFonts w:ascii="Times New Roman" w:hAnsi="Times New Roman" w:cs="Times New Roman"/>
          <w:sz w:val="24"/>
          <w:szCs w:val="24"/>
          <w:shd w:val="clear" w:color="auto" w:fill="FFFFFF"/>
        </w:rPr>
      </w:pPr>
    </w:p>
    <w:p w:rsidR="006F54FB" w:rsidRPr="00BE6FA1" w:rsidRDefault="006F54FB" w:rsidP="003A27DA">
      <w:pPr>
        <w:pStyle w:val="Akapitzlist"/>
        <w:spacing w:line="360" w:lineRule="auto"/>
        <w:ind w:left="0" w:firstLine="720"/>
        <w:jc w:val="both"/>
        <w:rPr>
          <w:rFonts w:ascii="Times New Roman" w:hAnsi="Times New Roman" w:cs="Times New Roman"/>
          <w:sz w:val="24"/>
          <w:szCs w:val="24"/>
          <w:shd w:val="clear" w:color="auto" w:fill="FFFFFF"/>
        </w:rPr>
      </w:pPr>
      <w:r w:rsidRPr="00BE6FA1">
        <w:rPr>
          <w:rFonts w:ascii="Times New Roman" w:hAnsi="Times New Roman" w:cs="Times New Roman"/>
          <w:sz w:val="24"/>
          <w:szCs w:val="24"/>
          <w:shd w:val="clear" w:color="auto" w:fill="FFFFFF"/>
        </w:rPr>
        <w:lastRenderedPageBreak/>
        <w:t>Okres kredytowania wynosi</w:t>
      </w:r>
      <w:r w:rsidRPr="00BE6FA1">
        <w:rPr>
          <w:rStyle w:val="apple-converted-space"/>
          <w:rFonts w:ascii="Times New Roman" w:hAnsi="Times New Roman" w:cs="Times New Roman"/>
          <w:sz w:val="24"/>
          <w:szCs w:val="24"/>
          <w:shd w:val="clear" w:color="auto" w:fill="FFFFFF"/>
        </w:rPr>
        <w:t> </w:t>
      </w:r>
      <w:r w:rsidRPr="00BE6FA1">
        <w:rPr>
          <w:rFonts w:ascii="Times New Roman" w:hAnsi="Times New Roman" w:cs="Times New Roman"/>
          <w:bCs/>
          <w:sz w:val="24"/>
          <w:szCs w:val="24"/>
          <w:bdr w:val="none" w:sz="0" w:space="0" w:color="auto" w:frame="1"/>
          <w:shd w:val="clear" w:color="auto" w:fill="FFFFFF"/>
        </w:rPr>
        <w:t>do 20 lat</w:t>
      </w:r>
      <w:r w:rsidRPr="00BE6FA1">
        <w:rPr>
          <w:rFonts w:ascii="Times New Roman" w:hAnsi="Times New Roman" w:cs="Times New Roman"/>
          <w:sz w:val="24"/>
          <w:szCs w:val="24"/>
          <w:shd w:val="clear" w:color="auto" w:fill="FFFFFF"/>
        </w:rPr>
        <w:t>, co daje możliwość rozłożenia kosztów inwestycji w czasie.</w:t>
      </w:r>
      <w:r w:rsidRPr="00BE6FA1">
        <w:rPr>
          <w:rFonts w:ascii="Times New Roman" w:eastAsia="Times New Roman" w:hAnsi="Times New Roman" w:cs="Times New Roman"/>
          <w:sz w:val="24"/>
          <w:szCs w:val="24"/>
        </w:rPr>
        <w:t xml:space="preserve"> Karencja na spłatę kapitału i odsetek do 18 miesięcy</w:t>
      </w:r>
    </w:p>
    <w:p w:rsidR="006F54FB" w:rsidRPr="00BE6FA1" w:rsidRDefault="006F54FB" w:rsidP="009A7AFF">
      <w:pPr>
        <w:pStyle w:val="Akapitzlist"/>
        <w:numPr>
          <w:ilvl w:val="0"/>
          <w:numId w:val="40"/>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maksymalna kwota</w:t>
      </w:r>
      <w:r w:rsidRPr="00BE6FA1">
        <w:rPr>
          <w:rFonts w:ascii="Times New Roman" w:eastAsia="Times New Roman" w:hAnsi="Times New Roman" w:cs="Times New Roman"/>
          <w:sz w:val="24"/>
          <w:szCs w:val="24"/>
        </w:rPr>
        <w:t> </w:t>
      </w:r>
      <w:r w:rsidR="008A241B" w:rsidRPr="00BE6FA1">
        <w:rPr>
          <w:rFonts w:ascii="Times New Roman" w:eastAsia="Times New Roman" w:hAnsi="Times New Roman" w:cs="Times New Roman"/>
          <w:sz w:val="24"/>
          <w:szCs w:val="24"/>
        </w:rPr>
        <w:t>–</w:t>
      </w:r>
      <w:r w:rsidRPr="00BE6FA1">
        <w:rPr>
          <w:rFonts w:ascii="Times New Roman" w:eastAsia="Times New Roman" w:hAnsi="Times New Roman" w:cs="Times New Roman"/>
          <w:sz w:val="24"/>
          <w:szCs w:val="24"/>
        </w:rPr>
        <w:t xml:space="preserve"> do 90% kosztu netto inwestycji, w przypadku jednostek samorządu terytorialnego do 100% wartości inwestycji</w:t>
      </w:r>
    </w:p>
    <w:p w:rsidR="006F54FB" w:rsidRPr="00BE6FA1" w:rsidRDefault="006F54FB" w:rsidP="009A7AFF">
      <w:pPr>
        <w:pStyle w:val="Akapitzlist"/>
        <w:numPr>
          <w:ilvl w:val="0"/>
          <w:numId w:val="40"/>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okres kredytowani</w:t>
      </w:r>
      <w:r w:rsidRPr="00BE6FA1">
        <w:rPr>
          <w:rFonts w:ascii="Times New Roman" w:eastAsia="Times New Roman" w:hAnsi="Times New Roman" w:cs="Times New Roman"/>
          <w:sz w:val="24"/>
          <w:szCs w:val="24"/>
        </w:rPr>
        <w:t>a: do 20 lat</w:t>
      </w:r>
    </w:p>
    <w:p w:rsidR="006F54FB" w:rsidRPr="00BE6FA1" w:rsidRDefault="006F54FB" w:rsidP="009A7AFF">
      <w:pPr>
        <w:pStyle w:val="Akapitzlist"/>
        <w:numPr>
          <w:ilvl w:val="0"/>
          <w:numId w:val="40"/>
        </w:numPr>
        <w:spacing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waluta</w:t>
      </w:r>
      <w:r w:rsidRPr="00BE6FA1">
        <w:rPr>
          <w:rFonts w:ascii="Times New Roman" w:eastAsia="Times New Roman" w:hAnsi="Times New Roman" w:cs="Times New Roman"/>
          <w:b/>
          <w:bCs/>
          <w:sz w:val="24"/>
          <w:szCs w:val="24"/>
          <w:bdr w:val="none" w:sz="0" w:space="0" w:color="auto" w:frame="1"/>
        </w:rPr>
        <w:t>:</w:t>
      </w:r>
      <w:r w:rsidRPr="00BE6FA1">
        <w:rPr>
          <w:rFonts w:ascii="Times New Roman" w:eastAsia="Times New Roman" w:hAnsi="Times New Roman" w:cs="Times New Roman"/>
          <w:sz w:val="24"/>
          <w:szCs w:val="24"/>
        </w:rPr>
        <w:t> PLN, EUR, USD</w:t>
      </w:r>
    </w:p>
    <w:p w:rsidR="006F54FB" w:rsidRPr="00BE6FA1" w:rsidRDefault="006F54FB" w:rsidP="003A27DA">
      <w:pPr>
        <w:pStyle w:val="Akapitzlist"/>
        <w:spacing w:line="360" w:lineRule="auto"/>
        <w:ind w:left="0"/>
        <w:rPr>
          <w:rFonts w:ascii="Times New Roman" w:eastAsia="Times New Roman" w:hAnsi="Times New Roman" w:cs="Times New Roman"/>
          <w:sz w:val="24"/>
          <w:szCs w:val="24"/>
        </w:rPr>
      </w:pPr>
    </w:p>
    <w:p w:rsidR="006F54FB" w:rsidRPr="00BE6FA1" w:rsidRDefault="006F54FB" w:rsidP="009A7AFF">
      <w:pPr>
        <w:pStyle w:val="Akapitzlist"/>
        <w:numPr>
          <w:ilvl w:val="0"/>
          <w:numId w:val="40"/>
        </w:numPr>
        <w:autoSpaceDE w:val="0"/>
        <w:autoSpaceDN w:val="0"/>
        <w:adjustRightInd w:val="0"/>
        <w:spacing w:after="0" w:line="360" w:lineRule="auto"/>
        <w:rPr>
          <w:rFonts w:ascii="Times New Roman" w:hAnsi="Times New Roman" w:cs="Times New Roman"/>
          <w:bCs/>
          <w:sz w:val="24"/>
          <w:szCs w:val="24"/>
          <w:u w:val="single"/>
        </w:rPr>
      </w:pPr>
      <w:r w:rsidRPr="00BE6FA1">
        <w:rPr>
          <w:rFonts w:ascii="Times New Roman" w:eastAsia="Times New Roman" w:hAnsi="Times New Roman" w:cs="Times New Roman"/>
          <w:sz w:val="24"/>
          <w:szCs w:val="24"/>
          <w:u w:val="single"/>
        </w:rPr>
        <w:t>Kredyty preferencyjne (</w:t>
      </w:r>
      <w:r w:rsidRPr="00BE6FA1">
        <w:rPr>
          <w:rFonts w:ascii="Times New Roman" w:hAnsi="Times New Roman" w:cs="Times New Roman"/>
          <w:bCs/>
          <w:sz w:val="24"/>
          <w:szCs w:val="24"/>
          <w:u w:val="single"/>
        </w:rPr>
        <w:t>z dopłatą WFOŚiGW w Rzeszowie)</w:t>
      </w:r>
    </w:p>
    <w:p w:rsidR="008A241B" w:rsidRPr="00BE6FA1" w:rsidRDefault="008A241B" w:rsidP="008A241B">
      <w:pPr>
        <w:pStyle w:val="Akapitzlist"/>
        <w:rPr>
          <w:rFonts w:ascii="Times New Roman" w:eastAsia="Times New Roman" w:hAnsi="Times New Roman" w:cs="Times New Roman"/>
          <w:sz w:val="24"/>
          <w:szCs w:val="24"/>
        </w:rPr>
      </w:pPr>
    </w:p>
    <w:p w:rsidR="006F54FB" w:rsidRPr="00BE6FA1" w:rsidRDefault="006F54FB" w:rsidP="003A27DA">
      <w:pPr>
        <w:pStyle w:val="Akapitzlist"/>
        <w:spacing w:line="360" w:lineRule="auto"/>
        <w:ind w:left="0"/>
        <w:rPr>
          <w:rFonts w:ascii="Times New Roman" w:eastAsia="Times New Roman" w:hAnsi="Times New Roman" w:cs="Times New Roman"/>
          <w:sz w:val="24"/>
          <w:szCs w:val="24"/>
        </w:rPr>
      </w:pPr>
    </w:p>
    <w:p w:rsidR="006F54FB" w:rsidRPr="00BE6FA1" w:rsidRDefault="006F54FB" w:rsidP="003A27DA">
      <w:pPr>
        <w:pStyle w:val="Akapitzlist"/>
        <w:spacing w:line="360" w:lineRule="auto"/>
        <w:ind w:left="0"/>
        <w:jc w:val="both"/>
        <w:rPr>
          <w:rFonts w:ascii="Times New Roman" w:hAnsi="Times New Roman" w:cs="Times New Roman"/>
          <w:sz w:val="24"/>
          <w:szCs w:val="24"/>
        </w:rPr>
      </w:pPr>
      <w:r w:rsidRPr="00BE6FA1">
        <w:rPr>
          <w:rFonts w:ascii="Times New Roman" w:hAnsi="Times New Roman" w:cs="Times New Roman"/>
          <w:sz w:val="24"/>
          <w:szCs w:val="24"/>
        </w:rPr>
        <w:t xml:space="preserve">Kredyty preferencyjne skierowane do przedsięwzięć związanych z ochroną środowiska </w:t>
      </w:r>
    </w:p>
    <w:p w:rsidR="006F54FB" w:rsidRPr="00BE6FA1" w:rsidRDefault="006F54FB" w:rsidP="003A27DA">
      <w:pPr>
        <w:pStyle w:val="Akapitzlist"/>
        <w:spacing w:line="360" w:lineRule="auto"/>
        <w:ind w:left="0"/>
        <w:jc w:val="both"/>
        <w:rPr>
          <w:rFonts w:ascii="Times New Roman" w:hAnsi="Times New Roman" w:cs="Times New Roman"/>
          <w:sz w:val="24"/>
          <w:szCs w:val="24"/>
        </w:rPr>
      </w:pPr>
    </w:p>
    <w:p w:rsidR="006F54FB" w:rsidRPr="00BE6FA1" w:rsidRDefault="006F54FB" w:rsidP="003A27DA">
      <w:pPr>
        <w:pStyle w:val="Akapitzlist"/>
        <w:spacing w:line="360" w:lineRule="auto"/>
        <w:ind w:left="0"/>
        <w:rPr>
          <w:rFonts w:ascii="Times New Roman" w:hAnsi="Times New Roman" w:cs="Times New Roman"/>
          <w:sz w:val="24"/>
          <w:szCs w:val="24"/>
        </w:rPr>
      </w:pPr>
      <w:r w:rsidRPr="00BE6FA1">
        <w:rPr>
          <w:rFonts w:ascii="Times New Roman" w:hAnsi="Times New Roman" w:cs="Times New Roman"/>
          <w:sz w:val="24"/>
          <w:szCs w:val="24"/>
        </w:rPr>
        <w:t xml:space="preserve">Zakres zadania objętego finansowaniem: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termoizolacja budynków, w tym wymiana stolarki okiennej i drzwiowej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usuwanie i unieszkodliwianie wyrobów zawierających m.in. </w:t>
      </w:r>
      <w:r w:rsidR="002350DE" w:rsidRPr="00BE6FA1">
        <w:rPr>
          <w:rFonts w:ascii="Times New Roman" w:hAnsi="Times New Roman" w:cs="Times New Roman"/>
          <w:sz w:val="24"/>
          <w:szCs w:val="24"/>
        </w:rPr>
        <w:t>azbest i ksylamid</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modernizacja i budowa systemów ciepłowniczych, w tym likwidacja dotychczasowych źródeł ciepła, których nośnikiem był węgiel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budowa małych i przydomowych oczyszczalni ścieków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podłączenie budynków do zbiorczego systemu kanalizacji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zagospodarowanie i unieszkodliwianie odpadów (zakup urządzeń, linii technologicznych, środków transportu odpadów) </w:t>
      </w:r>
    </w:p>
    <w:p w:rsidR="006F54FB" w:rsidRPr="00BE6FA1" w:rsidRDefault="006F54FB" w:rsidP="009A7AFF">
      <w:pPr>
        <w:pStyle w:val="Akapitzlist"/>
        <w:numPr>
          <w:ilvl w:val="0"/>
          <w:numId w:val="49"/>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zastosowanie odnawialnych źródeł energii </w:t>
      </w:r>
    </w:p>
    <w:p w:rsidR="006F54FB" w:rsidRPr="00BE6FA1" w:rsidRDefault="006F54FB" w:rsidP="003A27DA">
      <w:pPr>
        <w:pStyle w:val="Akapitzlist"/>
        <w:spacing w:line="360" w:lineRule="auto"/>
        <w:ind w:left="0"/>
        <w:rPr>
          <w:rFonts w:ascii="Times New Roman" w:hAnsi="Times New Roman" w:cs="Times New Roman"/>
          <w:sz w:val="24"/>
          <w:szCs w:val="24"/>
        </w:rPr>
      </w:pPr>
    </w:p>
    <w:p w:rsidR="006F54FB" w:rsidRPr="00BE6FA1" w:rsidRDefault="006F54FB" w:rsidP="003A27DA">
      <w:pPr>
        <w:pStyle w:val="Akapitzlist"/>
        <w:spacing w:line="360" w:lineRule="auto"/>
        <w:ind w:left="0"/>
        <w:rPr>
          <w:rFonts w:ascii="Times New Roman" w:hAnsi="Times New Roman" w:cs="Times New Roman"/>
          <w:sz w:val="24"/>
          <w:szCs w:val="24"/>
        </w:rPr>
      </w:pPr>
      <w:r w:rsidRPr="00BE6FA1">
        <w:rPr>
          <w:rFonts w:ascii="Times New Roman" w:hAnsi="Times New Roman" w:cs="Times New Roman"/>
          <w:sz w:val="24"/>
          <w:szCs w:val="24"/>
        </w:rPr>
        <w:t xml:space="preserve">Kredytobiorcy: </w:t>
      </w:r>
    </w:p>
    <w:p w:rsidR="006F54FB" w:rsidRPr="00BE6FA1" w:rsidRDefault="006F54FB" w:rsidP="003A27DA">
      <w:pPr>
        <w:pStyle w:val="Akapitzlist"/>
        <w:spacing w:line="360" w:lineRule="auto"/>
        <w:ind w:left="0"/>
        <w:rPr>
          <w:rFonts w:ascii="Times New Roman" w:hAnsi="Times New Roman" w:cs="Times New Roman"/>
          <w:sz w:val="24"/>
          <w:szCs w:val="24"/>
        </w:rPr>
      </w:pPr>
      <w:r w:rsidRPr="00BE6FA1">
        <w:rPr>
          <w:rFonts w:ascii="Times New Roman" w:hAnsi="Times New Roman" w:cs="Times New Roman"/>
          <w:sz w:val="24"/>
          <w:szCs w:val="24"/>
        </w:rPr>
        <w:t xml:space="preserve">Wszyscy ubiegający się, realizujący zadania na terenie woj. </w:t>
      </w:r>
      <w:r w:rsidR="008A241B" w:rsidRPr="00BE6FA1">
        <w:rPr>
          <w:rFonts w:ascii="Times New Roman" w:hAnsi="Times New Roman" w:cs="Times New Roman"/>
          <w:sz w:val="24"/>
          <w:szCs w:val="24"/>
        </w:rPr>
        <w:t>P</w:t>
      </w:r>
      <w:r w:rsidRPr="00BE6FA1">
        <w:rPr>
          <w:rFonts w:ascii="Times New Roman" w:hAnsi="Times New Roman" w:cs="Times New Roman"/>
          <w:sz w:val="24"/>
          <w:szCs w:val="24"/>
        </w:rPr>
        <w:t xml:space="preserve">odkarpackiego. </w:t>
      </w:r>
    </w:p>
    <w:p w:rsidR="006F54FB" w:rsidRPr="00BE6FA1" w:rsidRDefault="006F54FB" w:rsidP="003A27DA">
      <w:pPr>
        <w:pStyle w:val="Akapitzlist"/>
        <w:spacing w:line="360" w:lineRule="auto"/>
        <w:ind w:left="0"/>
        <w:rPr>
          <w:rFonts w:ascii="Times New Roman" w:hAnsi="Times New Roman" w:cs="Times New Roman"/>
          <w:sz w:val="24"/>
          <w:szCs w:val="24"/>
        </w:rPr>
      </w:pPr>
    </w:p>
    <w:p w:rsidR="006F54FB" w:rsidRPr="00BE6FA1" w:rsidRDefault="006F54FB" w:rsidP="003A27DA">
      <w:pPr>
        <w:pStyle w:val="Akapitzlist"/>
        <w:spacing w:line="360" w:lineRule="auto"/>
        <w:ind w:left="0"/>
        <w:rPr>
          <w:rFonts w:ascii="Times New Roman" w:hAnsi="Times New Roman" w:cs="Times New Roman"/>
          <w:sz w:val="24"/>
          <w:szCs w:val="24"/>
        </w:rPr>
      </w:pPr>
      <w:r w:rsidRPr="00BE6FA1">
        <w:rPr>
          <w:rFonts w:ascii="Times New Roman" w:hAnsi="Times New Roman" w:cs="Times New Roman"/>
          <w:sz w:val="24"/>
          <w:szCs w:val="24"/>
        </w:rPr>
        <w:t>Szczegóły:</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maksymalna kwota kredytu: 90% kosztów zadania i nie więcej niż 170.000 zł </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realizacji inwestycji: do 12 miesięcy od daty postawienia kredytu do dyspozycji kredytobiorcy, </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kredytowania: do 8 lat, </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okres karencji w spłacie kapitału: do 6 miesięcy od daty zakończenia inwestycji, </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oprocentowanie: 1,22 stopy redyskontowej weksli </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lastRenderedPageBreak/>
        <w:t>prowizja: 2% kwoty udzielonego kredytu,</w:t>
      </w:r>
    </w:p>
    <w:p w:rsidR="006F54FB" w:rsidRPr="00BE6FA1" w:rsidRDefault="006F54FB" w:rsidP="009A7AFF">
      <w:pPr>
        <w:pStyle w:val="Akapitzlist"/>
        <w:numPr>
          <w:ilvl w:val="0"/>
          <w:numId w:val="5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powyższe warunki obowiązują przez czas nieokreślony. </w:t>
      </w:r>
    </w:p>
    <w:p w:rsidR="006F54FB" w:rsidRPr="00BE6FA1" w:rsidRDefault="006F54FB" w:rsidP="003A27DA">
      <w:pPr>
        <w:pStyle w:val="Akapitzlist"/>
        <w:spacing w:line="360" w:lineRule="auto"/>
        <w:rPr>
          <w:rFonts w:ascii="Times New Roman" w:hAnsi="Times New Roman" w:cs="Times New Roman"/>
          <w:sz w:val="24"/>
          <w:szCs w:val="24"/>
        </w:rPr>
      </w:pPr>
    </w:p>
    <w:p w:rsidR="006F54FB" w:rsidRPr="00BE6FA1" w:rsidRDefault="006F54FB" w:rsidP="009A7AFF">
      <w:pPr>
        <w:pStyle w:val="Akapitzlist"/>
        <w:numPr>
          <w:ilvl w:val="0"/>
          <w:numId w:val="40"/>
        </w:numPr>
        <w:spacing w:line="360" w:lineRule="auto"/>
        <w:rPr>
          <w:rFonts w:ascii="Times New Roman" w:hAnsi="Times New Roman" w:cs="Times New Roman"/>
          <w:sz w:val="24"/>
          <w:szCs w:val="24"/>
          <w:u w:val="single"/>
        </w:rPr>
      </w:pPr>
      <w:r w:rsidRPr="00BE6FA1">
        <w:rPr>
          <w:rFonts w:ascii="Times New Roman" w:hAnsi="Times New Roman" w:cs="Times New Roman"/>
          <w:bCs/>
          <w:sz w:val="24"/>
          <w:szCs w:val="24"/>
          <w:u w:val="single"/>
          <w:bdr w:val="none" w:sz="0" w:space="0" w:color="auto" w:frame="1"/>
        </w:rPr>
        <w:t>Kredyt Ekomontaż</w:t>
      </w:r>
      <w:r w:rsidRPr="00BE6FA1">
        <w:rPr>
          <w:rStyle w:val="apple-converted-space"/>
          <w:rFonts w:ascii="Times New Roman" w:hAnsi="Times New Roman" w:cs="Times New Roman"/>
          <w:sz w:val="24"/>
          <w:szCs w:val="24"/>
          <w:u w:val="single"/>
        </w:rPr>
        <w:t> </w:t>
      </w:r>
    </w:p>
    <w:p w:rsidR="006F54FB" w:rsidRPr="00BE6FA1" w:rsidRDefault="006F54FB" w:rsidP="003A27DA">
      <w:pPr>
        <w:pStyle w:val="Nagwek5"/>
        <w:spacing w:before="0" w:line="360" w:lineRule="auto"/>
        <w:ind w:firstLine="360"/>
        <w:jc w:val="both"/>
        <w:textAlignment w:val="baseline"/>
        <w:rPr>
          <w:rFonts w:ascii="Times New Roman" w:hAnsi="Times New Roman" w:cs="Times New Roman"/>
          <w:color w:val="auto"/>
          <w:sz w:val="24"/>
        </w:rPr>
      </w:pPr>
      <w:r w:rsidRPr="00BE6FA1">
        <w:rPr>
          <w:rFonts w:ascii="Times New Roman" w:hAnsi="Times New Roman" w:cs="Times New Roman"/>
          <w:color w:val="auto"/>
          <w:sz w:val="24"/>
        </w:rPr>
        <w:t xml:space="preserve">Kredyt EkoMontaż jest przeznaczony na finansowanie realizowanego zakupu i/lub montażu urządzeń i wyrobów służących ochronie środowiska </w:t>
      </w:r>
    </w:p>
    <w:p w:rsidR="006F54FB" w:rsidRPr="00BE6FA1" w:rsidRDefault="006F54FB" w:rsidP="003A27DA">
      <w:pPr>
        <w:pStyle w:val="Nagwek5"/>
        <w:spacing w:before="0" w:line="360" w:lineRule="auto"/>
        <w:ind w:firstLine="360"/>
        <w:jc w:val="both"/>
        <w:textAlignment w:val="baseline"/>
        <w:rPr>
          <w:rFonts w:ascii="Times New Roman" w:hAnsi="Times New Roman" w:cs="Times New Roman"/>
          <w:color w:val="auto"/>
          <w:sz w:val="24"/>
          <w:szCs w:val="24"/>
        </w:rPr>
      </w:pPr>
      <w:r w:rsidRPr="00BE6FA1">
        <w:rPr>
          <w:rFonts w:ascii="Times New Roman" w:hAnsi="Times New Roman" w:cs="Times New Roman"/>
          <w:bCs/>
          <w:color w:val="auto"/>
          <w:sz w:val="24"/>
          <w:szCs w:val="24"/>
          <w:bdr w:val="none" w:sz="0" w:space="0" w:color="auto" w:frame="1"/>
        </w:rPr>
        <w:t>Kredyt Ekomontaż</w:t>
      </w:r>
      <w:r w:rsidRPr="00BE6FA1">
        <w:rPr>
          <w:rStyle w:val="apple-converted-space"/>
          <w:rFonts w:ascii="Times New Roman" w:hAnsi="Times New Roman" w:cs="Times New Roman"/>
          <w:color w:val="auto"/>
          <w:sz w:val="24"/>
          <w:szCs w:val="24"/>
        </w:rPr>
        <w:t> </w:t>
      </w:r>
      <w:r w:rsidRPr="00BE6FA1">
        <w:rPr>
          <w:rFonts w:ascii="Times New Roman" w:hAnsi="Times New Roman" w:cs="Times New Roman"/>
          <w:color w:val="auto"/>
          <w:sz w:val="24"/>
          <w:szCs w:val="24"/>
        </w:rPr>
        <w:t>daje szansę na sfinansowanie do 100% kosztów netto zakupu i/lub montażu urządzeń tj.: kolektory słoneczne, pompy ciepła, rekuperatory, systemu dociepleń budynków i wiele innych. Okres kredytowania może sięgać do 10 lat.</w:t>
      </w:r>
    </w:p>
    <w:p w:rsidR="006F54FB" w:rsidRPr="00BE6FA1" w:rsidRDefault="006F54FB" w:rsidP="003A27DA">
      <w:pPr>
        <w:pStyle w:val="Akapitzlist"/>
        <w:spacing w:line="360" w:lineRule="auto"/>
        <w:rPr>
          <w:rFonts w:ascii="Times New Roman" w:hAnsi="Times New Roman" w:cs="Times New Roman"/>
          <w:sz w:val="24"/>
          <w:szCs w:val="24"/>
        </w:rPr>
      </w:pPr>
    </w:p>
    <w:p w:rsidR="006F54FB" w:rsidRPr="00BE6FA1" w:rsidRDefault="006F54FB" w:rsidP="009A7AFF">
      <w:pPr>
        <w:pStyle w:val="Akapitzlist"/>
        <w:numPr>
          <w:ilvl w:val="0"/>
          <w:numId w:val="40"/>
        </w:numPr>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maksymalna kwota</w:t>
      </w:r>
      <w:r w:rsidRPr="00BE6FA1">
        <w:rPr>
          <w:rFonts w:ascii="Times New Roman" w:eastAsia="Times New Roman" w:hAnsi="Times New Roman" w:cs="Times New Roman"/>
          <w:sz w:val="24"/>
          <w:szCs w:val="24"/>
        </w:rPr>
        <w:t>: do 100% kosztów netto zakupu i kosztów montażu</w:t>
      </w:r>
    </w:p>
    <w:p w:rsidR="006F54FB" w:rsidRPr="00BE6FA1" w:rsidRDefault="006F54FB" w:rsidP="009A7AFF">
      <w:pPr>
        <w:pStyle w:val="Akapitzlist"/>
        <w:numPr>
          <w:ilvl w:val="0"/>
          <w:numId w:val="40"/>
        </w:numPr>
        <w:spacing w:after="0"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okres finansowania:</w:t>
      </w:r>
      <w:r w:rsidRPr="00BE6FA1">
        <w:rPr>
          <w:rFonts w:ascii="Times New Roman" w:eastAsia="Times New Roman" w:hAnsi="Times New Roman" w:cs="Times New Roman"/>
          <w:sz w:val="24"/>
          <w:szCs w:val="24"/>
        </w:rPr>
        <w:t> do 10 lat</w:t>
      </w:r>
    </w:p>
    <w:p w:rsidR="006F54FB" w:rsidRPr="00BE6FA1" w:rsidRDefault="006F54FB" w:rsidP="009A7AFF">
      <w:pPr>
        <w:pStyle w:val="Akapitzlist"/>
        <w:numPr>
          <w:ilvl w:val="0"/>
          <w:numId w:val="40"/>
        </w:numPr>
        <w:spacing w:line="360" w:lineRule="auto"/>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karencja w spłacie kapitału</w:t>
      </w:r>
      <w:r w:rsidRPr="00BE6FA1">
        <w:rPr>
          <w:rFonts w:ascii="Times New Roman" w:eastAsia="Times New Roman" w:hAnsi="Times New Roman" w:cs="Times New Roman"/>
          <w:sz w:val="24"/>
          <w:szCs w:val="24"/>
        </w:rPr>
        <w:t> </w:t>
      </w:r>
      <w:r w:rsidR="008A241B" w:rsidRPr="00BE6FA1">
        <w:rPr>
          <w:rFonts w:ascii="Times New Roman" w:eastAsia="Times New Roman" w:hAnsi="Times New Roman" w:cs="Times New Roman"/>
          <w:sz w:val="24"/>
          <w:szCs w:val="24"/>
        </w:rPr>
        <w:t>–</w:t>
      </w:r>
      <w:r w:rsidRPr="00BE6FA1">
        <w:rPr>
          <w:rFonts w:ascii="Times New Roman" w:eastAsia="Times New Roman" w:hAnsi="Times New Roman" w:cs="Times New Roman"/>
          <w:sz w:val="24"/>
          <w:szCs w:val="24"/>
        </w:rPr>
        <w:t xml:space="preserve"> do 12 miesięcy</w:t>
      </w:r>
    </w:p>
    <w:p w:rsidR="006F54FB" w:rsidRPr="00BE6FA1" w:rsidRDefault="006F54FB" w:rsidP="003A27DA">
      <w:pPr>
        <w:pStyle w:val="Akapitzlist"/>
        <w:spacing w:line="360" w:lineRule="auto"/>
        <w:ind w:left="0"/>
        <w:rPr>
          <w:rFonts w:ascii="Times New Roman" w:eastAsia="Times New Roman" w:hAnsi="Times New Roman" w:cs="Times New Roman"/>
          <w:sz w:val="24"/>
          <w:szCs w:val="24"/>
        </w:rPr>
      </w:pPr>
    </w:p>
    <w:p w:rsidR="006F54FB" w:rsidRPr="00BE6FA1" w:rsidRDefault="006F54FB" w:rsidP="009A7AFF">
      <w:pPr>
        <w:pStyle w:val="Nagwek5"/>
        <w:numPr>
          <w:ilvl w:val="0"/>
          <w:numId w:val="40"/>
        </w:numPr>
        <w:spacing w:before="0" w:line="360" w:lineRule="auto"/>
        <w:textAlignment w:val="baseline"/>
        <w:rPr>
          <w:rFonts w:ascii="Times New Roman" w:hAnsi="Times New Roman" w:cs="Times New Roman"/>
          <w:bCs/>
          <w:color w:val="auto"/>
          <w:sz w:val="24"/>
          <w:szCs w:val="24"/>
          <w:u w:val="single"/>
          <w:bdr w:val="none" w:sz="0" w:space="0" w:color="auto" w:frame="1"/>
        </w:rPr>
      </w:pPr>
      <w:r w:rsidRPr="00BE6FA1">
        <w:rPr>
          <w:rFonts w:ascii="Times New Roman" w:hAnsi="Times New Roman" w:cs="Times New Roman"/>
          <w:bCs/>
          <w:color w:val="auto"/>
          <w:sz w:val="24"/>
          <w:szCs w:val="24"/>
          <w:u w:val="single"/>
          <w:bdr w:val="none" w:sz="0" w:space="0" w:color="auto" w:frame="1"/>
        </w:rPr>
        <w:t>Kredyt EKOoszczędny</w:t>
      </w:r>
      <w:r w:rsidRPr="00BE6FA1">
        <w:rPr>
          <w:rStyle w:val="apple-converted-space"/>
          <w:rFonts w:ascii="Times New Roman" w:hAnsi="Times New Roman" w:cs="Times New Roman"/>
          <w:color w:val="auto"/>
          <w:sz w:val="24"/>
          <w:szCs w:val="24"/>
          <w:u w:val="single"/>
        </w:rPr>
        <w:t> </w:t>
      </w:r>
    </w:p>
    <w:p w:rsidR="006F54FB" w:rsidRPr="00BE6FA1" w:rsidRDefault="006F54FB" w:rsidP="003A27DA">
      <w:pPr>
        <w:pStyle w:val="Nagwek5"/>
        <w:spacing w:before="0" w:line="360" w:lineRule="auto"/>
        <w:ind w:firstLine="360"/>
        <w:textAlignment w:val="baseline"/>
        <w:rPr>
          <w:rFonts w:ascii="Times New Roman" w:hAnsi="Times New Roman" w:cs="Times New Roman"/>
          <w:bCs/>
          <w:color w:val="auto"/>
          <w:sz w:val="24"/>
          <w:szCs w:val="24"/>
          <w:u w:val="single"/>
          <w:bdr w:val="none" w:sz="0" w:space="0" w:color="auto" w:frame="1"/>
        </w:rPr>
      </w:pPr>
    </w:p>
    <w:p w:rsidR="006F54FB" w:rsidRPr="00BE6FA1" w:rsidRDefault="006F54FB" w:rsidP="003A27DA">
      <w:pPr>
        <w:pStyle w:val="Nagwek5"/>
        <w:spacing w:before="0" w:line="360" w:lineRule="auto"/>
        <w:ind w:firstLine="720"/>
        <w:jc w:val="both"/>
        <w:textAlignment w:val="baseline"/>
        <w:rPr>
          <w:rFonts w:ascii="Times New Roman" w:hAnsi="Times New Roman" w:cs="Times New Roman"/>
          <w:bCs/>
          <w:color w:val="auto"/>
          <w:sz w:val="24"/>
          <w:szCs w:val="24"/>
          <w:bdr w:val="none" w:sz="0" w:space="0" w:color="auto" w:frame="1"/>
        </w:rPr>
      </w:pPr>
      <w:r w:rsidRPr="00BE6FA1">
        <w:rPr>
          <w:rFonts w:ascii="Times New Roman" w:hAnsi="Times New Roman" w:cs="Times New Roman"/>
          <w:bCs/>
          <w:color w:val="auto"/>
          <w:sz w:val="24"/>
          <w:szCs w:val="24"/>
          <w:bdr w:val="none" w:sz="0" w:space="0" w:color="auto" w:frame="1"/>
        </w:rPr>
        <w:t>Kredyt EKOoszczędny to możliwość sfinansowania projektów o charakterze ekologicznym.</w:t>
      </w:r>
    </w:p>
    <w:p w:rsidR="006F54FB" w:rsidRPr="00BE6FA1" w:rsidRDefault="006F54FB" w:rsidP="003A27DA">
      <w:pPr>
        <w:spacing w:line="360" w:lineRule="auto"/>
        <w:rPr>
          <w:rFonts w:ascii="Times New Roman" w:hAnsi="Times New Roman" w:cs="Times New Roman"/>
        </w:rPr>
      </w:pPr>
    </w:p>
    <w:p w:rsidR="006F54FB" w:rsidRPr="00BE6FA1" w:rsidRDefault="006F54FB" w:rsidP="003A27DA">
      <w:pPr>
        <w:spacing w:line="360" w:lineRule="auto"/>
        <w:rPr>
          <w:rFonts w:ascii="Times New Roman" w:hAnsi="Times New Roman" w:cs="Times New Roman"/>
          <w:sz w:val="24"/>
        </w:rPr>
      </w:pPr>
      <w:r w:rsidRPr="00BE6FA1">
        <w:rPr>
          <w:rFonts w:ascii="Times New Roman" w:hAnsi="Times New Roman" w:cs="Times New Roman"/>
          <w:sz w:val="24"/>
        </w:rPr>
        <w:t>Korzyści:</w:t>
      </w:r>
    </w:p>
    <w:p w:rsidR="006F54FB" w:rsidRPr="00BE6FA1" w:rsidRDefault="006F54FB" w:rsidP="009A7AFF">
      <w:pPr>
        <w:pStyle w:val="Akapitzlist"/>
        <w:numPr>
          <w:ilvl w:val="0"/>
          <w:numId w:val="52"/>
        </w:numPr>
        <w:spacing w:line="360" w:lineRule="auto"/>
        <w:rPr>
          <w:rFonts w:ascii="Times New Roman" w:hAnsi="Times New Roman" w:cs="Times New Roman"/>
          <w:sz w:val="24"/>
        </w:rPr>
      </w:pPr>
      <w:r w:rsidRPr="00BE6FA1">
        <w:rPr>
          <w:rFonts w:ascii="Times New Roman" w:eastAsia="Times New Roman" w:hAnsi="Times New Roman" w:cs="Times New Roman"/>
          <w:sz w:val="23"/>
          <w:szCs w:val="23"/>
        </w:rPr>
        <w:t>możliwość zmniejszenia rachunków za energię elektryczną, cieplną</w:t>
      </w:r>
    </w:p>
    <w:p w:rsidR="006F54FB" w:rsidRPr="00BE6FA1" w:rsidRDefault="006F54FB" w:rsidP="009A7AFF">
      <w:pPr>
        <w:numPr>
          <w:ilvl w:val="0"/>
          <w:numId w:val="51"/>
        </w:numPr>
        <w:shd w:val="clear" w:color="auto" w:fill="FFFFFF"/>
        <w:spacing w:after="75" w:line="360" w:lineRule="auto"/>
        <w:jc w:val="both"/>
        <w:textAlignment w:val="baseline"/>
        <w:rPr>
          <w:rFonts w:ascii="Times New Roman" w:eastAsia="Times New Roman" w:hAnsi="Times New Roman" w:cs="Times New Roman"/>
          <w:sz w:val="23"/>
          <w:szCs w:val="23"/>
        </w:rPr>
      </w:pPr>
      <w:r w:rsidRPr="00BE6FA1">
        <w:rPr>
          <w:rFonts w:ascii="Times New Roman" w:eastAsia="Times New Roman" w:hAnsi="Times New Roman" w:cs="Times New Roman"/>
          <w:sz w:val="23"/>
          <w:szCs w:val="23"/>
        </w:rPr>
        <w:t>możliwość uzyskania oszczędności z tytułu zmniejszenia zużycia wody i surowców wykorzystywanych do produkcji </w:t>
      </w:r>
    </w:p>
    <w:p w:rsidR="006F54FB" w:rsidRPr="00BE6FA1" w:rsidRDefault="006F54FB" w:rsidP="009A7AFF">
      <w:pPr>
        <w:numPr>
          <w:ilvl w:val="0"/>
          <w:numId w:val="51"/>
        </w:numPr>
        <w:shd w:val="clear" w:color="auto" w:fill="FFFFFF"/>
        <w:spacing w:after="75" w:line="360" w:lineRule="auto"/>
        <w:jc w:val="both"/>
        <w:textAlignment w:val="baseline"/>
        <w:rPr>
          <w:rFonts w:ascii="Times New Roman" w:eastAsia="Times New Roman" w:hAnsi="Times New Roman" w:cs="Times New Roman"/>
          <w:sz w:val="23"/>
          <w:szCs w:val="23"/>
        </w:rPr>
      </w:pPr>
      <w:r w:rsidRPr="00BE6FA1">
        <w:rPr>
          <w:rFonts w:ascii="Times New Roman" w:eastAsia="Times New Roman" w:hAnsi="Times New Roman" w:cs="Times New Roman"/>
          <w:sz w:val="23"/>
          <w:szCs w:val="23"/>
        </w:rPr>
        <w:t>możliwość redukcji kosztów związanych ze składowaniem i zagospodarowaniem odpadów, oczyszczaniem ścieków i uzdatnianiem wody </w:t>
      </w:r>
    </w:p>
    <w:p w:rsidR="006F54FB" w:rsidRPr="00BE6FA1" w:rsidRDefault="006F54FB" w:rsidP="003A27DA">
      <w:pPr>
        <w:shd w:val="clear" w:color="auto" w:fill="FFFFFF"/>
        <w:spacing w:after="75" w:line="360" w:lineRule="auto"/>
        <w:ind w:left="720"/>
        <w:jc w:val="both"/>
        <w:textAlignment w:val="baseline"/>
        <w:rPr>
          <w:rFonts w:ascii="Times New Roman" w:eastAsia="Times New Roman" w:hAnsi="Times New Roman" w:cs="Times New Roman"/>
          <w:sz w:val="23"/>
          <w:szCs w:val="23"/>
        </w:rPr>
      </w:pPr>
    </w:p>
    <w:p w:rsidR="006F54FB" w:rsidRPr="00BE6FA1" w:rsidRDefault="006F54FB" w:rsidP="009A7AFF">
      <w:pPr>
        <w:numPr>
          <w:ilvl w:val="0"/>
          <w:numId w:val="51"/>
        </w:numPr>
        <w:shd w:val="clear" w:color="auto" w:fill="FFFFFF"/>
        <w:spacing w:after="75" w:line="360" w:lineRule="auto"/>
        <w:jc w:val="both"/>
        <w:textAlignment w:val="baseline"/>
        <w:rPr>
          <w:rFonts w:ascii="Times New Roman" w:eastAsia="Times New Roman" w:hAnsi="Times New Roman" w:cs="Times New Roman"/>
          <w:sz w:val="23"/>
          <w:szCs w:val="23"/>
        </w:rPr>
      </w:pPr>
      <w:r w:rsidRPr="00BE6FA1">
        <w:rPr>
          <w:rFonts w:ascii="Times New Roman" w:eastAsia="Times New Roman" w:hAnsi="Times New Roman" w:cs="Times New Roman"/>
          <w:sz w:val="23"/>
          <w:szCs w:val="23"/>
        </w:rPr>
        <w:t>maksymalny okres kredytowania – do 10 lat</w:t>
      </w:r>
    </w:p>
    <w:p w:rsidR="008A241B" w:rsidRPr="00BE6FA1" w:rsidRDefault="008A241B" w:rsidP="008A241B">
      <w:pPr>
        <w:pStyle w:val="Akapitzlist"/>
        <w:rPr>
          <w:rFonts w:ascii="Times New Roman" w:eastAsia="Times New Roman" w:hAnsi="Times New Roman" w:cs="Times New Roman"/>
          <w:sz w:val="23"/>
          <w:szCs w:val="23"/>
        </w:rPr>
      </w:pPr>
    </w:p>
    <w:p w:rsidR="006F54FB" w:rsidRPr="00BE6FA1" w:rsidRDefault="006F54FB" w:rsidP="009A7AFF">
      <w:pPr>
        <w:numPr>
          <w:ilvl w:val="0"/>
          <w:numId w:val="51"/>
        </w:numPr>
        <w:shd w:val="clear" w:color="auto" w:fill="FFFFFF"/>
        <w:spacing w:after="75" w:line="360" w:lineRule="auto"/>
        <w:jc w:val="both"/>
        <w:textAlignment w:val="baseline"/>
        <w:rPr>
          <w:rFonts w:ascii="Times New Roman" w:eastAsia="Times New Roman" w:hAnsi="Times New Roman" w:cs="Times New Roman"/>
          <w:sz w:val="23"/>
          <w:szCs w:val="23"/>
        </w:rPr>
      </w:pPr>
      <w:r w:rsidRPr="00BE6FA1">
        <w:rPr>
          <w:rFonts w:ascii="Times New Roman" w:eastAsia="Times New Roman" w:hAnsi="Times New Roman" w:cs="Times New Roman"/>
          <w:sz w:val="23"/>
          <w:szCs w:val="23"/>
        </w:rPr>
        <w:t>możliwość finansować do 80% kosztów</w:t>
      </w:r>
    </w:p>
    <w:p w:rsidR="006F54FB" w:rsidRPr="00BE6FA1" w:rsidRDefault="006F54FB" w:rsidP="003A27DA">
      <w:pPr>
        <w:pStyle w:val="Akapitzlist"/>
        <w:spacing w:line="360" w:lineRule="auto"/>
        <w:ind w:left="0"/>
        <w:rPr>
          <w:rFonts w:ascii="Times New Roman" w:hAnsi="Times New Roman" w:cs="Times New Roman"/>
          <w:sz w:val="24"/>
          <w:szCs w:val="24"/>
        </w:rPr>
      </w:pPr>
    </w:p>
    <w:p w:rsidR="006F54FB" w:rsidRPr="00BE6FA1" w:rsidRDefault="006F54FB" w:rsidP="009A7AFF">
      <w:pPr>
        <w:pStyle w:val="Nagwek5"/>
        <w:numPr>
          <w:ilvl w:val="0"/>
          <w:numId w:val="40"/>
        </w:numPr>
        <w:spacing w:before="0" w:line="360" w:lineRule="auto"/>
        <w:textAlignment w:val="baseline"/>
        <w:rPr>
          <w:rFonts w:ascii="Times New Roman" w:hAnsi="Times New Roman" w:cs="Times New Roman"/>
          <w:bCs/>
          <w:color w:val="auto"/>
          <w:sz w:val="24"/>
          <w:szCs w:val="24"/>
          <w:u w:val="single"/>
          <w:bdr w:val="none" w:sz="0" w:space="0" w:color="auto" w:frame="1"/>
        </w:rPr>
      </w:pPr>
      <w:r w:rsidRPr="00BE6FA1">
        <w:rPr>
          <w:rFonts w:ascii="Times New Roman" w:hAnsi="Times New Roman" w:cs="Times New Roman"/>
          <w:bCs/>
          <w:color w:val="auto"/>
          <w:sz w:val="24"/>
          <w:szCs w:val="24"/>
          <w:u w:val="single"/>
          <w:bdr w:val="none" w:sz="0" w:space="0" w:color="auto" w:frame="1"/>
        </w:rPr>
        <w:lastRenderedPageBreak/>
        <w:t>Kredyt EKOodnowa</w:t>
      </w:r>
    </w:p>
    <w:p w:rsidR="006F54FB" w:rsidRPr="00BE6FA1" w:rsidRDefault="006F54FB" w:rsidP="003A27DA">
      <w:pPr>
        <w:pStyle w:val="Nagwek5"/>
        <w:spacing w:before="0" w:line="360" w:lineRule="auto"/>
        <w:textAlignment w:val="baseline"/>
        <w:rPr>
          <w:rFonts w:ascii="Times New Roman" w:hAnsi="Times New Roman" w:cs="Times New Roman"/>
          <w:bCs/>
          <w:color w:val="auto"/>
          <w:sz w:val="24"/>
          <w:szCs w:val="24"/>
          <w:bdr w:val="none" w:sz="0" w:space="0" w:color="auto" w:frame="1"/>
        </w:rPr>
      </w:pPr>
    </w:p>
    <w:p w:rsidR="006F54FB" w:rsidRPr="00BE6FA1" w:rsidRDefault="006F54FB" w:rsidP="003A27DA">
      <w:pPr>
        <w:pStyle w:val="Nagwek5"/>
        <w:spacing w:before="0" w:line="360" w:lineRule="auto"/>
        <w:ind w:firstLine="360"/>
        <w:jc w:val="both"/>
        <w:textAlignment w:val="baseline"/>
        <w:rPr>
          <w:rFonts w:ascii="Times New Roman" w:hAnsi="Times New Roman" w:cs="Times New Roman"/>
          <w:color w:val="auto"/>
          <w:sz w:val="24"/>
          <w:szCs w:val="24"/>
        </w:rPr>
      </w:pPr>
      <w:r w:rsidRPr="00BE6FA1">
        <w:rPr>
          <w:rFonts w:ascii="Times New Roman" w:hAnsi="Times New Roman" w:cs="Times New Roman"/>
          <w:bCs/>
          <w:color w:val="auto"/>
          <w:sz w:val="24"/>
          <w:szCs w:val="24"/>
          <w:bdr w:val="none" w:sz="0" w:space="0" w:color="auto" w:frame="1"/>
        </w:rPr>
        <w:t>Kredyt EKOodnowa dla Firm (ze środków Banku KfW) umożliwia sfinansowanie przedsięwzięć mikro, małych lub średnich przedsiębiorstw, które przyczynią się do powiększenia majątku firmy poprzez realizację inwestycji przyjaznych środowisku.</w:t>
      </w:r>
    </w:p>
    <w:p w:rsidR="006F54FB" w:rsidRPr="00BE6FA1" w:rsidRDefault="006F54FB" w:rsidP="003A27DA">
      <w:pPr>
        <w:pStyle w:val="Akapitzlist"/>
        <w:spacing w:line="360" w:lineRule="auto"/>
        <w:ind w:left="0"/>
        <w:rPr>
          <w:rFonts w:ascii="Times New Roman" w:hAnsi="Times New Roman" w:cs="Times New Roman"/>
          <w:sz w:val="24"/>
          <w:szCs w:val="24"/>
        </w:rPr>
      </w:pPr>
    </w:p>
    <w:p w:rsidR="006F54FB" w:rsidRPr="00BE6FA1" w:rsidRDefault="006F54FB" w:rsidP="009A7AFF">
      <w:pPr>
        <w:numPr>
          <w:ilvl w:val="0"/>
          <w:numId w:val="44"/>
        </w:numPr>
        <w:shd w:val="clear" w:color="auto" w:fill="FFFFFF"/>
        <w:spacing w:after="0"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kwota kredytu:</w:t>
      </w:r>
      <w:r w:rsidRPr="00BE6FA1">
        <w:rPr>
          <w:rFonts w:ascii="Times New Roman" w:eastAsia="Times New Roman" w:hAnsi="Times New Roman" w:cs="Times New Roman"/>
          <w:sz w:val="24"/>
          <w:szCs w:val="24"/>
        </w:rPr>
        <w:t> 85 % wartości kredytowanego przedsięwzięcia, jednak nie więcej niż 250.000 EUR lub równowartość w PLN</w:t>
      </w:r>
    </w:p>
    <w:p w:rsidR="006F54FB" w:rsidRPr="00BE6FA1" w:rsidRDefault="006F54FB" w:rsidP="009A7AFF">
      <w:pPr>
        <w:numPr>
          <w:ilvl w:val="0"/>
          <w:numId w:val="44"/>
        </w:numPr>
        <w:shd w:val="clear" w:color="auto" w:fill="FFFFFF"/>
        <w:spacing w:after="0"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okres finansowania:</w:t>
      </w:r>
      <w:r w:rsidRPr="00BE6FA1">
        <w:rPr>
          <w:rFonts w:ascii="Times New Roman" w:eastAsia="Times New Roman" w:hAnsi="Times New Roman" w:cs="Times New Roman"/>
          <w:sz w:val="24"/>
          <w:szCs w:val="24"/>
        </w:rPr>
        <w:t> do 10 lat, ustalany w zależności od planowanego okresu realizacji inwestycji oraz oceny zdolności kredytowej klienta</w:t>
      </w:r>
    </w:p>
    <w:p w:rsidR="006F54FB" w:rsidRPr="00BE6FA1" w:rsidRDefault="006F54FB" w:rsidP="009A7AFF">
      <w:pPr>
        <w:numPr>
          <w:ilvl w:val="0"/>
          <w:numId w:val="44"/>
        </w:numPr>
        <w:shd w:val="clear" w:color="auto" w:fill="FFFFFF"/>
        <w:spacing w:after="0"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waluta:</w:t>
      </w:r>
      <w:r w:rsidRPr="00BE6FA1">
        <w:rPr>
          <w:rFonts w:ascii="Times New Roman" w:eastAsia="Times New Roman" w:hAnsi="Times New Roman" w:cs="Times New Roman"/>
          <w:sz w:val="24"/>
          <w:szCs w:val="24"/>
        </w:rPr>
        <w:t> PLN, EUR, </w:t>
      </w:r>
    </w:p>
    <w:p w:rsidR="006F54FB" w:rsidRPr="00BE6FA1" w:rsidRDefault="006F54FB" w:rsidP="009A7AFF">
      <w:pPr>
        <w:numPr>
          <w:ilvl w:val="0"/>
          <w:numId w:val="44"/>
        </w:numPr>
        <w:shd w:val="clear" w:color="auto" w:fill="FFFFFF"/>
        <w:spacing w:after="0"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karencja w spłacie kapitału:</w:t>
      </w:r>
      <w:r w:rsidRPr="00BE6FA1">
        <w:rPr>
          <w:rFonts w:ascii="Times New Roman" w:eastAsia="Times New Roman" w:hAnsi="Times New Roman" w:cs="Times New Roman"/>
          <w:sz w:val="24"/>
          <w:szCs w:val="24"/>
        </w:rPr>
        <w:t> do 2 lat</w:t>
      </w:r>
    </w:p>
    <w:p w:rsidR="006F54FB" w:rsidRPr="00BE6FA1" w:rsidRDefault="006F54FB" w:rsidP="009A7AFF">
      <w:pPr>
        <w:numPr>
          <w:ilvl w:val="0"/>
          <w:numId w:val="44"/>
        </w:numPr>
        <w:shd w:val="clear" w:color="auto" w:fill="FFFFFF"/>
        <w:spacing w:after="0"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spłata kredytu</w:t>
      </w:r>
      <w:r w:rsidRPr="00BE6FA1">
        <w:rPr>
          <w:rFonts w:ascii="Times New Roman" w:eastAsia="Times New Roman" w:hAnsi="Times New Roman" w:cs="Times New Roman"/>
          <w:b/>
          <w:bCs/>
          <w:sz w:val="24"/>
          <w:szCs w:val="24"/>
          <w:bdr w:val="none" w:sz="0" w:space="0" w:color="auto" w:frame="1"/>
        </w:rPr>
        <w:t>:</w:t>
      </w:r>
      <w:r w:rsidRPr="00BE6FA1">
        <w:rPr>
          <w:rFonts w:ascii="Times New Roman" w:eastAsia="Times New Roman" w:hAnsi="Times New Roman" w:cs="Times New Roman"/>
          <w:sz w:val="24"/>
          <w:szCs w:val="24"/>
        </w:rPr>
        <w:t> w miesięcznych lub kwartalnych ratach</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72216" w:rsidRPr="00BE6FA1" w:rsidRDefault="00672216"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72216" w:rsidRPr="00BE6FA1" w:rsidRDefault="00672216"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9A7AFF">
      <w:pPr>
        <w:pStyle w:val="Akapitzlist"/>
        <w:numPr>
          <w:ilvl w:val="0"/>
          <w:numId w:val="40"/>
        </w:numPr>
        <w:shd w:val="clear" w:color="auto" w:fill="FFFFFF"/>
        <w:spacing w:after="240" w:line="360" w:lineRule="auto"/>
        <w:jc w:val="both"/>
        <w:textAlignment w:val="baseline"/>
        <w:rPr>
          <w:rFonts w:ascii="Times New Roman" w:eastAsia="Times New Roman" w:hAnsi="Times New Roman" w:cs="Times New Roman"/>
          <w:sz w:val="24"/>
          <w:szCs w:val="24"/>
          <w:u w:val="single"/>
        </w:rPr>
      </w:pPr>
      <w:r w:rsidRPr="00BE6FA1">
        <w:rPr>
          <w:rFonts w:ascii="Times New Roman" w:eastAsia="Times New Roman" w:hAnsi="Times New Roman" w:cs="Times New Roman"/>
          <w:sz w:val="24"/>
          <w:szCs w:val="24"/>
          <w:u w:val="single"/>
        </w:rPr>
        <w:t>EKOpożyczka</w:t>
      </w:r>
    </w:p>
    <w:p w:rsidR="006F54FB" w:rsidRPr="00BE6FA1" w:rsidRDefault="006F54FB" w:rsidP="003A27DA">
      <w:pPr>
        <w:shd w:val="clear" w:color="auto" w:fill="FFFFFF"/>
        <w:spacing w:after="240" w:line="360" w:lineRule="auto"/>
        <w:ind w:firstLine="36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EKOpożyczkę można wziąć na zakup lub refinansowanie zakupu materiałów </w:t>
      </w:r>
      <w:r w:rsidRPr="00BE6FA1">
        <w:rPr>
          <w:rFonts w:ascii="Times New Roman" w:eastAsia="Times New Roman" w:hAnsi="Times New Roman" w:cs="Times New Roman"/>
          <w:sz w:val="24"/>
          <w:szCs w:val="24"/>
        </w:rPr>
        <w:br/>
        <w:t xml:space="preserve">o charakterze ekologicznym. Dotyczy wydatków o charakterze ekologicznym poniesionych do 6 miesięcy przed datą złożenia wniosku o EKOpożyczkę. </w:t>
      </w:r>
    </w:p>
    <w:p w:rsidR="006F54FB" w:rsidRPr="00BE6FA1" w:rsidRDefault="006F54FB" w:rsidP="009A7AFF">
      <w:pPr>
        <w:numPr>
          <w:ilvl w:val="0"/>
          <w:numId w:val="45"/>
        </w:numPr>
        <w:shd w:val="clear" w:color="auto" w:fill="FFFFFF"/>
        <w:spacing w:after="75"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kwota pożyczki od 1 000 zł brutto do 150 000 zł brutto</w:t>
      </w:r>
    </w:p>
    <w:p w:rsidR="006F54FB" w:rsidRPr="00BE6FA1" w:rsidRDefault="006F54FB" w:rsidP="009A7AFF">
      <w:pPr>
        <w:numPr>
          <w:ilvl w:val="0"/>
          <w:numId w:val="45"/>
        </w:numPr>
        <w:shd w:val="clear" w:color="auto" w:fill="FFFFFF"/>
        <w:spacing w:after="75" w:line="360" w:lineRule="auto"/>
        <w:ind w:left="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okres kredytowania do 10 lat.</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Lista niektórych towarów, które można zakupić na preferencyjnych warunkach:</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duże AGD (pralki, suszarki, pralko-suszarki, zmywarki, lodówki, piekarniki itp.) posiadające klasę energooszczędnościową co najmniej A++,</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rowery i inne sprzęty sportowe i rehabilitacyjne,</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samochody i pojazdy elektryczne,</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pobyt w ośrodkach sanatoryjnych,</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urządzenia i usługi polegające na przystosowaniu samochodów spalinowych do napędu elektronicznego, zasilania LPG, gazem ziemnym itp.,</w:t>
      </w:r>
    </w:p>
    <w:p w:rsidR="006F54FB" w:rsidRPr="00BE6FA1" w:rsidRDefault="006F54FB" w:rsidP="009A7AFF">
      <w:pPr>
        <w:numPr>
          <w:ilvl w:val="0"/>
          <w:numId w:val="46"/>
        </w:numPr>
        <w:shd w:val="clear" w:color="auto" w:fill="FFFFFF" w:themeFill="background1"/>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lastRenderedPageBreak/>
        <w:t>okna i/lub drzwi zewnętrzne termoizolacyjne o współczynniku przenikania ciepła</w:t>
      </w:r>
      <w:r w:rsidRPr="00BE6FA1">
        <w:rPr>
          <w:rFonts w:ascii="Times New Roman" w:eastAsia="Times New Roman" w:hAnsi="Times New Roman" w:cs="Times New Roman"/>
          <w:sz w:val="24"/>
          <w:szCs w:val="24"/>
        </w:rPr>
        <w:br/>
        <w:t>a) dla okien U=1,5 W/m</w:t>
      </w:r>
      <w:r w:rsidRPr="00BE6FA1">
        <w:rPr>
          <w:rFonts w:ascii="Times New Roman" w:eastAsia="Times New Roman" w:hAnsi="Times New Roman" w:cs="Times New Roman"/>
          <w:sz w:val="24"/>
          <w:szCs w:val="24"/>
          <w:vertAlign w:val="superscript"/>
        </w:rPr>
        <w:t>2</w:t>
      </w:r>
      <w:r w:rsidRPr="00BE6FA1">
        <w:rPr>
          <w:rFonts w:ascii="Times New Roman" w:eastAsia="Times New Roman" w:hAnsi="Times New Roman" w:cs="Times New Roman"/>
          <w:sz w:val="24"/>
          <w:szCs w:val="24"/>
        </w:rPr>
        <w:t xml:space="preserve"> K lub niższym,</w:t>
      </w:r>
    </w:p>
    <w:p w:rsidR="006F54FB" w:rsidRPr="00BE6FA1" w:rsidRDefault="006F54FB" w:rsidP="009A7AFF">
      <w:pPr>
        <w:pStyle w:val="Akapitzlist"/>
        <w:numPr>
          <w:ilvl w:val="0"/>
          <w:numId w:val="27"/>
        </w:numPr>
        <w:shd w:val="clear" w:color="auto" w:fill="FFFFFF" w:themeFill="background1"/>
        <w:spacing w:after="75" w:line="360" w:lineRule="auto"/>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dla okien U=2,2 W/m</w:t>
      </w:r>
      <w:r w:rsidRPr="00BE6FA1">
        <w:rPr>
          <w:rFonts w:ascii="Times New Roman" w:eastAsia="Times New Roman" w:hAnsi="Times New Roman" w:cs="Times New Roman"/>
          <w:sz w:val="24"/>
          <w:szCs w:val="24"/>
          <w:vertAlign w:val="superscript"/>
        </w:rPr>
        <w:t>2</w:t>
      </w:r>
      <w:r w:rsidRPr="00BE6FA1">
        <w:rPr>
          <w:rFonts w:ascii="Times New Roman" w:eastAsia="Times New Roman" w:hAnsi="Times New Roman" w:cs="Times New Roman"/>
          <w:sz w:val="24"/>
          <w:szCs w:val="24"/>
        </w:rPr>
        <w:t xml:space="preserve"> K lub niższym,</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pokrycia dachowe o naturalnym pochodzeniu (drewno, kamień, trzcina) np. gont, dachówka ceramiczna, łupki,</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kotły centralnego ogrzewania (gazowe, olejowe, węglowe niskoemisyjne, elektryczne, opalane biomasą, w tym kominki),</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systemy dociepleniowe,</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pompy ciepła i/lub rekuperatory,</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ekoarmatury (w szczególności: termo zawory, spłuczki dwufunkcyjne, krany</w:t>
      </w:r>
      <w:r w:rsidRPr="00BE6FA1">
        <w:rPr>
          <w:rFonts w:ascii="Times New Roman" w:eastAsia="Times New Roman" w:hAnsi="Times New Roman" w:cs="Times New Roman"/>
          <w:sz w:val="24"/>
          <w:szCs w:val="24"/>
        </w:rPr>
        <w:br/>
        <w:t>z fotokomórką, perlatory),</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elektroniczne systemy zarządzania energią w budynkach,</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domowe stacje uzdatniania wody z ujęć własnych,</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systemy odzysku wody deszczowej,</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przydomowe oczyszczalnie ścieków,</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ogniwa fotowoltaiczne,</w:t>
      </w:r>
    </w:p>
    <w:p w:rsidR="006F54FB" w:rsidRPr="00BE6FA1" w:rsidRDefault="006F54FB" w:rsidP="009A7AFF">
      <w:pPr>
        <w:numPr>
          <w:ilvl w:val="0"/>
          <w:numId w:val="46"/>
        </w:numPr>
        <w:shd w:val="clear" w:color="auto" w:fill="FFFFFF"/>
        <w:spacing w:after="75" w:line="360" w:lineRule="auto"/>
        <w:ind w:left="48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rower elektryczny GEOBIKE</w:t>
      </w:r>
    </w:p>
    <w:p w:rsidR="006F54FB" w:rsidRPr="00BE6FA1" w:rsidRDefault="006F54FB" w:rsidP="003A27DA">
      <w:pPr>
        <w:shd w:val="clear" w:color="auto" w:fill="FFFFFF"/>
        <w:spacing w:after="0" w:line="360" w:lineRule="auto"/>
        <w:jc w:val="both"/>
        <w:textAlignment w:val="baseline"/>
        <w:rPr>
          <w:rFonts w:ascii="Times New Roman" w:eastAsia="Times New Roman" w:hAnsi="Times New Roman" w:cs="Times New Roman"/>
          <w:sz w:val="24"/>
          <w:szCs w:val="24"/>
        </w:rPr>
      </w:pPr>
    </w:p>
    <w:p w:rsidR="006F54FB" w:rsidRPr="00BE6FA1" w:rsidRDefault="006F54FB" w:rsidP="009A7AFF">
      <w:pPr>
        <w:pStyle w:val="Akapitzlist"/>
        <w:numPr>
          <w:ilvl w:val="0"/>
          <w:numId w:val="40"/>
        </w:numPr>
        <w:shd w:val="clear" w:color="auto" w:fill="FFFFFF"/>
        <w:spacing w:after="0" w:line="360" w:lineRule="auto"/>
        <w:jc w:val="both"/>
        <w:textAlignment w:val="baseline"/>
        <w:rPr>
          <w:rFonts w:ascii="Times New Roman" w:eastAsia="Times New Roman" w:hAnsi="Times New Roman" w:cs="Times New Roman"/>
          <w:sz w:val="24"/>
          <w:szCs w:val="24"/>
          <w:u w:val="single"/>
        </w:rPr>
      </w:pPr>
      <w:r w:rsidRPr="00BE6FA1">
        <w:rPr>
          <w:rFonts w:ascii="Times New Roman" w:eastAsia="Times New Roman" w:hAnsi="Times New Roman" w:cs="Times New Roman"/>
          <w:sz w:val="24"/>
          <w:szCs w:val="24"/>
          <w:u w:val="single"/>
        </w:rPr>
        <w:t>EKOkredyt PV</w:t>
      </w:r>
    </w:p>
    <w:p w:rsidR="006F54FB" w:rsidRPr="00BE6FA1" w:rsidRDefault="006F54FB" w:rsidP="003A27DA">
      <w:pPr>
        <w:shd w:val="clear" w:color="auto" w:fill="FFFFFF"/>
        <w:spacing w:after="0" w:line="360" w:lineRule="auto"/>
        <w:jc w:val="both"/>
        <w:textAlignment w:val="baseline"/>
        <w:rPr>
          <w:rFonts w:ascii="Times New Roman" w:hAnsi="Times New Roman" w:cs="Times New Roman"/>
          <w:sz w:val="24"/>
          <w:szCs w:val="24"/>
          <w:shd w:val="clear" w:color="auto" w:fill="FFFFFF"/>
        </w:rPr>
      </w:pPr>
    </w:p>
    <w:p w:rsidR="006F54FB" w:rsidRPr="00BE6FA1" w:rsidRDefault="006F54FB" w:rsidP="003A27DA">
      <w:pPr>
        <w:shd w:val="clear" w:color="auto" w:fill="FFFFFF"/>
        <w:spacing w:after="0" w:line="360" w:lineRule="auto"/>
        <w:ind w:firstLine="360"/>
        <w:jc w:val="both"/>
        <w:textAlignment w:val="baseline"/>
        <w:rPr>
          <w:rFonts w:ascii="Times New Roman" w:eastAsia="Times New Roman" w:hAnsi="Times New Roman" w:cs="Times New Roman"/>
          <w:bCs/>
          <w:sz w:val="24"/>
          <w:szCs w:val="24"/>
          <w:bdr w:val="none" w:sz="0" w:space="0" w:color="auto" w:frame="1"/>
        </w:rPr>
      </w:pPr>
      <w:r w:rsidRPr="00BE6FA1">
        <w:rPr>
          <w:rFonts w:ascii="Times New Roman" w:hAnsi="Times New Roman" w:cs="Times New Roman"/>
          <w:sz w:val="24"/>
          <w:szCs w:val="24"/>
          <w:shd w:val="clear" w:color="auto" w:fill="FFFFFF"/>
        </w:rPr>
        <w:t>Zamiana promieniowania słonecznego na energię elektryczną jest możliwa dzięki instalacji fotowoltaicznej montowanej na działce, dachu lub elewacji domu. Na montaż instalacji fotowoltaicznych nie jest wymagane pozwolenie na budowę.</w:t>
      </w:r>
    </w:p>
    <w:p w:rsidR="006F54FB" w:rsidRPr="00BE6FA1" w:rsidRDefault="006F54FB" w:rsidP="009A7AFF">
      <w:pPr>
        <w:numPr>
          <w:ilvl w:val="0"/>
          <w:numId w:val="47"/>
        </w:numPr>
        <w:shd w:val="clear" w:color="auto" w:fill="FFFFFF"/>
        <w:spacing w:after="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bCs/>
          <w:sz w:val="24"/>
          <w:szCs w:val="24"/>
          <w:bdr w:val="none" w:sz="0" w:space="0" w:color="auto" w:frame="1"/>
        </w:rPr>
        <w:t>kredytowanie do 100% wartości</w:t>
      </w:r>
      <w:r w:rsidRPr="00BE6FA1">
        <w:rPr>
          <w:rFonts w:ascii="Times New Roman" w:eastAsia="Times New Roman" w:hAnsi="Times New Roman" w:cs="Times New Roman"/>
          <w:sz w:val="24"/>
          <w:szCs w:val="24"/>
        </w:rPr>
        <w:t> zakupu i montażu instalacji</w:t>
      </w:r>
    </w:p>
    <w:p w:rsidR="006F54FB" w:rsidRPr="00BE6FA1" w:rsidRDefault="006F54FB" w:rsidP="009A7AFF">
      <w:pPr>
        <w:numPr>
          <w:ilvl w:val="0"/>
          <w:numId w:val="47"/>
        </w:numPr>
        <w:shd w:val="clear" w:color="auto" w:fill="FFFFFF"/>
        <w:spacing w:after="0" w:line="360" w:lineRule="auto"/>
        <w:ind w:left="0" w:firstLine="0"/>
        <w:jc w:val="both"/>
        <w:textAlignment w:val="baseline"/>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 xml:space="preserve">długi okres kredytowania </w:t>
      </w:r>
      <w:r w:rsidR="008A241B" w:rsidRPr="00BE6FA1">
        <w:rPr>
          <w:rFonts w:ascii="Times New Roman" w:eastAsia="Times New Roman" w:hAnsi="Times New Roman" w:cs="Times New Roman"/>
          <w:sz w:val="24"/>
          <w:szCs w:val="24"/>
        </w:rPr>
        <w:t>–</w:t>
      </w:r>
      <w:r w:rsidRPr="00BE6FA1">
        <w:rPr>
          <w:rFonts w:ascii="Times New Roman" w:eastAsia="Times New Roman" w:hAnsi="Times New Roman" w:cs="Times New Roman"/>
          <w:sz w:val="24"/>
          <w:szCs w:val="24"/>
        </w:rPr>
        <w:t> </w:t>
      </w:r>
      <w:r w:rsidRPr="00BE6FA1">
        <w:rPr>
          <w:rFonts w:ascii="Times New Roman" w:eastAsia="Times New Roman" w:hAnsi="Times New Roman" w:cs="Times New Roman"/>
          <w:bCs/>
          <w:sz w:val="24"/>
          <w:szCs w:val="24"/>
          <w:bdr w:val="none" w:sz="0" w:space="0" w:color="auto" w:frame="1"/>
        </w:rPr>
        <w:t>do 15 lat</w:t>
      </w:r>
    </w:p>
    <w:p w:rsidR="002F3C96" w:rsidRDefault="002F3C96" w:rsidP="003A27DA">
      <w:pPr>
        <w:spacing w:line="360" w:lineRule="auto"/>
        <w:rPr>
          <w:rFonts w:ascii="Times New Roman" w:hAnsi="Times New Roman" w:cs="Times New Roman"/>
        </w:rPr>
      </w:pPr>
    </w:p>
    <w:p w:rsidR="00E11FAE" w:rsidRDefault="00E11FAE" w:rsidP="003A27DA">
      <w:pPr>
        <w:spacing w:line="360" w:lineRule="auto"/>
        <w:rPr>
          <w:rFonts w:ascii="Times New Roman" w:hAnsi="Times New Roman" w:cs="Times New Roman"/>
        </w:rPr>
      </w:pPr>
    </w:p>
    <w:p w:rsidR="00E11FAE" w:rsidRPr="00BE6FA1" w:rsidRDefault="00E11FAE" w:rsidP="003A27DA">
      <w:pPr>
        <w:spacing w:line="360" w:lineRule="auto"/>
        <w:rPr>
          <w:rFonts w:ascii="Times New Roman" w:hAnsi="Times New Roman" w:cs="Times New Roman"/>
        </w:rPr>
      </w:pPr>
    </w:p>
    <w:p w:rsidR="002F3C96" w:rsidRPr="00BE6FA1" w:rsidRDefault="002F3C96" w:rsidP="003A27DA">
      <w:pPr>
        <w:pStyle w:val="Nagwek1"/>
        <w:spacing w:line="360" w:lineRule="auto"/>
        <w:rPr>
          <w:rStyle w:val="Nagwek2Znak"/>
          <w:rFonts w:ascii="Times New Roman" w:hAnsi="Times New Roman" w:cs="Times New Roman"/>
          <w:b/>
          <w:bCs/>
          <w:color w:val="auto"/>
          <w:sz w:val="28"/>
          <w:szCs w:val="28"/>
        </w:rPr>
      </w:pPr>
      <w:bookmarkStart w:id="181" w:name="_Toc442426536"/>
      <w:bookmarkStart w:id="182" w:name="_Toc449097754"/>
      <w:r w:rsidRPr="00BE6FA1">
        <w:rPr>
          <w:rFonts w:ascii="Times New Roman" w:hAnsi="Times New Roman" w:cs="Times New Roman"/>
          <w:color w:val="auto"/>
        </w:rPr>
        <w:lastRenderedPageBreak/>
        <w:t>Strategia do 202</w:t>
      </w:r>
      <w:r w:rsidR="00D06187">
        <w:rPr>
          <w:rFonts w:ascii="Times New Roman" w:hAnsi="Times New Roman" w:cs="Times New Roman"/>
          <w:color w:val="auto"/>
        </w:rPr>
        <w:t>1</w:t>
      </w:r>
      <w:r w:rsidRPr="00BE6FA1">
        <w:rPr>
          <w:rFonts w:ascii="Times New Roman" w:hAnsi="Times New Roman" w:cs="Times New Roman"/>
          <w:color w:val="auto"/>
        </w:rPr>
        <w:t xml:space="preserve"> roku oraz działania i środki zaplanowane na okres objęty</w:t>
      </w:r>
      <w:r w:rsidRPr="00BE6FA1">
        <w:rPr>
          <w:rStyle w:val="Nagwek2Znak"/>
          <w:rFonts w:ascii="Times New Roman" w:hAnsi="Times New Roman" w:cs="Times New Roman"/>
          <w:b/>
          <w:bCs/>
          <w:color w:val="auto"/>
          <w:sz w:val="28"/>
          <w:szCs w:val="28"/>
        </w:rPr>
        <w:t xml:space="preserve"> planem</w:t>
      </w:r>
      <w:bookmarkEnd w:id="181"/>
      <w:bookmarkEnd w:id="182"/>
    </w:p>
    <w:p w:rsidR="002F3C96" w:rsidRPr="00BE6FA1" w:rsidRDefault="002F3C96" w:rsidP="003A27DA">
      <w:pPr>
        <w:spacing w:line="360" w:lineRule="auto"/>
        <w:rPr>
          <w:rFonts w:ascii="Times New Roman" w:hAnsi="Times New Roman" w:cs="Times New Roman"/>
        </w:rPr>
      </w:pPr>
    </w:p>
    <w:p w:rsidR="002F3C96" w:rsidRPr="00BE6FA1" w:rsidRDefault="002F3C96" w:rsidP="003A27DA">
      <w:pPr>
        <w:pStyle w:val="Nagwek2"/>
        <w:spacing w:line="360" w:lineRule="auto"/>
        <w:rPr>
          <w:rStyle w:val="Nagwek3Znak"/>
          <w:rFonts w:ascii="Times New Roman" w:hAnsi="Times New Roman" w:cs="Times New Roman"/>
          <w:b/>
          <w:bCs/>
          <w:color w:val="auto"/>
        </w:rPr>
      </w:pPr>
      <w:bookmarkStart w:id="183" w:name="_Toc437866335"/>
      <w:bookmarkStart w:id="184" w:name="_Toc442426537"/>
      <w:bookmarkStart w:id="185" w:name="_Toc449097755"/>
      <w:r w:rsidRPr="00BE6FA1">
        <w:rPr>
          <w:rStyle w:val="Nagwek3Znak"/>
          <w:rFonts w:ascii="Times New Roman" w:hAnsi="Times New Roman" w:cs="Times New Roman"/>
          <w:b/>
          <w:bCs/>
          <w:color w:val="auto"/>
        </w:rPr>
        <w:t xml:space="preserve">Długoterminowa strategia </w:t>
      </w:r>
      <w:r w:rsidR="00726810" w:rsidRPr="00BE6FA1">
        <w:rPr>
          <w:rStyle w:val="Nagwek3Znak"/>
          <w:rFonts w:ascii="Times New Roman" w:hAnsi="Times New Roman" w:cs="Times New Roman"/>
          <w:b/>
          <w:bCs/>
          <w:color w:val="auto"/>
        </w:rPr>
        <w:t xml:space="preserve">Miasta i </w:t>
      </w:r>
      <w:r w:rsidRPr="00BE6FA1">
        <w:rPr>
          <w:rStyle w:val="Nagwek3Znak"/>
          <w:rFonts w:ascii="Times New Roman" w:hAnsi="Times New Roman" w:cs="Times New Roman"/>
          <w:b/>
          <w:bCs/>
          <w:color w:val="auto"/>
        </w:rPr>
        <w:t xml:space="preserve">Gminy </w:t>
      </w:r>
      <w:bookmarkEnd w:id="183"/>
      <w:bookmarkEnd w:id="184"/>
      <w:r w:rsidRPr="00BE6FA1">
        <w:rPr>
          <w:rStyle w:val="Nagwek3Znak"/>
          <w:rFonts w:ascii="Times New Roman" w:hAnsi="Times New Roman" w:cs="Times New Roman"/>
          <w:b/>
          <w:bCs/>
          <w:color w:val="auto"/>
        </w:rPr>
        <w:t>Kańczuga</w:t>
      </w:r>
      <w:bookmarkEnd w:id="185"/>
    </w:p>
    <w:p w:rsidR="002F3C96" w:rsidRPr="00BE6FA1" w:rsidRDefault="002F3C96" w:rsidP="003A27DA">
      <w:pPr>
        <w:spacing w:line="360" w:lineRule="auto"/>
        <w:rPr>
          <w:rFonts w:ascii="Times New Roman" w:hAnsi="Times New Roman" w:cs="Times New Roman"/>
        </w:rPr>
      </w:pPr>
    </w:p>
    <w:p w:rsidR="002F3C96" w:rsidRPr="00BE6FA1" w:rsidRDefault="002F3C96" w:rsidP="003A27DA">
      <w:pPr>
        <w:spacing w:line="360" w:lineRule="auto"/>
        <w:ind w:firstLine="550"/>
        <w:jc w:val="both"/>
        <w:rPr>
          <w:rFonts w:ascii="Times New Roman" w:hAnsi="Times New Roman" w:cs="Times New Roman"/>
          <w:sz w:val="24"/>
          <w:szCs w:val="24"/>
        </w:rPr>
      </w:pPr>
      <w:r w:rsidRPr="00BE6FA1">
        <w:rPr>
          <w:rFonts w:ascii="Times New Roman" w:hAnsi="Times New Roman" w:cs="Times New Roman"/>
          <w:sz w:val="24"/>
          <w:szCs w:val="24"/>
        </w:rPr>
        <w:t>Opracowanie i realizacja zadań określonych w Planie gospodarki niskoemisyjnej pozwala na osiągnięcie celów określonych w pakiecie klimatyczno-energetycznym Unii Europejskiej do roku 2020, tj.:</w:t>
      </w:r>
    </w:p>
    <w:p w:rsidR="002F3C96" w:rsidRPr="00BE6FA1" w:rsidRDefault="002F3C96" w:rsidP="009A7AFF">
      <w:pPr>
        <w:pStyle w:val="Akapitzlist"/>
        <w:numPr>
          <w:ilvl w:val="0"/>
          <w:numId w:val="40"/>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redukcję emisji gazów cieplarnianych o przynajmniej 20% w stosunku do poziomu </w:t>
      </w:r>
      <w:r w:rsidRPr="00BE6FA1">
        <w:rPr>
          <w:rFonts w:ascii="Times New Roman" w:hAnsi="Times New Roman" w:cs="Times New Roman"/>
          <w:sz w:val="24"/>
          <w:szCs w:val="24"/>
        </w:rPr>
        <w:br/>
        <w:t>z roku 2006 (przyjętego jako rok bazowy),</w:t>
      </w:r>
    </w:p>
    <w:p w:rsidR="002F3C96" w:rsidRPr="00BE6FA1" w:rsidRDefault="002F3C96" w:rsidP="009A7AFF">
      <w:pPr>
        <w:pStyle w:val="Akapitzlist"/>
        <w:numPr>
          <w:ilvl w:val="0"/>
          <w:numId w:val="40"/>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zwiększenie udziału zużycia energii z odnawialnych źródeł do 20% w ogólnym zużyciu energii (w przypadku Polski 15%),</w:t>
      </w:r>
    </w:p>
    <w:p w:rsidR="002F3C96" w:rsidRPr="00BE6FA1" w:rsidRDefault="002F3C96" w:rsidP="009A7AFF">
      <w:pPr>
        <w:pStyle w:val="Akapitzlist"/>
        <w:numPr>
          <w:ilvl w:val="0"/>
          <w:numId w:val="40"/>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redukcję zużycia energii pierwotnej o 20% w stosunku do prognoz na 2020 rok, czyli podniesienie efektywności energetycznej.</w:t>
      </w:r>
    </w:p>
    <w:p w:rsidR="002F3C96" w:rsidRPr="00BE6FA1" w:rsidRDefault="002F3C96" w:rsidP="003A27DA">
      <w:pPr>
        <w:spacing w:after="0" w:line="360" w:lineRule="auto"/>
        <w:jc w:val="both"/>
        <w:rPr>
          <w:rFonts w:ascii="Times New Roman" w:hAnsi="Times New Roman" w:cs="Times New Roman"/>
          <w:sz w:val="24"/>
          <w:szCs w:val="24"/>
        </w:rPr>
      </w:pPr>
    </w:p>
    <w:p w:rsidR="002F3C96" w:rsidRPr="00BE6FA1" w:rsidRDefault="002F3C96" w:rsidP="003A27DA">
      <w:p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Dla </w:t>
      </w:r>
      <w:r w:rsidR="00726810"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Gminy Kańczuga założono następujące cele:</w:t>
      </w:r>
    </w:p>
    <w:p w:rsidR="006F54FB" w:rsidRDefault="006F54FB" w:rsidP="003A27DA">
      <w:pPr>
        <w:spacing w:line="360" w:lineRule="auto"/>
        <w:rPr>
          <w:rFonts w:ascii="Times New Roman" w:hAnsi="Times New Roman" w:cs="Times New Roman"/>
        </w:rPr>
      </w:pPr>
    </w:p>
    <w:p w:rsidR="00106A52" w:rsidRPr="00BE6FA1" w:rsidRDefault="00106A52" w:rsidP="009A7AFF">
      <w:pPr>
        <w:pStyle w:val="Akapitzlist"/>
        <w:numPr>
          <w:ilvl w:val="0"/>
          <w:numId w:val="63"/>
        </w:numPr>
        <w:spacing w:line="360" w:lineRule="auto"/>
        <w:jc w:val="both"/>
        <w:rPr>
          <w:rFonts w:ascii="Times New Roman" w:eastAsia="Times New Roman" w:hAnsi="Times New Roman" w:cs="Times New Roman"/>
          <w:sz w:val="24"/>
          <w:szCs w:val="24"/>
        </w:rPr>
      </w:pPr>
      <w:r w:rsidRPr="00BE6FA1">
        <w:rPr>
          <w:rFonts w:ascii="Times New Roman" w:hAnsi="Times New Roman" w:cs="Times New Roman"/>
          <w:sz w:val="24"/>
          <w:szCs w:val="24"/>
        </w:rPr>
        <w:t>redukcję emisji gazów cieplarnianych o ok. 474,4 Mg CO</w:t>
      </w:r>
      <w:r w:rsidRPr="00BE6FA1">
        <w:rPr>
          <w:rFonts w:ascii="Times New Roman" w:hAnsi="Times New Roman" w:cs="Times New Roman"/>
          <w:sz w:val="24"/>
          <w:szCs w:val="24"/>
          <w:vertAlign w:val="subscript"/>
        </w:rPr>
        <w:t xml:space="preserve">2, </w:t>
      </w:r>
      <w:r w:rsidRPr="00BE6FA1">
        <w:rPr>
          <w:rFonts w:ascii="Times New Roman" w:eastAsia="Times New Roman" w:hAnsi="Times New Roman" w:cs="Times New Roman"/>
          <w:sz w:val="24"/>
          <w:szCs w:val="24"/>
        </w:rPr>
        <w:t>tj. 0,76 %</w:t>
      </w:r>
    </w:p>
    <w:p w:rsidR="00106A52" w:rsidRPr="00BE6FA1" w:rsidRDefault="00106A52" w:rsidP="009A7AFF">
      <w:pPr>
        <w:pStyle w:val="Akapitzlist"/>
        <w:numPr>
          <w:ilvl w:val="0"/>
          <w:numId w:val="62"/>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zwiększenie udziału zużycia odnawialnych źródeł energii o ok. </w:t>
      </w:r>
      <w:r>
        <w:rPr>
          <w:rFonts w:ascii="Times New Roman" w:hAnsi="Times New Roman" w:cs="Times New Roman"/>
          <w:sz w:val="24"/>
          <w:szCs w:val="24"/>
        </w:rPr>
        <w:t>51,3</w:t>
      </w:r>
      <w:r w:rsidRPr="00BE6FA1">
        <w:rPr>
          <w:rFonts w:ascii="Times New Roman" w:hAnsi="Times New Roman" w:cs="Times New Roman"/>
          <w:sz w:val="24"/>
          <w:szCs w:val="24"/>
        </w:rPr>
        <w:t xml:space="preserve"> GJ, tj </w:t>
      </w:r>
      <w:r>
        <w:rPr>
          <w:rFonts w:ascii="Times New Roman" w:hAnsi="Times New Roman" w:cs="Times New Roman"/>
          <w:sz w:val="24"/>
          <w:szCs w:val="24"/>
        </w:rPr>
        <w:t>5,39</w:t>
      </w:r>
      <w:r w:rsidRPr="00BE6FA1">
        <w:rPr>
          <w:rFonts w:ascii="Times New Roman" w:hAnsi="Times New Roman" w:cs="Times New Roman"/>
          <w:sz w:val="24"/>
          <w:szCs w:val="24"/>
        </w:rPr>
        <w:t xml:space="preserve"> %</w:t>
      </w:r>
    </w:p>
    <w:p w:rsidR="00106A52" w:rsidRPr="00095068" w:rsidRDefault="00106A52" w:rsidP="003A27DA">
      <w:pPr>
        <w:pStyle w:val="Akapitzlist"/>
        <w:numPr>
          <w:ilvl w:val="0"/>
          <w:numId w:val="62"/>
        </w:numPr>
        <w:spacing w:after="0"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redukcję zużycia energii pierwotnej o ok. </w:t>
      </w:r>
      <w:r w:rsidRPr="00BE6FA1">
        <w:rPr>
          <w:rFonts w:ascii="Times New Roman" w:eastAsia="Times New Roman" w:hAnsi="Times New Roman" w:cs="Times New Roman"/>
          <w:sz w:val="24"/>
          <w:szCs w:val="24"/>
        </w:rPr>
        <w:t>3 307,46 GJ, tj. 0,37 %</w:t>
      </w:r>
    </w:p>
    <w:p w:rsidR="0071247C" w:rsidRPr="00BE6FA1" w:rsidRDefault="0071247C" w:rsidP="003A27DA">
      <w:pPr>
        <w:spacing w:line="360" w:lineRule="auto"/>
        <w:rPr>
          <w:rFonts w:ascii="Times New Roman" w:hAnsi="Times New Roman" w:cs="Times New Roman"/>
        </w:rPr>
      </w:pPr>
    </w:p>
    <w:p w:rsidR="002F3C96" w:rsidRPr="00BE6FA1" w:rsidRDefault="002F3C96" w:rsidP="003A27DA">
      <w:pPr>
        <w:spacing w:line="360" w:lineRule="auto"/>
        <w:jc w:val="both"/>
        <w:rPr>
          <w:rFonts w:ascii="Times New Roman" w:hAnsi="Times New Roman" w:cs="Times New Roman"/>
          <w:b/>
          <w:sz w:val="24"/>
        </w:rPr>
      </w:pPr>
      <w:r w:rsidRPr="00BE6FA1">
        <w:rPr>
          <w:rFonts w:ascii="Times New Roman" w:hAnsi="Times New Roman" w:cs="Times New Roman"/>
          <w:b/>
          <w:sz w:val="24"/>
        </w:rPr>
        <w:t xml:space="preserve">Cel strategiczny Planu Gospodarki Niskoemisyjnej dla </w:t>
      </w:r>
      <w:r w:rsidR="00726810" w:rsidRPr="00BE6FA1">
        <w:rPr>
          <w:rFonts w:ascii="Times New Roman" w:hAnsi="Times New Roman" w:cs="Times New Roman"/>
          <w:b/>
          <w:sz w:val="24"/>
        </w:rPr>
        <w:t xml:space="preserve">Miasta i </w:t>
      </w:r>
      <w:r w:rsidRPr="00BE6FA1">
        <w:rPr>
          <w:rFonts w:ascii="Times New Roman" w:hAnsi="Times New Roman" w:cs="Times New Roman"/>
          <w:b/>
          <w:sz w:val="24"/>
        </w:rPr>
        <w:t>Gminy Kańczuga</w:t>
      </w:r>
    </w:p>
    <w:p w:rsidR="002F3C96" w:rsidRPr="00BE6FA1" w:rsidRDefault="00EE533D" w:rsidP="003A27DA">
      <w:pPr>
        <w:spacing w:line="360" w:lineRule="auto"/>
        <w:ind w:firstLine="720"/>
        <w:jc w:val="both"/>
        <w:rPr>
          <w:rFonts w:ascii="Times New Roman" w:hAnsi="Times New Roman" w:cs="Times New Roman"/>
          <w:b/>
          <w:sz w:val="32"/>
        </w:rPr>
      </w:pPr>
      <w:r w:rsidRPr="00BE6FA1">
        <w:rPr>
          <w:rFonts w:ascii="Times New Roman" w:hAnsi="Times New Roman" w:cs="Times New Roman"/>
          <w:sz w:val="23"/>
          <w:szCs w:val="23"/>
        </w:rPr>
        <w:t>P</w:t>
      </w:r>
      <w:r w:rsidR="002F3C96" w:rsidRPr="00BE6FA1">
        <w:rPr>
          <w:rFonts w:ascii="Times New Roman" w:hAnsi="Times New Roman" w:cs="Times New Roman"/>
          <w:sz w:val="23"/>
          <w:szCs w:val="23"/>
        </w:rPr>
        <w:t>odniesienie efektywności energetycznej, redukcja emisji CO</w:t>
      </w:r>
      <w:r w:rsidR="002F3C96" w:rsidRPr="00BE6FA1">
        <w:rPr>
          <w:rFonts w:ascii="Times New Roman" w:hAnsi="Times New Roman" w:cs="Times New Roman"/>
          <w:sz w:val="23"/>
          <w:szCs w:val="23"/>
          <w:vertAlign w:val="subscript"/>
        </w:rPr>
        <w:t>2</w:t>
      </w:r>
      <w:r w:rsidR="002F3C96" w:rsidRPr="00BE6FA1">
        <w:rPr>
          <w:rFonts w:ascii="Times New Roman" w:hAnsi="Times New Roman" w:cs="Times New Roman"/>
          <w:sz w:val="23"/>
          <w:szCs w:val="23"/>
        </w:rPr>
        <w:t xml:space="preserve"> oraz zwiększenie udziału energii z </w:t>
      </w:r>
      <w:r w:rsidR="00E11FAE">
        <w:rPr>
          <w:rFonts w:ascii="Times New Roman" w:hAnsi="Times New Roman" w:cs="Times New Roman"/>
          <w:sz w:val="23"/>
          <w:szCs w:val="23"/>
        </w:rPr>
        <w:t>odnawialnych źródeł na terenie Miasta i G</w:t>
      </w:r>
      <w:r w:rsidR="002F3C96" w:rsidRPr="00BE6FA1">
        <w:rPr>
          <w:rFonts w:ascii="Times New Roman" w:hAnsi="Times New Roman" w:cs="Times New Roman"/>
          <w:sz w:val="23"/>
          <w:szCs w:val="23"/>
        </w:rPr>
        <w:t>miny Kańczuga.</w:t>
      </w:r>
    </w:p>
    <w:p w:rsidR="002F3C96" w:rsidRPr="00BE6FA1" w:rsidRDefault="002F3C96" w:rsidP="003A27DA">
      <w:pPr>
        <w:spacing w:line="360" w:lineRule="auto"/>
        <w:rPr>
          <w:rStyle w:val="Teksttreci2Exact"/>
          <w:rFonts w:eastAsia="Calibri"/>
          <w:sz w:val="24"/>
        </w:rPr>
      </w:pPr>
      <w:r w:rsidRPr="00BE6FA1">
        <w:rPr>
          <w:rStyle w:val="Teksttreci2Exact"/>
          <w:rFonts w:eastAsia="Calibri"/>
          <w:sz w:val="24"/>
        </w:rPr>
        <w:t>Cele szczegółowe:</w:t>
      </w:r>
    </w:p>
    <w:p w:rsidR="002F3C96" w:rsidRPr="00BE6FA1" w:rsidRDefault="002F3C96" w:rsidP="009A7AFF">
      <w:pPr>
        <w:pStyle w:val="Akapitzlist"/>
        <w:numPr>
          <w:ilvl w:val="0"/>
          <w:numId w:val="40"/>
        </w:numPr>
        <w:spacing w:line="360" w:lineRule="auto"/>
        <w:jc w:val="both"/>
        <w:rPr>
          <w:rStyle w:val="Teksttreci2Exact"/>
          <w:rFonts w:eastAsia="Calibri"/>
          <w:sz w:val="24"/>
          <w:szCs w:val="24"/>
        </w:rPr>
      </w:pPr>
      <w:r w:rsidRPr="00BE6FA1">
        <w:rPr>
          <w:rFonts w:ascii="Times New Roman" w:hAnsi="Times New Roman" w:cs="Times New Roman"/>
          <w:sz w:val="24"/>
          <w:szCs w:val="24"/>
        </w:rPr>
        <w:t>Termomodernizacja istniejących obiektów użyteczności publicznej oraz zasobów mieszkaniowych na terenie gminy</w:t>
      </w:r>
      <w:r w:rsidR="00EE533D" w:rsidRPr="00BE6FA1">
        <w:rPr>
          <w:rFonts w:ascii="Times New Roman" w:hAnsi="Times New Roman" w:cs="Times New Roman"/>
          <w:sz w:val="24"/>
          <w:szCs w:val="24"/>
        </w:rPr>
        <w:t>,</w:t>
      </w:r>
    </w:p>
    <w:p w:rsidR="002F3C96" w:rsidRPr="00BE6FA1" w:rsidRDefault="002F3C96"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Prowadzenie remontów i modernizacji, w tym poprawa efektywności energetycznej obiektów użyteczności publicznej oraz mieszkalnych</w:t>
      </w:r>
      <w:r w:rsidR="00EE533D" w:rsidRPr="00BE6FA1">
        <w:rPr>
          <w:rFonts w:ascii="Times New Roman" w:hAnsi="Times New Roman" w:cs="Times New Roman"/>
          <w:sz w:val="24"/>
          <w:szCs w:val="24"/>
        </w:rPr>
        <w:t>,</w:t>
      </w:r>
    </w:p>
    <w:p w:rsidR="002F3C96" w:rsidRPr="00BE6FA1" w:rsidRDefault="002F3C96" w:rsidP="009A7AFF">
      <w:pPr>
        <w:pStyle w:val="Akapitzlist"/>
        <w:numPr>
          <w:ilvl w:val="0"/>
          <w:numId w:val="40"/>
        </w:numPr>
        <w:spacing w:line="360" w:lineRule="auto"/>
        <w:jc w:val="both"/>
        <w:rPr>
          <w:rStyle w:val="Teksttreci2Exact"/>
          <w:rFonts w:eastAsia="Calibri"/>
          <w:sz w:val="24"/>
          <w:szCs w:val="24"/>
        </w:rPr>
      </w:pPr>
      <w:r w:rsidRPr="00BE6FA1">
        <w:rPr>
          <w:rStyle w:val="Teksttreci2Exact"/>
          <w:rFonts w:eastAsia="Calibri"/>
          <w:sz w:val="24"/>
          <w:szCs w:val="24"/>
        </w:rPr>
        <w:lastRenderedPageBreak/>
        <w:t>Realizowanie i wspieranie inwestycji związanych z wytwarzaniem energii ze źródeł odnawialnych</w:t>
      </w:r>
      <w:r w:rsidR="00EE533D" w:rsidRPr="00BE6FA1">
        <w:rPr>
          <w:rStyle w:val="Teksttreci2Exact"/>
          <w:rFonts w:eastAsia="Calibri"/>
          <w:sz w:val="24"/>
          <w:szCs w:val="24"/>
        </w:rPr>
        <w:t>,</w:t>
      </w:r>
    </w:p>
    <w:p w:rsidR="002F3C96" w:rsidRPr="00BE6FA1" w:rsidRDefault="002F3C96"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Zwiększony poziom ekoświadomości mieszkańców gminy</w:t>
      </w:r>
      <w:r w:rsidR="00EE533D" w:rsidRPr="00BE6FA1">
        <w:rPr>
          <w:rFonts w:ascii="Times New Roman" w:hAnsi="Times New Roman" w:cs="Times New Roman"/>
          <w:sz w:val="24"/>
          <w:szCs w:val="24"/>
        </w:rPr>
        <w:t>,</w:t>
      </w:r>
    </w:p>
    <w:p w:rsidR="002F3C96" w:rsidRPr="00BE6FA1" w:rsidRDefault="002F3C96"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Promowanie wiedzy w zakresie pozyskiwania i wykorzystywania odnawialnych źródeł energii</w:t>
      </w:r>
      <w:r w:rsidR="00EE533D" w:rsidRPr="00BE6FA1">
        <w:rPr>
          <w:rFonts w:ascii="Times New Roman" w:hAnsi="Times New Roman" w:cs="Times New Roman"/>
          <w:sz w:val="24"/>
          <w:szCs w:val="24"/>
        </w:rPr>
        <w:t>,</w:t>
      </w:r>
    </w:p>
    <w:p w:rsidR="002F3C96" w:rsidRPr="00BE6FA1" w:rsidRDefault="002F3C96"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Wspieranie produktów i usług efektywnych energetycznie – tzw. </w:t>
      </w:r>
      <w:r w:rsidR="008A241B" w:rsidRPr="00BE6FA1">
        <w:rPr>
          <w:rFonts w:ascii="Times New Roman" w:hAnsi="Times New Roman" w:cs="Times New Roman"/>
          <w:sz w:val="24"/>
          <w:szCs w:val="24"/>
        </w:rPr>
        <w:t>Z</w:t>
      </w:r>
      <w:r w:rsidRPr="00BE6FA1">
        <w:rPr>
          <w:rFonts w:ascii="Times New Roman" w:hAnsi="Times New Roman" w:cs="Times New Roman"/>
          <w:sz w:val="24"/>
          <w:szCs w:val="24"/>
        </w:rPr>
        <w:t>ielone zamówienia publiczne</w:t>
      </w:r>
      <w:r w:rsidR="00EE533D" w:rsidRPr="00BE6FA1">
        <w:rPr>
          <w:rFonts w:ascii="Times New Roman" w:hAnsi="Times New Roman" w:cs="Times New Roman"/>
          <w:sz w:val="24"/>
          <w:szCs w:val="24"/>
        </w:rPr>
        <w:t>,</w:t>
      </w:r>
    </w:p>
    <w:p w:rsidR="002F3C96" w:rsidRPr="00BE6FA1" w:rsidRDefault="002F3C96" w:rsidP="009A7AFF">
      <w:pPr>
        <w:pStyle w:val="Akapitzlist"/>
        <w:numPr>
          <w:ilvl w:val="0"/>
          <w:numId w:val="40"/>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Uwzględnianie w planach zagospodarowania przestrzennego inwestycji efektywnych energetycznie</w:t>
      </w:r>
      <w:r w:rsidR="00EE533D" w:rsidRPr="00BE6FA1">
        <w:rPr>
          <w:rFonts w:ascii="Times New Roman" w:hAnsi="Times New Roman" w:cs="Times New Roman"/>
          <w:sz w:val="24"/>
          <w:szCs w:val="24"/>
        </w:rPr>
        <w:t>.</w:t>
      </w:r>
    </w:p>
    <w:p w:rsidR="002F3C96" w:rsidRPr="00BE6FA1" w:rsidRDefault="002F3C96" w:rsidP="003A27DA">
      <w:pPr>
        <w:pStyle w:val="Nagwek2"/>
        <w:spacing w:line="360" w:lineRule="auto"/>
        <w:rPr>
          <w:rFonts w:ascii="Times New Roman" w:hAnsi="Times New Roman" w:cs="Times New Roman"/>
          <w:color w:val="auto"/>
        </w:rPr>
      </w:pPr>
      <w:bookmarkStart w:id="186" w:name="_Toc437603367"/>
      <w:bookmarkStart w:id="187" w:name="_Toc437603496"/>
      <w:bookmarkStart w:id="188" w:name="_Toc437866333"/>
      <w:bookmarkStart w:id="189" w:name="_Toc442426538"/>
    </w:p>
    <w:p w:rsidR="002F3C96" w:rsidRPr="00BE6FA1" w:rsidRDefault="002F3C96" w:rsidP="003A27DA">
      <w:pPr>
        <w:pStyle w:val="Nagwek2"/>
        <w:spacing w:line="360" w:lineRule="auto"/>
        <w:rPr>
          <w:rFonts w:ascii="Times New Roman" w:hAnsi="Times New Roman" w:cs="Times New Roman"/>
          <w:color w:val="auto"/>
        </w:rPr>
      </w:pPr>
      <w:bookmarkStart w:id="190" w:name="_Toc449097756"/>
      <w:r w:rsidRPr="00BE6FA1">
        <w:rPr>
          <w:rFonts w:ascii="Times New Roman" w:hAnsi="Times New Roman" w:cs="Times New Roman"/>
          <w:color w:val="auto"/>
        </w:rPr>
        <w:t>Analiza SWOT</w:t>
      </w:r>
      <w:bookmarkEnd w:id="186"/>
      <w:bookmarkEnd w:id="187"/>
      <w:bookmarkEnd w:id="188"/>
      <w:bookmarkEnd w:id="189"/>
      <w:bookmarkEnd w:id="190"/>
    </w:p>
    <w:p w:rsidR="002F3C96" w:rsidRPr="00BE6FA1" w:rsidRDefault="002F3C96" w:rsidP="003A27DA">
      <w:pPr>
        <w:spacing w:line="360" w:lineRule="auto"/>
        <w:jc w:val="both"/>
        <w:rPr>
          <w:rFonts w:ascii="Times New Roman" w:hAnsi="Times New Roman" w:cs="Times New Roman"/>
          <w:sz w:val="24"/>
          <w:szCs w:val="24"/>
        </w:rPr>
      </w:pPr>
      <w:r w:rsidRPr="00BE6FA1">
        <w:rPr>
          <w:rFonts w:ascii="Times New Roman" w:hAnsi="Times New Roman" w:cs="Times New Roman"/>
        </w:rPr>
        <w:tab/>
      </w:r>
      <w:r w:rsidRPr="00BE6FA1">
        <w:rPr>
          <w:rFonts w:ascii="Times New Roman" w:hAnsi="Times New Roman" w:cs="Times New Roman"/>
          <w:sz w:val="24"/>
          <w:szCs w:val="24"/>
        </w:rPr>
        <w:t xml:space="preserve">Realizacja Planu Gospodarki Niskoemisyjnej dla Miasta i Gminy Kańczuga wynika nie tylko z przeprowadzonej inwentaryzacji emisji dwutlenku węgla pochodzącego </w:t>
      </w:r>
      <w:r w:rsidR="00563D06" w:rsidRPr="00BE6FA1">
        <w:rPr>
          <w:rFonts w:ascii="Times New Roman" w:hAnsi="Times New Roman" w:cs="Times New Roman"/>
          <w:sz w:val="24"/>
          <w:szCs w:val="24"/>
        </w:rPr>
        <w:br/>
      </w:r>
      <w:r w:rsidRPr="00BE6FA1">
        <w:rPr>
          <w:rFonts w:ascii="Times New Roman" w:hAnsi="Times New Roman" w:cs="Times New Roman"/>
          <w:sz w:val="24"/>
          <w:szCs w:val="24"/>
        </w:rPr>
        <w:t xml:space="preserve">ze spalania nośników energii na terenie gminy, ale również z analizy czynników społeczno-gospodarczych charakteryzujących </w:t>
      </w:r>
      <w:r w:rsidR="00726810" w:rsidRPr="00BE6FA1">
        <w:rPr>
          <w:rFonts w:ascii="Times New Roman" w:hAnsi="Times New Roman" w:cs="Times New Roman"/>
          <w:sz w:val="24"/>
          <w:szCs w:val="24"/>
        </w:rPr>
        <w:t xml:space="preserve">Miasto i </w:t>
      </w:r>
      <w:r w:rsidRPr="00BE6FA1">
        <w:rPr>
          <w:rFonts w:ascii="Times New Roman" w:hAnsi="Times New Roman" w:cs="Times New Roman"/>
          <w:sz w:val="24"/>
          <w:szCs w:val="24"/>
        </w:rPr>
        <w:t>Gminę Kańczuga. W niniejszym rozdziale wykorzystano jedną z najpopularniejszych, a zarazem najskuteczniejszych metod analitycznych stosowanych we wszystkich obszarach planowania strategicznego – analizę SWOT. Zident</w:t>
      </w:r>
      <w:r w:rsidR="00726810" w:rsidRPr="00BE6FA1">
        <w:rPr>
          <w:rFonts w:ascii="Times New Roman" w:hAnsi="Times New Roman" w:cs="Times New Roman"/>
          <w:sz w:val="24"/>
          <w:szCs w:val="24"/>
        </w:rPr>
        <w:t>yfikowano silne i słabe strony Miasta i G</w:t>
      </w:r>
      <w:r w:rsidRPr="00BE6FA1">
        <w:rPr>
          <w:rFonts w:ascii="Times New Roman" w:hAnsi="Times New Roman" w:cs="Times New Roman"/>
          <w:sz w:val="24"/>
          <w:szCs w:val="24"/>
        </w:rPr>
        <w:t xml:space="preserve">miny Kańczuga, a także szanse </w:t>
      </w:r>
      <w:r w:rsidRPr="00BE6FA1">
        <w:rPr>
          <w:rFonts w:ascii="Times New Roman" w:hAnsi="Times New Roman" w:cs="Times New Roman"/>
          <w:sz w:val="24"/>
          <w:szCs w:val="24"/>
        </w:rPr>
        <w:br/>
        <w:t>i zagrożenia, które mogą wywierać istotny wpływ na redukcję emisji gazów cieplarnianych, osiągniętą poprzez plano</w:t>
      </w:r>
      <w:r w:rsidR="00D06187">
        <w:rPr>
          <w:rFonts w:ascii="Times New Roman" w:hAnsi="Times New Roman" w:cs="Times New Roman"/>
          <w:sz w:val="24"/>
          <w:szCs w:val="24"/>
        </w:rPr>
        <w:t>wane działania na lata 2016-2021</w:t>
      </w:r>
      <w:r w:rsidRPr="00BE6FA1">
        <w:rPr>
          <w:rFonts w:ascii="Times New Roman" w:hAnsi="Times New Roman" w:cs="Times New Roman"/>
          <w:sz w:val="24"/>
          <w:szCs w:val="24"/>
        </w:rPr>
        <w:t xml:space="preserve">, dotyczące </w:t>
      </w:r>
      <w:r w:rsidR="00726810" w:rsidRPr="00BE6FA1">
        <w:rPr>
          <w:rFonts w:ascii="Times New Roman" w:hAnsi="Times New Roman" w:cs="Times New Roman"/>
          <w:sz w:val="24"/>
          <w:szCs w:val="24"/>
        </w:rPr>
        <w:t xml:space="preserve">Miasta i </w:t>
      </w:r>
      <w:r w:rsidRPr="00BE6FA1">
        <w:rPr>
          <w:rFonts w:ascii="Times New Roman" w:hAnsi="Times New Roman" w:cs="Times New Roman"/>
          <w:sz w:val="24"/>
          <w:szCs w:val="24"/>
        </w:rPr>
        <w:t xml:space="preserve">Gminy Kańczuga objętej </w:t>
      </w:r>
      <w:r w:rsidRPr="00BE6FA1">
        <w:rPr>
          <w:rFonts w:ascii="Times New Roman" w:hAnsi="Times New Roman" w:cs="Times New Roman"/>
          <w:i/>
          <w:sz w:val="24"/>
          <w:szCs w:val="24"/>
        </w:rPr>
        <w:t>Planem</w:t>
      </w:r>
      <w:r w:rsidRPr="00BE6FA1">
        <w:rPr>
          <w:rFonts w:ascii="Times New Roman" w:hAnsi="Times New Roman" w:cs="Times New Roman"/>
          <w:sz w:val="24"/>
          <w:szCs w:val="24"/>
        </w:rPr>
        <w:t xml:space="preserve"> i na cały jej obszar geograficzny – warunkując tym samym powodzenie wdrożenia Planu Gospodarki Niskoemisyjnej Miasta i Gminy Kańczuga </w:t>
      </w:r>
    </w:p>
    <w:p w:rsidR="0071247C" w:rsidRDefault="0071247C" w:rsidP="003A27DA">
      <w:pPr>
        <w:spacing w:line="360" w:lineRule="auto"/>
        <w:jc w:val="both"/>
        <w:rPr>
          <w:rFonts w:ascii="Times New Roman" w:hAnsi="Times New Roman" w:cs="Times New Roman"/>
          <w:sz w:val="24"/>
          <w:szCs w:val="24"/>
        </w:rPr>
      </w:pPr>
    </w:p>
    <w:p w:rsidR="00E11FAE" w:rsidRDefault="00E11FAE" w:rsidP="003A27DA">
      <w:pPr>
        <w:spacing w:line="360" w:lineRule="auto"/>
        <w:jc w:val="both"/>
        <w:rPr>
          <w:rFonts w:ascii="Times New Roman" w:hAnsi="Times New Roman" w:cs="Times New Roman"/>
          <w:sz w:val="24"/>
          <w:szCs w:val="24"/>
        </w:rPr>
      </w:pPr>
    </w:p>
    <w:p w:rsidR="00E11FAE" w:rsidRDefault="00E11FAE" w:rsidP="003A27DA">
      <w:pPr>
        <w:spacing w:line="360" w:lineRule="auto"/>
        <w:jc w:val="both"/>
        <w:rPr>
          <w:rFonts w:ascii="Times New Roman" w:hAnsi="Times New Roman" w:cs="Times New Roman"/>
          <w:sz w:val="24"/>
          <w:szCs w:val="24"/>
        </w:rPr>
      </w:pPr>
    </w:p>
    <w:p w:rsidR="00E11FAE" w:rsidRDefault="00E11FAE" w:rsidP="003A27DA">
      <w:pPr>
        <w:spacing w:line="360" w:lineRule="auto"/>
        <w:jc w:val="both"/>
        <w:rPr>
          <w:rFonts w:ascii="Times New Roman" w:hAnsi="Times New Roman" w:cs="Times New Roman"/>
          <w:sz w:val="24"/>
          <w:szCs w:val="24"/>
        </w:rPr>
      </w:pPr>
    </w:p>
    <w:p w:rsidR="00095068" w:rsidRDefault="00095068" w:rsidP="003A27DA">
      <w:pPr>
        <w:spacing w:line="360" w:lineRule="auto"/>
        <w:jc w:val="both"/>
        <w:rPr>
          <w:rFonts w:ascii="Times New Roman" w:hAnsi="Times New Roman" w:cs="Times New Roman"/>
          <w:sz w:val="24"/>
          <w:szCs w:val="24"/>
        </w:rPr>
      </w:pPr>
    </w:p>
    <w:p w:rsidR="00095068" w:rsidRDefault="00095068" w:rsidP="003A27DA">
      <w:pPr>
        <w:spacing w:line="360" w:lineRule="auto"/>
        <w:jc w:val="both"/>
        <w:rPr>
          <w:rFonts w:ascii="Times New Roman" w:hAnsi="Times New Roman" w:cs="Times New Roman"/>
          <w:sz w:val="24"/>
          <w:szCs w:val="24"/>
        </w:rPr>
      </w:pPr>
    </w:p>
    <w:p w:rsidR="00E11FAE" w:rsidRPr="00BE6FA1" w:rsidRDefault="00E11FAE" w:rsidP="003A27DA">
      <w:pPr>
        <w:spacing w:line="360" w:lineRule="auto"/>
        <w:jc w:val="both"/>
        <w:rPr>
          <w:rFonts w:ascii="Times New Roman" w:hAnsi="Times New Roman" w:cs="Times New Roman"/>
          <w:sz w:val="24"/>
          <w:szCs w:val="24"/>
        </w:rPr>
      </w:pPr>
    </w:p>
    <w:tbl>
      <w:tblPr>
        <w:tblStyle w:val="Tabela-Siatka"/>
        <w:tblW w:w="5000" w:type="pct"/>
        <w:jc w:val="center"/>
        <w:tblLook w:val="04A0" w:firstRow="1" w:lastRow="0" w:firstColumn="1" w:lastColumn="0" w:noHBand="0" w:noVBand="1"/>
      </w:tblPr>
      <w:tblGrid>
        <w:gridCol w:w="4428"/>
        <w:gridCol w:w="4634"/>
      </w:tblGrid>
      <w:tr w:rsidR="00EE533D" w:rsidRPr="00BE6FA1" w:rsidTr="002F3C96">
        <w:trPr>
          <w:jc w:val="center"/>
        </w:trPr>
        <w:tc>
          <w:tcPr>
            <w:tcW w:w="5000" w:type="pct"/>
            <w:gridSpan w:val="2"/>
            <w:vAlign w:val="center"/>
          </w:tcPr>
          <w:p w:rsidR="002F3C96" w:rsidRPr="00BE6FA1" w:rsidRDefault="002F3C96" w:rsidP="003A27DA">
            <w:pPr>
              <w:spacing w:line="360" w:lineRule="auto"/>
              <w:jc w:val="center"/>
              <w:rPr>
                <w:rFonts w:ascii="Times New Roman" w:hAnsi="Times New Roman" w:cs="Times New Roman"/>
                <w:b/>
                <w:sz w:val="24"/>
                <w:szCs w:val="24"/>
              </w:rPr>
            </w:pPr>
            <w:r w:rsidRPr="00BE6FA1">
              <w:rPr>
                <w:rFonts w:ascii="Times New Roman" w:hAnsi="Times New Roman" w:cs="Times New Roman"/>
                <w:b/>
                <w:sz w:val="24"/>
                <w:szCs w:val="24"/>
              </w:rPr>
              <w:lastRenderedPageBreak/>
              <w:t>ANALIZA SWOT</w:t>
            </w:r>
          </w:p>
        </w:tc>
      </w:tr>
      <w:tr w:rsidR="00EE533D" w:rsidRPr="00BE6FA1" w:rsidTr="002F3C96">
        <w:trPr>
          <w:jc w:val="center"/>
        </w:trPr>
        <w:tc>
          <w:tcPr>
            <w:tcW w:w="2443" w:type="pct"/>
            <w:vAlign w:val="center"/>
          </w:tcPr>
          <w:p w:rsidR="002F3C96" w:rsidRPr="00BE6FA1" w:rsidRDefault="002F3C9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Silne strony</w:t>
            </w:r>
          </w:p>
        </w:tc>
        <w:tc>
          <w:tcPr>
            <w:tcW w:w="2557" w:type="pct"/>
            <w:vAlign w:val="center"/>
          </w:tcPr>
          <w:p w:rsidR="002F3C96" w:rsidRPr="00BE6FA1" w:rsidRDefault="002F3C9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Słabe strony</w:t>
            </w:r>
          </w:p>
        </w:tc>
      </w:tr>
      <w:tr w:rsidR="00EE533D" w:rsidRPr="00BE6FA1" w:rsidTr="001335EB">
        <w:trPr>
          <w:jc w:val="center"/>
        </w:trPr>
        <w:tc>
          <w:tcPr>
            <w:tcW w:w="2443" w:type="pct"/>
          </w:tcPr>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dobre położenie komunikacyjne (drogowe),</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dobrze rozwinięta sieć dróg</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liczne walory przyrodnicze Pogórza Dynowskiego,</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turystyczne walory przyrody </w:t>
            </w:r>
            <w:r w:rsidRPr="00BE6FA1">
              <w:rPr>
                <w:rFonts w:ascii="Times New Roman" w:hAnsi="Times New Roman" w:cs="Times New Roman"/>
                <w:sz w:val="24"/>
                <w:szCs w:val="24"/>
              </w:rPr>
              <w:br/>
              <w:t>i krajobrazu,</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stabilna i przychylna polityka władz gminy dotycząca rozwoju odnawialnych źródeł energii </w:t>
            </w:r>
            <w:r w:rsidRPr="00BE6FA1">
              <w:rPr>
                <w:rFonts w:ascii="Times New Roman" w:hAnsi="Times New Roman" w:cs="Times New Roman"/>
                <w:sz w:val="24"/>
                <w:szCs w:val="24"/>
              </w:rPr>
              <w:br/>
              <w:t>i efektywności energetycznej,</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dobry wizerunek miasta i gminy </w:t>
            </w:r>
            <w:r w:rsidRPr="00BE6FA1">
              <w:rPr>
                <w:rFonts w:ascii="Times New Roman" w:hAnsi="Times New Roman" w:cs="Times New Roman"/>
                <w:sz w:val="24"/>
                <w:szCs w:val="24"/>
              </w:rPr>
              <w:br/>
              <w:t>w oczach mieszkańców,</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warunki do tworzenia obszarów rozwoju produkcji ekologicznej,</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czyste środowisko przyrodnicze korzystne dla rozwoju rolnictwa ekologicznego oraz turystyki </w:t>
            </w:r>
            <w:r w:rsidRPr="00BE6FA1">
              <w:rPr>
                <w:rFonts w:ascii="Times New Roman" w:hAnsi="Times New Roman" w:cs="Times New Roman"/>
                <w:sz w:val="24"/>
                <w:szCs w:val="24"/>
              </w:rPr>
              <w:br/>
              <w:t>i rekreacji,</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rozbudowany system selektywnej zbiórki odpadów komunalnych,</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wysoki stopień gazyfikacji gminy,</w:t>
            </w:r>
          </w:p>
          <w:p w:rsidR="00EE533D" w:rsidRPr="00BE6FA1" w:rsidRDefault="00EE533D" w:rsidP="009A7AFF">
            <w:pPr>
              <w:numPr>
                <w:ilvl w:val="0"/>
                <w:numId w:val="66"/>
              </w:numPr>
              <w:tabs>
                <w:tab w:val="clear" w:pos="720"/>
                <w:tab w:val="num" w:pos="426"/>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wysoki stopień elektryfikacji gminy. </w:t>
            </w:r>
          </w:p>
          <w:p w:rsidR="00672216" w:rsidRPr="00BE6FA1" w:rsidRDefault="00672216" w:rsidP="00672216">
            <w:pPr>
              <w:spacing w:line="360" w:lineRule="auto"/>
              <w:rPr>
                <w:rFonts w:ascii="Times New Roman" w:hAnsi="Times New Roman" w:cs="Times New Roman"/>
                <w:sz w:val="24"/>
                <w:szCs w:val="24"/>
              </w:rPr>
            </w:pPr>
          </w:p>
        </w:tc>
        <w:tc>
          <w:tcPr>
            <w:tcW w:w="2557" w:type="pct"/>
          </w:tcPr>
          <w:p w:rsidR="00EE533D" w:rsidRPr="00BE6FA1" w:rsidRDefault="00EE533D" w:rsidP="009A7AFF">
            <w:pPr>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niezbyt atrakcyjne (peryferyjne) położenie,</w:t>
            </w:r>
          </w:p>
          <w:p w:rsidR="00EE533D" w:rsidRPr="00BE6FA1" w:rsidRDefault="00EE533D" w:rsidP="009A7AFF">
            <w:pPr>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słaba zdolność do samoorganizacji społeczeństwa,</w:t>
            </w:r>
          </w:p>
          <w:p w:rsidR="00EE533D" w:rsidRPr="00BE6FA1" w:rsidRDefault="00EE533D" w:rsidP="009A7AFF">
            <w:pPr>
              <w:pStyle w:val="Zawartotabeli"/>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 xml:space="preserve">niedostateczny standard części dróg </w:t>
            </w:r>
            <w:r w:rsidR="007E65AD" w:rsidRPr="00BE6FA1">
              <w:rPr>
                <w:rFonts w:ascii="Times New Roman" w:hAnsi="Times New Roman" w:cs="Times New Roman"/>
                <w:sz w:val="24"/>
                <w:szCs w:val="24"/>
              </w:rPr>
              <w:br/>
            </w:r>
            <w:r w:rsidRPr="00BE6FA1">
              <w:rPr>
                <w:rFonts w:ascii="Times New Roman" w:hAnsi="Times New Roman" w:cs="Times New Roman"/>
                <w:sz w:val="24"/>
                <w:szCs w:val="24"/>
              </w:rPr>
              <w:t>w gminie,</w:t>
            </w:r>
          </w:p>
          <w:p w:rsidR="00EE533D" w:rsidRPr="00BE6FA1" w:rsidRDefault="00EE533D" w:rsidP="009A7AFF">
            <w:pPr>
              <w:pStyle w:val="Zawartotabeli"/>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wykorzystywanie odpadów komunalnych do celów grzewczych przez osoby w trudnej sytuacji materialnej,</w:t>
            </w:r>
          </w:p>
          <w:p w:rsidR="00EE533D" w:rsidRPr="00BE6FA1" w:rsidRDefault="00EE533D" w:rsidP="009A7AFF">
            <w:pPr>
              <w:pStyle w:val="Zawartotabeli"/>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niska świadomość ekologiczna części mieszkańców,</w:t>
            </w:r>
          </w:p>
          <w:p w:rsidR="00EE533D" w:rsidRPr="00BE6FA1" w:rsidRDefault="00EE533D" w:rsidP="009A7AFF">
            <w:pPr>
              <w:pStyle w:val="Zawartotabeli"/>
              <w:numPr>
                <w:ilvl w:val="0"/>
                <w:numId w:val="66"/>
              </w:numPr>
              <w:spacing w:line="360" w:lineRule="auto"/>
              <w:rPr>
                <w:rFonts w:ascii="Times New Roman" w:hAnsi="Times New Roman" w:cs="Times New Roman"/>
                <w:sz w:val="24"/>
                <w:szCs w:val="24"/>
              </w:rPr>
            </w:pPr>
            <w:r w:rsidRPr="00BE6FA1">
              <w:rPr>
                <w:rFonts w:ascii="Times New Roman" w:hAnsi="Times New Roman" w:cs="Times New Roman"/>
                <w:sz w:val="24"/>
                <w:szCs w:val="24"/>
              </w:rPr>
              <w:t>niski stopień wykorzystania odnawialnych źródeł energii.</w:t>
            </w:r>
          </w:p>
          <w:p w:rsidR="00EE533D" w:rsidRPr="00BE6FA1" w:rsidRDefault="00EE533D" w:rsidP="00EE533D">
            <w:pPr>
              <w:pStyle w:val="Zawartotabeli"/>
              <w:spacing w:line="360" w:lineRule="auto"/>
              <w:ind w:left="360"/>
              <w:rPr>
                <w:rFonts w:ascii="Times New Roman" w:hAnsi="Times New Roman" w:cs="Times New Roman"/>
                <w:sz w:val="24"/>
                <w:szCs w:val="24"/>
              </w:rPr>
            </w:pPr>
          </w:p>
        </w:tc>
      </w:tr>
      <w:tr w:rsidR="00EE533D" w:rsidRPr="00BE6FA1" w:rsidTr="002F3C96">
        <w:trPr>
          <w:jc w:val="center"/>
        </w:trPr>
        <w:tc>
          <w:tcPr>
            <w:tcW w:w="2443" w:type="pct"/>
            <w:vAlign w:val="center"/>
          </w:tcPr>
          <w:p w:rsidR="002F3C96" w:rsidRPr="00BE6FA1" w:rsidRDefault="002F3C9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Szanse</w:t>
            </w:r>
          </w:p>
        </w:tc>
        <w:tc>
          <w:tcPr>
            <w:tcW w:w="2557" w:type="pct"/>
            <w:vAlign w:val="center"/>
          </w:tcPr>
          <w:p w:rsidR="002F3C96" w:rsidRPr="00BE6FA1" w:rsidRDefault="002F3C96" w:rsidP="003A27DA">
            <w:pPr>
              <w:spacing w:line="360" w:lineRule="auto"/>
              <w:jc w:val="center"/>
              <w:rPr>
                <w:rFonts w:ascii="Times New Roman" w:hAnsi="Times New Roman" w:cs="Times New Roman"/>
                <w:sz w:val="24"/>
                <w:szCs w:val="24"/>
              </w:rPr>
            </w:pPr>
            <w:r w:rsidRPr="00BE6FA1">
              <w:rPr>
                <w:rFonts w:ascii="Times New Roman" w:hAnsi="Times New Roman" w:cs="Times New Roman"/>
                <w:sz w:val="24"/>
                <w:szCs w:val="24"/>
              </w:rPr>
              <w:t>Zagrożenia</w:t>
            </w:r>
          </w:p>
        </w:tc>
      </w:tr>
      <w:tr w:rsidR="00EE533D" w:rsidRPr="00BE6FA1" w:rsidTr="001335EB">
        <w:trPr>
          <w:jc w:val="center"/>
        </w:trPr>
        <w:tc>
          <w:tcPr>
            <w:tcW w:w="2443" w:type="pct"/>
          </w:tcPr>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wzrost zainteresowania turystyką ekologiczną, rowerową,</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możliwość promowania terenów gminy jako miejsc czystych ekologicznie,</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budząca się aktywność społeczna,</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lastRenderedPageBreak/>
              <w:t xml:space="preserve">wspieranie finansowe (środki pomocowe) dla danych projektów </w:t>
            </w:r>
            <w:r w:rsidRPr="00BE6FA1">
              <w:rPr>
                <w:rFonts w:ascii="Times New Roman" w:hAnsi="Times New Roman" w:cs="Times New Roman"/>
                <w:sz w:val="24"/>
                <w:szCs w:val="24"/>
              </w:rPr>
              <w:br/>
              <w:t>w ramach funkcjonujących programów,</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wzrost świadomości ekologicznej społeczeństwa,</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możliwość pozyskiwania energii ze źródeł alternatywnych (solarnej, wymagającej lokalizacji baterii słonecznych na otwartych przestrzeniach o południowej ekspozycji; energii wiatru, wymagającej założenia farm wiatrowych),</w:t>
            </w:r>
          </w:p>
          <w:p w:rsidR="00EE533D" w:rsidRPr="00BE6FA1" w:rsidRDefault="00EE533D" w:rsidP="009A7AFF">
            <w:pPr>
              <w:numPr>
                <w:ilvl w:val="0"/>
                <w:numId w:val="68"/>
              </w:numPr>
              <w:tabs>
                <w:tab w:val="clear" w:pos="720"/>
                <w:tab w:val="num" w:pos="567"/>
              </w:tabs>
              <w:spacing w:line="360" w:lineRule="auto"/>
              <w:ind w:left="426"/>
              <w:rPr>
                <w:rFonts w:ascii="Times New Roman" w:hAnsi="Times New Roman" w:cs="Times New Roman"/>
                <w:sz w:val="24"/>
                <w:szCs w:val="24"/>
              </w:rPr>
            </w:pPr>
            <w:r w:rsidRPr="00BE6FA1">
              <w:rPr>
                <w:rFonts w:ascii="Times New Roman" w:hAnsi="Times New Roman" w:cs="Times New Roman"/>
                <w:sz w:val="24"/>
                <w:szCs w:val="24"/>
              </w:rPr>
              <w:t xml:space="preserve">budowa ścieżek rowerowych </w:t>
            </w:r>
            <w:r w:rsidRPr="00BE6FA1">
              <w:rPr>
                <w:rFonts w:ascii="Times New Roman" w:hAnsi="Times New Roman" w:cs="Times New Roman"/>
                <w:sz w:val="24"/>
                <w:szCs w:val="24"/>
              </w:rPr>
              <w:br/>
              <w:t>z wykorzystaniem istniejących dróg gminnych.</w:t>
            </w:r>
          </w:p>
        </w:tc>
        <w:tc>
          <w:tcPr>
            <w:tcW w:w="2557" w:type="pct"/>
          </w:tcPr>
          <w:p w:rsidR="00EE533D" w:rsidRPr="00BE6FA1" w:rsidRDefault="00EE533D" w:rsidP="009A7AFF">
            <w:pPr>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lastRenderedPageBreak/>
              <w:t>degradacja środowiska naturalnego,</w:t>
            </w:r>
          </w:p>
          <w:p w:rsidR="00EE533D" w:rsidRPr="00BE6FA1" w:rsidRDefault="00EE533D" w:rsidP="009A7AFF">
            <w:pPr>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konkurencja gmin sąsiednich,</w:t>
            </w:r>
          </w:p>
          <w:p w:rsidR="00EE533D" w:rsidRPr="00BE6FA1" w:rsidRDefault="00EE533D" w:rsidP="009A7AFF">
            <w:pPr>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wzrastające zapotrzebowanie na energię elektryczną,</w:t>
            </w:r>
          </w:p>
          <w:p w:rsidR="00EE533D" w:rsidRPr="00BE6FA1" w:rsidRDefault="00EE533D" w:rsidP="009A7AFF">
            <w:pPr>
              <w:pStyle w:val="Zawartotabeli"/>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 xml:space="preserve">skomplikowane procedury uzyskania dotacji zewnętrznych na poprawę </w:t>
            </w:r>
            <w:r w:rsidRPr="00BE6FA1">
              <w:rPr>
                <w:rFonts w:ascii="Times New Roman" w:hAnsi="Times New Roman" w:cs="Times New Roman"/>
                <w:sz w:val="24"/>
                <w:szCs w:val="24"/>
              </w:rPr>
              <w:lastRenderedPageBreak/>
              <w:t>stanu technicznego zasobów komunalnych,</w:t>
            </w:r>
          </w:p>
          <w:p w:rsidR="00EE533D" w:rsidRPr="00BE6FA1" w:rsidRDefault="00EE533D" w:rsidP="009A7AFF">
            <w:pPr>
              <w:pStyle w:val="Zawartotabeli"/>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wysokie koszty budowy instalacji do wykorzystania odnawialnych źródeł energii,</w:t>
            </w:r>
          </w:p>
          <w:p w:rsidR="00EE533D" w:rsidRPr="00BE6FA1" w:rsidRDefault="00EE533D" w:rsidP="009A7AFF">
            <w:pPr>
              <w:pStyle w:val="Zawartotabeli"/>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 xml:space="preserve">rygorystyczne przepisy związane </w:t>
            </w:r>
            <w:r w:rsidR="007E65AD" w:rsidRPr="00BE6FA1">
              <w:rPr>
                <w:rFonts w:ascii="Times New Roman" w:hAnsi="Times New Roman" w:cs="Times New Roman"/>
                <w:sz w:val="24"/>
                <w:szCs w:val="24"/>
              </w:rPr>
              <w:br/>
            </w:r>
            <w:r w:rsidRPr="00BE6FA1">
              <w:rPr>
                <w:rFonts w:ascii="Times New Roman" w:hAnsi="Times New Roman" w:cs="Times New Roman"/>
                <w:sz w:val="24"/>
                <w:szCs w:val="24"/>
              </w:rPr>
              <w:t>z ochroną środowiska,</w:t>
            </w:r>
          </w:p>
          <w:p w:rsidR="00EE533D" w:rsidRPr="00BE6FA1" w:rsidRDefault="00EE533D" w:rsidP="009A7AFF">
            <w:pPr>
              <w:pStyle w:val="Zawartotabeli"/>
              <w:numPr>
                <w:ilvl w:val="0"/>
                <w:numId w:val="67"/>
              </w:numPr>
              <w:spacing w:line="360" w:lineRule="auto"/>
              <w:rPr>
                <w:rFonts w:ascii="Times New Roman" w:hAnsi="Times New Roman" w:cs="Times New Roman"/>
                <w:sz w:val="24"/>
                <w:szCs w:val="24"/>
              </w:rPr>
            </w:pPr>
            <w:r w:rsidRPr="00BE6FA1">
              <w:rPr>
                <w:rFonts w:ascii="Times New Roman" w:hAnsi="Times New Roman" w:cs="Times New Roman"/>
                <w:sz w:val="24"/>
                <w:szCs w:val="24"/>
              </w:rPr>
              <w:t>wysokie koszty energii.</w:t>
            </w:r>
          </w:p>
          <w:p w:rsidR="00EE533D" w:rsidRPr="00BE6FA1" w:rsidRDefault="00EE533D" w:rsidP="0075111A">
            <w:pPr>
              <w:pStyle w:val="Zawartotabeli"/>
              <w:keepNext/>
              <w:spacing w:line="360" w:lineRule="auto"/>
              <w:ind w:left="720"/>
              <w:rPr>
                <w:rFonts w:ascii="Times New Roman" w:hAnsi="Times New Roman" w:cs="Times New Roman"/>
                <w:sz w:val="24"/>
                <w:szCs w:val="24"/>
              </w:rPr>
            </w:pPr>
          </w:p>
        </w:tc>
      </w:tr>
    </w:tbl>
    <w:p w:rsidR="0075111A" w:rsidRPr="00BE6FA1" w:rsidRDefault="0075111A" w:rsidP="0075111A">
      <w:pPr>
        <w:pStyle w:val="Legenda"/>
        <w:rPr>
          <w:rFonts w:ascii="Times New Roman" w:hAnsi="Times New Roman" w:cs="Times New Roman"/>
          <w:color w:val="auto"/>
        </w:rPr>
      </w:pPr>
      <w:bookmarkStart w:id="191" w:name="_Toc445289867"/>
      <w:r w:rsidRPr="00BE6FA1">
        <w:rPr>
          <w:rFonts w:ascii="Times New Roman" w:hAnsi="Times New Roman" w:cs="Times New Roman"/>
          <w:color w:val="auto"/>
        </w:rPr>
        <w:lastRenderedPageBreak/>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21</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Analiza SWOT</w:t>
      </w:r>
      <w:bookmarkEnd w:id="191"/>
    </w:p>
    <w:p w:rsidR="00EE6562" w:rsidRPr="00BE6FA1" w:rsidRDefault="00EE6562" w:rsidP="003A27DA">
      <w:pPr>
        <w:spacing w:line="360" w:lineRule="auto"/>
        <w:rPr>
          <w:rFonts w:ascii="Times New Roman" w:hAnsi="Times New Roman" w:cs="Times New Roman"/>
        </w:rPr>
        <w:sectPr w:rsidR="00EE6562" w:rsidRPr="00BE6FA1" w:rsidSect="00295BED">
          <w:pgSz w:w="11906" w:h="16838"/>
          <w:pgMar w:top="1417" w:right="1417" w:bottom="1417" w:left="1417" w:header="708" w:footer="708" w:gutter="0"/>
          <w:cols w:space="708"/>
          <w:docGrid w:linePitch="360"/>
        </w:sectPr>
      </w:pPr>
    </w:p>
    <w:p w:rsidR="00EE6562" w:rsidRPr="00BE6FA1" w:rsidRDefault="00EE6562" w:rsidP="003A27DA">
      <w:pPr>
        <w:spacing w:line="360" w:lineRule="auto"/>
        <w:jc w:val="both"/>
        <w:rPr>
          <w:rStyle w:val="Nagwek3Znak"/>
          <w:rFonts w:ascii="Times New Roman" w:hAnsi="Times New Roman" w:cs="Times New Roman"/>
          <w:color w:val="auto"/>
          <w:sz w:val="24"/>
        </w:rPr>
      </w:pPr>
      <w:bookmarkStart w:id="192" w:name="_Toc449097757"/>
      <w:r w:rsidRPr="00BE6FA1">
        <w:rPr>
          <w:rStyle w:val="Nagwek3Znak"/>
          <w:rFonts w:ascii="Times New Roman" w:hAnsi="Times New Roman" w:cs="Times New Roman"/>
          <w:color w:val="auto"/>
          <w:sz w:val="24"/>
        </w:rPr>
        <w:lastRenderedPageBreak/>
        <w:t>Krótko/średnioterminowe dział</w:t>
      </w:r>
      <w:r w:rsidR="00D06187">
        <w:rPr>
          <w:rStyle w:val="Nagwek3Znak"/>
          <w:rFonts w:ascii="Times New Roman" w:hAnsi="Times New Roman" w:cs="Times New Roman"/>
          <w:color w:val="auto"/>
          <w:sz w:val="24"/>
        </w:rPr>
        <w:t>ania/zadania na lata 2016 – 2021</w:t>
      </w:r>
      <w:r w:rsidRPr="00BE6FA1">
        <w:rPr>
          <w:rStyle w:val="Nagwek3Znak"/>
          <w:rFonts w:ascii="Times New Roman" w:hAnsi="Times New Roman" w:cs="Times New Roman"/>
          <w:color w:val="auto"/>
          <w:sz w:val="24"/>
        </w:rPr>
        <w:t xml:space="preserve"> w </w:t>
      </w:r>
      <w:r w:rsidR="00726810" w:rsidRPr="00BE6FA1">
        <w:rPr>
          <w:rStyle w:val="Nagwek3Znak"/>
          <w:rFonts w:ascii="Times New Roman" w:hAnsi="Times New Roman" w:cs="Times New Roman"/>
          <w:color w:val="auto"/>
          <w:sz w:val="24"/>
        </w:rPr>
        <w:t>M</w:t>
      </w:r>
      <w:r w:rsidRPr="00BE6FA1">
        <w:rPr>
          <w:rStyle w:val="Nagwek3Znak"/>
          <w:rFonts w:ascii="Times New Roman" w:hAnsi="Times New Roman" w:cs="Times New Roman"/>
          <w:color w:val="auto"/>
          <w:sz w:val="24"/>
        </w:rPr>
        <w:t xml:space="preserve">ieście </w:t>
      </w:r>
      <w:r w:rsidR="00726810" w:rsidRPr="00BE6FA1">
        <w:rPr>
          <w:rStyle w:val="Nagwek3Znak"/>
          <w:rFonts w:ascii="Times New Roman" w:hAnsi="Times New Roman" w:cs="Times New Roman"/>
          <w:color w:val="auto"/>
          <w:sz w:val="24"/>
        </w:rPr>
        <w:t>i G</w:t>
      </w:r>
      <w:r w:rsidRPr="00BE6FA1">
        <w:rPr>
          <w:rStyle w:val="Nagwek3Znak"/>
          <w:rFonts w:ascii="Times New Roman" w:hAnsi="Times New Roman" w:cs="Times New Roman"/>
          <w:color w:val="auto"/>
          <w:sz w:val="24"/>
        </w:rPr>
        <w:t>minie Kańczuga</w:t>
      </w:r>
      <w:bookmarkEnd w:id="192"/>
    </w:p>
    <w:tbl>
      <w:tblPr>
        <w:tblStyle w:val="Tabela-Siatka"/>
        <w:tblW w:w="5000" w:type="pct"/>
        <w:jc w:val="center"/>
        <w:shd w:val="clear" w:color="auto" w:fill="FFFF00"/>
        <w:tblLook w:val="04A0" w:firstRow="1" w:lastRow="0" w:firstColumn="1" w:lastColumn="0" w:noHBand="0" w:noVBand="1"/>
      </w:tblPr>
      <w:tblGrid>
        <w:gridCol w:w="1854"/>
        <w:gridCol w:w="1932"/>
        <w:gridCol w:w="1622"/>
        <w:gridCol w:w="1194"/>
        <w:gridCol w:w="1481"/>
        <w:gridCol w:w="1389"/>
        <w:gridCol w:w="1597"/>
        <w:gridCol w:w="1597"/>
        <w:gridCol w:w="1328"/>
      </w:tblGrid>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Nazwa projektu</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Opis </w:t>
            </w:r>
            <w:r w:rsidRPr="00BE6FA1">
              <w:rPr>
                <w:rFonts w:ascii="Times New Roman" w:hAnsi="Times New Roman" w:cs="Times New Roman"/>
                <w:sz w:val="22"/>
              </w:rPr>
              <w:br/>
              <w:t>(zakres inwestycji, opis podstawowych działań)</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Podmiot odpowiedzialny za realizację działania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Planowany termin realizacji</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Szacunkowy koszt [zł]</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Źródło finansowania</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sz w:val="22"/>
              </w:rPr>
            </w:pPr>
            <w:r w:rsidRPr="00BE6FA1">
              <w:rPr>
                <w:rFonts w:ascii="Times New Roman" w:hAnsi="Times New Roman" w:cs="Times New Roman"/>
                <w:bCs/>
                <w:sz w:val="22"/>
              </w:rPr>
              <w:t>Szacowany efekt redukcji zużycia energii</w:t>
            </w:r>
          </w:p>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bCs/>
                <w:sz w:val="22"/>
              </w:rPr>
              <w:t>[MWh/rok]</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sz w:val="22"/>
              </w:rPr>
            </w:pPr>
            <w:r w:rsidRPr="00BE6FA1">
              <w:rPr>
                <w:rFonts w:ascii="Times New Roman" w:hAnsi="Times New Roman" w:cs="Times New Roman"/>
                <w:bCs/>
                <w:sz w:val="22"/>
              </w:rPr>
              <w:t>Szacowny efekt redukcji emisji CO</w:t>
            </w:r>
            <w:r w:rsidRPr="00BE6FA1">
              <w:rPr>
                <w:rFonts w:ascii="Times New Roman" w:hAnsi="Times New Roman" w:cs="Times New Roman"/>
                <w:bCs/>
                <w:sz w:val="22"/>
                <w:vertAlign w:val="subscript"/>
              </w:rPr>
              <w:t>2</w:t>
            </w:r>
          </w:p>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bCs/>
                <w:sz w:val="22"/>
              </w:rPr>
              <w:t>[Mg/rok]</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eastAsia="Gulim" w:hAnsi="Times New Roman" w:cs="Times New Roman"/>
                <w:bCs/>
                <w:sz w:val="22"/>
              </w:rPr>
              <w:t>Szacunkowa ilość energii uzyskiwanej z OZE [MWh/rok]</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Głęboka modernizacja energetyczna budynków użyteczności publicznej na terenie Miasta i Gminy Kańczuga</w:t>
            </w:r>
          </w:p>
        </w:tc>
        <w:tc>
          <w:tcPr>
            <w:tcW w:w="864"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rsidR="007E65AD" w:rsidRPr="00BE6FA1" w:rsidRDefault="0075111A"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Zakres prac obejmuje m.in.:</w:t>
            </w:r>
            <w:r w:rsidRPr="00BE6FA1">
              <w:rPr>
                <w:rFonts w:ascii="Times New Roman" w:hAnsi="Times New Roman" w:cs="Times New Roman"/>
                <w:sz w:val="22"/>
              </w:rPr>
              <w:br/>
              <w:t>- dokończenie docieplenia ścian zewnętrznych,</w:t>
            </w:r>
            <w:r w:rsidRPr="00BE6FA1">
              <w:rPr>
                <w:rFonts w:ascii="Times New Roman" w:hAnsi="Times New Roman" w:cs="Times New Roman"/>
                <w:sz w:val="22"/>
              </w:rPr>
              <w:br/>
              <w:t>- docieplenie fundamentów,</w:t>
            </w:r>
            <w:r w:rsidRPr="00BE6FA1">
              <w:rPr>
                <w:rFonts w:ascii="Times New Roman" w:hAnsi="Times New Roman" w:cs="Times New Roman"/>
                <w:sz w:val="22"/>
              </w:rPr>
              <w:br/>
              <w:t>- wymiana stolarki okiennej i drzwiowej,</w:t>
            </w:r>
            <w:r w:rsidRPr="00BE6FA1">
              <w:rPr>
                <w:rFonts w:ascii="Times New Roman" w:hAnsi="Times New Roman" w:cs="Times New Roman"/>
                <w:sz w:val="22"/>
              </w:rPr>
              <w:br/>
              <w:t xml:space="preserve">- docieplenie stropów </w:t>
            </w:r>
            <w:r w:rsidRPr="00BE6FA1">
              <w:rPr>
                <w:rFonts w:ascii="Times New Roman" w:hAnsi="Times New Roman" w:cs="Times New Roman"/>
                <w:sz w:val="22"/>
              </w:rPr>
              <w:br/>
              <w:t>i dachów,</w:t>
            </w:r>
            <w:r w:rsidRPr="00BE6FA1">
              <w:rPr>
                <w:rFonts w:ascii="Times New Roman" w:hAnsi="Times New Roman" w:cs="Times New Roman"/>
                <w:sz w:val="22"/>
              </w:rPr>
              <w:br/>
              <w:t>-wymiana oświetlenia na energooszczędne</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2017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650 000,00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1335EB"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37,7</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1335EB"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2,42</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1335EB"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C71109"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Modernizacja  (instalacji grzewczej) w szkole w Sieteszy – II etap, w szkole </w:t>
            </w:r>
            <w:r w:rsidR="001335EB" w:rsidRPr="00BE6FA1">
              <w:rPr>
                <w:rFonts w:ascii="Times New Roman" w:hAnsi="Times New Roman" w:cs="Times New Roman"/>
                <w:sz w:val="22"/>
              </w:rPr>
              <w:br/>
            </w:r>
            <w:r w:rsidRPr="00BE6FA1">
              <w:rPr>
                <w:rFonts w:ascii="Times New Roman" w:hAnsi="Times New Roman" w:cs="Times New Roman"/>
                <w:sz w:val="22"/>
              </w:rPr>
              <w:t xml:space="preserve">w Rączynie oraz </w:t>
            </w:r>
            <w:r w:rsidR="001335EB" w:rsidRPr="00BE6FA1">
              <w:rPr>
                <w:rFonts w:ascii="Times New Roman" w:hAnsi="Times New Roman" w:cs="Times New Roman"/>
                <w:sz w:val="22"/>
              </w:rPr>
              <w:br/>
            </w:r>
            <w:r w:rsidRPr="00BE6FA1">
              <w:rPr>
                <w:rFonts w:ascii="Times New Roman" w:hAnsi="Times New Roman" w:cs="Times New Roman"/>
                <w:sz w:val="22"/>
              </w:rPr>
              <w:lastRenderedPageBreak/>
              <w:t xml:space="preserve">w szkole </w:t>
            </w:r>
            <w:r w:rsidR="001335EB" w:rsidRPr="00BE6FA1">
              <w:rPr>
                <w:rFonts w:ascii="Times New Roman" w:hAnsi="Times New Roman" w:cs="Times New Roman"/>
                <w:sz w:val="22"/>
              </w:rPr>
              <w:br/>
            </w:r>
            <w:r w:rsidRPr="00BE6FA1">
              <w:rPr>
                <w:rFonts w:ascii="Times New Roman" w:hAnsi="Times New Roman" w:cs="Times New Roman"/>
                <w:sz w:val="22"/>
              </w:rPr>
              <w:t>w Pantalowicach</w:t>
            </w:r>
          </w:p>
        </w:tc>
        <w:tc>
          <w:tcPr>
            <w:tcW w:w="864" w:type="pct"/>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lastRenderedPageBreak/>
              <w:t>Modernizacja instalacji grzewczej</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D06187" w:rsidP="009F0CAD">
            <w:pPr>
              <w:spacing w:line="276" w:lineRule="auto"/>
              <w:jc w:val="center"/>
              <w:rPr>
                <w:rFonts w:ascii="Times New Roman" w:hAnsi="Times New Roman" w:cs="Times New Roman"/>
                <w:sz w:val="22"/>
              </w:rPr>
            </w:pPr>
            <w:r>
              <w:rPr>
                <w:rFonts w:ascii="Times New Roman" w:hAnsi="Times New Roman" w:cs="Times New Roman"/>
                <w:sz w:val="22"/>
              </w:rPr>
              <w:t>2017 – 2021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150 000,00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35,98</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7,23</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 xml:space="preserve">Zastosowanie OZE -  szkoła Podstawowa </w:t>
            </w:r>
            <w:r w:rsidR="001335EB" w:rsidRPr="00BE6FA1">
              <w:rPr>
                <w:rFonts w:ascii="Times New Roman" w:hAnsi="Times New Roman" w:cs="Times New Roman"/>
                <w:sz w:val="22"/>
              </w:rPr>
              <w:br/>
            </w:r>
            <w:r w:rsidRPr="00BE6FA1">
              <w:rPr>
                <w:rFonts w:ascii="Times New Roman" w:hAnsi="Times New Roman" w:cs="Times New Roman"/>
                <w:sz w:val="22"/>
              </w:rPr>
              <w:t xml:space="preserve">i Gimnazjum w Kańczudze oraz Miejsko-Gminne Przedszkole </w:t>
            </w:r>
            <w:r w:rsidR="001335EB" w:rsidRPr="00BE6FA1">
              <w:rPr>
                <w:rFonts w:ascii="Times New Roman" w:hAnsi="Times New Roman" w:cs="Times New Roman"/>
                <w:sz w:val="22"/>
              </w:rPr>
              <w:br/>
            </w:r>
            <w:r w:rsidRPr="00BE6FA1">
              <w:rPr>
                <w:rFonts w:ascii="Times New Roman" w:hAnsi="Times New Roman" w:cs="Times New Roman"/>
                <w:sz w:val="22"/>
              </w:rPr>
              <w:t>w Kańczudze.</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Montaż OZE (kolektory słoneczne)</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D06187" w:rsidP="009F0CAD">
            <w:pPr>
              <w:spacing w:line="276" w:lineRule="auto"/>
              <w:jc w:val="center"/>
              <w:rPr>
                <w:rFonts w:ascii="Times New Roman" w:hAnsi="Times New Roman" w:cs="Times New Roman"/>
                <w:sz w:val="22"/>
              </w:rPr>
            </w:pPr>
            <w:r>
              <w:rPr>
                <w:rFonts w:ascii="Times New Roman" w:hAnsi="Times New Roman" w:cs="Times New Roman"/>
                <w:sz w:val="22"/>
              </w:rPr>
              <w:t>2017 – 2021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200 000,00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19,0</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16,9</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1C61A8"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0,95</w:t>
            </w:r>
          </w:p>
        </w:tc>
      </w:tr>
      <w:tr w:rsidR="008A241B" w:rsidRPr="00BE6FA1" w:rsidTr="008A241B">
        <w:trPr>
          <w:trHeight w:val="1627"/>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8A241B"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Budowa kotłowni w Szkole Podstawowej w Kańczudze</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8A241B"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Budowa kotłowni gazowej</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8A241B"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D06187" w:rsidP="009F0CAD">
            <w:pPr>
              <w:spacing w:line="276" w:lineRule="auto"/>
              <w:jc w:val="center"/>
              <w:rPr>
                <w:rFonts w:ascii="Times New Roman" w:hAnsi="Times New Roman" w:cs="Times New Roman"/>
                <w:sz w:val="22"/>
              </w:rPr>
            </w:pPr>
            <w:r>
              <w:rPr>
                <w:rFonts w:ascii="Times New Roman" w:hAnsi="Times New Roman" w:cs="Times New Roman"/>
                <w:sz w:val="22"/>
              </w:rPr>
              <w:t>2016-2021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7D126E"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b.d.</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E939FC"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2D67F2"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49,2</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67F2" w:rsidRPr="00BE6FA1" w:rsidRDefault="002D67F2"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3,8</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A241B" w:rsidRPr="00BE6FA1" w:rsidRDefault="00E939FC"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Budowa kotłowni osiedlowej w Kańczudze</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Budowa kotłowni gazowej wraz </w:t>
            </w:r>
            <w:r w:rsidR="001335EB" w:rsidRPr="00BE6FA1">
              <w:rPr>
                <w:rFonts w:ascii="Times New Roman" w:hAnsi="Times New Roman" w:cs="Times New Roman"/>
                <w:sz w:val="22"/>
              </w:rPr>
              <w:br/>
            </w:r>
            <w:r w:rsidRPr="00BE6FA1">
              <w:rPr>
                <w:rFonts w:ascii="Times New Roman" w:hAnsi="Times New Roman" w:cs="Times New Roman"/>
                <w:sz w:val="22"/>
              </w:rPr>
              <w:t xml:space="preserve">z instalacją solarną kolektorów słonecznych na dachu budynku wielorodzinnego przy ulicy Witosa 2 </w:t>
            </w:r>
            <w:r w:rsidR="001335EB" w:rsidRPr="00BE6FA1">
              <w:rPr>
                <w:rFonts w:ascii="Times New Roman" w:hAnsi="Times New Roman" w:cs="Times New Roman"/>
                <w:sz w:val="22"/>
              </w:rPr>
              <w:br/>
            </w:r>
            <w:r w:rsidRPr="00BE6FA1">
              <w:rPr>
                <w:rFonts w:ascii="Times New Roman" w:hAnsi="Times New Roman" w:cs="Times New Roman"/>
                <w:sz w:val="22"/>
              </w:rPr>
              <w:t>w Kańczudze</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Spółdzielnia Mieszkaniowa w Przeworsku</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2017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2 216 219,00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797,56</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422,5</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3147D" w:rsidRPr="00BE6FA1" w:rsidRDefault="00B309BD" w:rsidP="009F0CAD">
            <w:pPr>
              <w:autoSpaceDE w:val="0"/>
              <w:autoSpaceDN w:val="0"/>
              <w:adjustRightInd w:val="0"/>
              <w:spacing w:line="276" w:lineRule="auto"/>
              <w:jc w:val="center"/>
              <w:rPr>
                <w:rFonts w:ascii="Times New Roman" w:eastAsia="Gulim" w:hAnsi="Times New Roman" w:cs="Times New Roman"/>
                <w:bCs/>
                <w:sz w:val="22"/>
              </w:rPr>
            </w:pPr>
            <w:r>
              <w:rPr>
                <w:rFonts w:ascii="Times New Roman" w:eastAsia="Gulim" w:hAnsi="Times New Roman" w:cs="Times New Roman"/>
                <w:bCs/>
                <w:sz w:val="22"/>
              </w:rPr>
              <w:t>9,5</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Zastosowanie OZE – Parafia Pantalowice</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Budowa farm fotowoltaicznych</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Parafia pw. Niepokalanego Poczęcia Najświętszej </w:t>
            </w:r>
            <w:r w:rsidRPr="00BE6FA1">
              <w:rPr>
                <w:rFonts w:ascii="Times New Roman" w:hAnsi="Times New Roman" w:cs="Times New Roman"/>
                <w:sz w:val="22"/>
              </w:rPr>
              <w:lastRenderedPageBreak/>
              <w:t>Marii Panny w Pantalowicach</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lastRenderedPageBreak/>
              <w:t>2017 – 2019</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1 000 000,00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9,5</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8,45</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DB5CB5"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0,95</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Zastosowanie OZE – Parafia Sietesz</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Budowa farm fotowoltaicznych</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Parafia pw. Św. Antoniego Padewskiego w Sieteszy</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2016 - 202</w:t>
            </w:r>
            <w:r w:rsidR="00563D06" w:rsidRPr="00BE6FA1">
              <w:rPr>
                <w:rFonts w:ascii="Times New Roman" w:hAnsi="Times New Roman" w:cs="Times New Roman"/>
                <w:sz w:val="22"/>
              </w:rPr>
              <w:t>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b.d.</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9,5</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8,45</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DB5CB5"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0,95</w:t>
            </w:r>
          </w:p>
        </w:tc>
      </w:tr>
      <w:tr w:rsidR="007E65AD"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C71109" w:rsidRPr="00BE6FA1" w:rsidRDefault="007E65AD" w:rsidP="009F0CAD">
            <w:pPr>
              <w:spacing w:after="160" w:line="276" w:lineRule="auto"/>
              <w:jc w:val="center"/>
              <w:rPr>
                <w:rFonts w:ascii="Times New Roman" w:hAnsi="Times New Roman" w:cs="Times New Roman"/>
                <w:sz w:val="22"/>
              </w:rPr>
            </w:pPr>
            <w:r w:rsidRPr="00BE6FA1">
              <w:rPr>
                <w:rFonts w:ascii="Times New Roman" w:hAnsi="Times New Roman" w:cs="Times New Roman"/>
                <w:sz w:val="22"/>
              </w:rPr>
              <w:t>Zastosowanie OZE – Parafia Siedleczka</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Budowa farm fotowoltaicznych</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Parafia pw. Św. Apostołów Piotra i Pawła w Siedleczce</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2017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b.d.</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9,5</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7E65AD" w:rsidP="009F0CAD">
            <w:pPr>
              <w:autoSpaceDE w:val="0"/>
              <w:autoSpaceDN w:val="0"/>
              <w:adjustRightInd w:val="0"/>
              <w:spacing w:line="276" w:lineRule="auto"/>
              <w:jc w:val="center"/>
              <w:rPr>
                <w:rFonts w:ascii="Times New Roman" w:hAnsi="Times New Roman" w:cs="Times New Roman"/>
                <w:bCs/>
                <w:sz w:val="22"/>
              </w:rPr>
            </w:pPr>
            <w:r w:rsidRPr="00BE6FA1">
              <w:rPr>
                <w:rFonts w:ascii="Times New Roman" w:hAnsi="Times New Roman" w:cs="Times New Roman"/>
                <w:bCs/>
                <w:sz w:val="22"/>
              </w:rPr>
              <w:t>8,45</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7E65AD" w:rsidRPr="00BE6FA1" w:rsidRDefault="00DB5CB5" w:rsidP="009F0CAD">
            <w:pPr>
              <w:autoSpaceDE w:val="0"/>
              <w:autoSpaceDN w:val="0"/>
              <w:adjustRightInd w:val="0"/>
              <w:spacing w:line="276" w:lineRule="auto"/>
              <w:jc w:val="center"/>
              <w:rPr>
                <w:rFonts w:ascii="Times New Roman" w:eastAsia="Gulim" w:hAnsi="Times New Roman" w:cs="Times New Roman"/>
                <w:bCs/>
                <w:sz w:val="22"/>
              </w:rPr>
            </w:pPr>
            <w:r w:rsidRPr="00BE6FA1">
              <w:rPr>
                <w:rFonts w:ascii="Times New Roman" w:eastAsia="Gulim" w:hAnsi="Times New Roman" w:cs="Times New Roman"/>
                <w:bCs/>
                <w:sz w:val="22"/>
              </w:rPr>
              <w:t>0,95</w:t>
            </w:r>
          </w:p>
        </w:tc>
      </w:tr>
      <w:tr w:rsidR="00563D06" w:rsidRPr="00862824" w:rsidTr="00563D06">
        <w:trPr>
          <w:trHeight w:val="1270"/>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after="160" w:line="276" w:lineRule="auto"/>
              <w:jc w:val="center"/>
              <w:rPr>
                <w:rFonts w:ascii="Times New Roman" w:hAnsi="Times New Roman" w:cs="Times New Roman"/>
                <w:sz w:val="22"/>
              </w:rPr>
            </w:pPr>
            <w:r w:rsidRPr="00862824">
              <w:rPr>
                <w:rFonts w:ascii="Times New Roman" w:hAnsi="Times New Roman" w:cs="Times New Roman"/>
                <w:sz w:val="22"/>
              </w:rPr>
              <w:t>Zastosowanie OZE</w:t>
            </w:r>
          </w:p>
          <w:p w:rsidR="00563D06" w:rsidRPr="00862824" w:rsidRDefault="00563D06" w:rsidP="009F0CAD">
            <w:pPr>
              <w:spacing w:after="160" w:line="276" w:lineRule="auto"/>
              <w:jc w:val="center"/>
              <w:rPr>
                <w:rFonts w:ascii="Times New Roman" w:hAnsi="Times New Roman" w:cs="Times New Roman"/>
                <w:sz w:val="22"/>
              </w:rPr>
            </w:pPr>
            <w:r w:rsidRPr="00862824">
              <w:rPr>
                <w:rFonts w:ascii="Times New Roman" w:hAnsi="Times New Roman" w:cs="Times New Roman"/>
                <w:sz w:val="22"/>
              </w:rPr>
              <w:t>- Parafia Łopuszka Wielka</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line="276" w:lineRule="auto"/>
              <w:jc w:val="center"/>
              <w:rPr>
                <w:rFonts w:ascii="Times New Roman" w:hAnsi="Times New Roman" w:cs="Times New Roman"/>
                <w:sz w:val="22"/>
              </w:rPr>
            </w:pPr>
            <w:r w:rsidRPr="00862824">
              <w:rPr>
                <w:rFonts w:ascii="Times New Roman" w:hAnsi="Times New Roman" w:cs="Times New Roman"/>
                <w:sz w:val="22"/>
              </w:rPr>
              <w:t>Budowa farm fotowoltaicznych</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line="276" w:lineRule="auto"/>
              <w:jc w:val="center"/>
              <w:rPr>
                <w:rFonts w:ascii="Times New Roman" w:hAnsi="Times New Roman" w:cs="Times New Roman"/>
                <w:sz w:val="22"/>
              </w:rPr>
            </w:pPr>
            <w:r w:rsidRPr="00862824">
              <w:rPr>
                <w:rFonts w:ascii="Times New Roman" w:hAnsi="Times New Roman" w:cs="Times New Roman"/>
                <w:bCs/>
                <w:sz w:val="22"/>
                <w:shd w:val="clear" w:color="auto" w:fill="FFFFFF"/>
              </w:rPr>
              <w:t>Parafia Najświętszej Maryi Panny Królowej Polski w</w:t>
            </w:r>
            <w:r w:rsidRPr="00862824">
              <w:rPr>
                <w:rStyle w:val="apple-converted-space"/>
                <w:rFonts w:ascii="Times New Roman" w:hAnsi="Times New Roman" w:cs="Times New Roman"/>
                <w:bCs/>
                <w:sz w:val="22"/>
                <w:shd w:val="clear" w:color="auto" w:fill="FFFFFF"/>
              </w:rPr>
              <w:t> </w:t>
            </w:r>
            <w:r w:rsidRPr="00862824">
              <w:rPr>
                <w:rFonts w:ascii="Times New Roman" w:hAnsi="Times New Roman" w:cs="Times New Roman"/>
                <w:bCs/>
                <w:sz w:val="22"/>
                <w:shd w:val="clear" w:color="auto" w:fill="FFFFFF"/>
              </w:rPr>
              <w:t>Łopuszce Wielkiej</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line="276" w:lineRule="auto"/>
              <w:jc w:val="center"/>
              <w:rPr>
                <w:rFonts w:ascii="Times New Roman" w:hAnsi="Times New Roman" w:cs="Times New Roman"/>
                <w:sz w:val="22"/>
              </w:rPr>
            </w:pPr>
            <w:r w:rsidRPr="00862824">
              <w:rPr>
                <w:rFonts w:ascii="Times New Roman" w:hAnsi="Times New Roman" w:cs="Times New Roman"/>
                <w:sz w:val="22"/>
              </w:rPr>
              <w:t>2016-2021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line="276" w:lineRule="auto"/>
              <w:jc w:val="center"/>
              <w:rPr>
                <w:rFonts w:ascii="Times New Roman" w:hAnsi="Times New Roman" w:cs="Times New Roman"/>
                <w:sz w:val="22"/>
              </w:rPr>
            </w:pPr>
            <w:r w:rsidRPr="00862824">
              <w:rPr>
                <w:rFonts w:ascii="Times New Roman" w:hAnsi="Times New Roman" w:cs="Times New Roman"/>
                <w:sz w:val="22"/>
              </w:rPr>
              <w:t>b.d.</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spacing w:line="276" w:lineRule="auto"/>
              <w:jc w:val="center"/>
              <w:rPr>
                <w:rFonts w:ascii="Times New Roman" w:hAnsi="Times New Roman" w:cs="Times New Roman"/>
                <w:sz w:val="22"/>
              </w:rPr>
            </w:pPr>
            <w:r w:rsidRPr="00862824">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autoSpaceDE w:val="0"/>
              <w:autoSpaceDN w:val="0"/>
              <w:adjustRightInd w:val="0"/>
              <w:spacing w:line="276" w:lineRule="auto"/>
              <w:jc w:val="center"/>
              <w:rPr>
                <w:rFonts w:ascii="Times New Roman" w:hAnsi="Times New Roman" w:cs="Times New Roman"/>
                <w:bCs/>
                <w:sz w:val="22"/>
              </w:rPr>
            </w:pPr>
            <w:r w:rsidRPr="00862824">
              <w:rPr>
                <w:rFonts w:ascii="Times New Roman" w:hAnsi="Times New Roman" w:cs="Times New Roman"/>
                <w:bCs/>
                <w:sz w:val="22"/>
              </w:rPr>
              <w:t>9,5</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563D06" w:rsidP="009F0CAD">
            <w:pPr>
              <w:autoSpaceDE w:val="0"/>
              <w:autoSpaceDN w:val="0"/>
              <w:adjustRightInd w:val="0"/>
              <w:spacing w:line="276" w:lineRule="auto"/>
              <w:jc w:val="center"/>
              <w:rPr>
                <w:rFonts w:ascii="Times New Roman" w:hAnsi="Times New Roman" w:cs="Times New Roman"/>
                <w:bCs/>
                <w:sz w:val="22"/>
              </w:rPr>
            </w:pPr>
            <w:r w:rsidRPr="00862824">
              <w:rPr>
                <w:rFonts w:ascii="Times New Roman" w:hAnsi="Times New Roman" w:cs="Times New Roman"/>
                <w:bCs/>
                <w:sz w:val="22"/>
              </w:rPr>
              <w:t>8,45</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862824" w:rsidRDefault="00DB5CB5" w:rsidP="009F0CAD">
            <w:pPr>
              <w:autoSpaceDE w:val="0"/>
              <w:autoSpaceDN w:val="0"/>
              <w:adjustRightInd w:val="0"/>
              <w:spacing w:line="276" w:lineRule="auto"/>
              <w:jc w:val="center"/>
              <w:rPr>
                <w:rFonts w:ascii="Times New Roman" w:eastAsia="Gulim" w:hAnsi="Times New Roman" w:cs="Times New Roman"/>
                <w:bCs/>
                <w:sz w:val="22"/>
              </w:rPr>
            </w:pPr>
            <w:r w:rsidRPr="00862824">
              <w:rPr>
                <w:rFonts w:ascii="Times New Roman" w:eastAsia="Gulim" w:hAnsi="Times New Roman" w:cs="Times New Roman"/>
                <w:bCs/>
                <w:sz w:val="22"/>
              </w:rPr>
              <w:t>0,95</w:t>
            </w:r>
          </w:p>
        </w:tc>
      </w:tr>
      <w:tr w:rsidR="00073D3F" w:rsidRPr="00862824" w:rsidTr="00563D06">
        <w:trPr>
          <w:trHeight w:val="1270"/>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203EE5" w:rsidP="009F0CAD">
            <w:pPr>
              <w:spacing w:after="160" w:line="276" w:lineRule="auto"/>
              <w:jc w:val="center"/>
              <w:rPr>
                <w:rFonts w:ascii="Times New Roman" w:hAnsi="Times New Roman" w:cs="Times New Roman"/>
                <w:sz w:val="22"/>
              </w:rPr>
            </w:pPr>
            <w:r w:rsidRPr="00862824">
              <w:rPr>
                <w:rFonts w:ascii="Times New Roman" w:hAnsi="Times New Roman" w:cs="Times New Roman"/>
                <w:sz w:val="22"/>
              </w:rPr>
              <w:t xml:space="preserve">Poprawa standardu jakości części dróg na terenie </w:t>
            </w:r>
            <w:r w:rsidR="00804DB1">
              <w:rPr>
                <w:rFonts w:ascii="Times New Roman" w:hAnsi="Times New Roman" w:cs="Times New Roman"/>
                <w:sz w:val="22"/>
              </w:rPr>
              <w:t xml:space="preserve">Miasta </w:t>
            </w:r>
            <w:r w:rsidR="00804DB1">
              <w:rPr>
                <w:rFonts w:ascii="Times New Roman" w:hAnsi="Times New Roman" w:cs="Times New Roman"/>
                <w:sz w:val="22"/>
              </w:rPr>
              <w:br/>
              <w:t xml:space="preserve">i </w:t>
            </w:r>
            <w:r w:rsidRPr="00862824">
              <w:rPr>
                <w:rFonts w:ascii="Times New Roman" w:hAnsi="Times New Roman" w:cs="Times New Roman"/>
                <w:sz w:val="22"/>
              </w:rPr>
              <w:t>Gminy Kańczuga</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073D3F" w:rsidP="009F0CAD">
            <w:pPr>
              <w:pStyle w:val="Default0"/>
              <w:spacing w:line="276" w:lineRule="auto"/>
              <w:jc w:val="center"/>
              <w:rPr>
                <w:sz w:val="22"/>
                <w:szCs w:val="22"/>
              </w:rPr>
            </w:pPr>
            <w:r w:rsidRPr="00862824">
              <w:rPr>
                <w:sz w:val="22"/>
                <w:szCs w:val="22"/>
              </w:rPr>
              <w:t xml:space="preserve">Budowa, przebudowa, rozbudowa, modernizacja i remont dróg gminnych i wewnętrznych na terenie miejscowości: Kańczuga, Krzeczowice, Siedleczka, Sietesz, Rączyna, </w:t>
            </w:r>
            <w:r w:rsidRPr="00862824">
              <w:rPr>
                <w:sz w:val="22"/>
                <w:szCs w:val="22"/>
              </w:rPr>
              <w:lastRenderedPageBreak/>
              <w:t>Medynia Kańczucka, Łopuszka Wielka, Łopuszka Mała, Lipnik, Żuklin, Bóbrka Kańczucka, Chodakówka, Niżatyce, Pantalowice i Wola Rzeplińska</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203EE5" w:rsidP="009F0CAD">
            <w:pPr>
              <w:spacing w:line="276" w:lineRule="auto"/>
              <w:jc w:val="center"/>
              <w:rPr>
                <w:rFonts w:ascii="Times New Roman" w:hAnsi="Times New Roman" w:cs="Times New Roman"/>
                <w:bCs/>
                <w:sz w:val="22"/>
                <w:shd w:val="clear" w:color="auto" w:fill="FFFFFF"/>
              </w:rPr>
            </w:pPr>
            <w:r w:rsidRPr="00862824">
              <w:rPr>
                <w:rFonts w:ascii="Times New Roman" w:hAnsi="Times New Roman" w:cs="Times New Roman"/>
                <w:bCs/>
                <w:sz w:val="22"/>
                <w:shd w:val="clear" w:color="auto" w:fill="FFFFFF"/>
              </w:rPr>
              <w:lastRenderedPageBreak/>
              <w:t>Gmina Kańczuga, zarządcy dróg</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073D3F" w:rsidP="009F0CAD">
            <w:pPr>
              <w:spacing w:line="276" w:lineRule="auto"/>
              <w:jc w:val="center"/>
              <w:rPr>
                <w:rFonts w:ascii="Times New Roman" w:hAnsi="Times New Roman" w:cs="Times New Roman"/>
                <w:sz w:val="22"/>
              </w:rPr>
            </w:pPr>
            <w:r w:rsidRPr="00862824">
              <w:rPr>
                <w:rFonts w:ascii="Times New Roman" w:hAnsi="Times New Roman" w:cs="Times New Roman"/>
                <w:sz w:val="22"/>
              </w:rPr>
              <w:t>2016-2021</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04DB1" w:rsidRDefault="00804DB1" w:rsidP="009F0CAD">
            <w:pPr>
              <w:spacing w:line="276" w:lineRule="auto"/>
              <w:jc w:val="center"/>
              <w:rPr>
                <w:rFonts w:ascii="Times New Roman" w:hAnsi="Times New Roman" w:cs="Times New Roman"/>
                <w:sz w:val="22"/>
              </w:rPr>
            </w:pPr>
            <w:r w:rsidRPr="00804DB1">
              <w:rPr>
                <w:rFonts w:ascii="Times New Roman" w:hAnsi="Times New Roman" w:cs="Times New Roman"/>
                <w:sz w:val="22"/>
              </w:rPr>
              <w:t>22 380 000,00</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04DB1" w:rsidRDefault="00073D3F" w:rsidP="009F0CAD">
            <w:pPr>
              <w:spacing w:line="276" w:lineRule="auto"/>
              <w:jc w:val="center"/>
              <w:rPr>
                <w:rFonts w:ascii="Times New Roman" w:hAnsi="Times New Roman" w:cs="Times New Roman"/>
                <w:sz w:val="22"/>
              </w:rPr>
            </w:pPr>
            <w:r w:rsidRPr="00804DB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203EE5" w:rsidP="009F0CAD">
            <w:pPr>
              <w:autoSpaceDE w:val="0"/>
              <w:autoSpaceDN w:val="0"/>
              <w:adjustRightInd w:val="0"/>
              <w:spacing w:line="276" w:lineRule="auto"/>
              <w:jc w:val="center"/>
              <w:rPr>
                <w:rFonts w:ascii="Times New Roman" w:hAnsi="Times New Roman" w:cs="Times New Roman"/>
                <w:bCs/>
                <w:sz w:val="22"/>
              </w:rPr>
            </w:pPr>
            <w:r w:rsidRPr="00862824">
              <w:rPr>
                <w:rFonts w:ascii="Times New Roman" w:hAnsi="Times New Roman" w:cs="Times New Roman"/>
                <w:bCs/>
                <w:sz w:val="22"/>
              </w:rPr>
              <w:t>wg planów inwestycyjnych</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203EE5" w:rsidP="009F0CAD">
            <w:pPr>
              <w:autoSpaceDE w:val="0"/>
              <w:autoSpaceDN w:val="0"/>
              <w:adjustRightInd w:val="0"/>
              <w:spacing w:line="276" w:lineRule="auto"/>
              <w:jc w:val="center"/>
              <w:rPr>
                <w:rFonts w:ascii="Times New Roman" w:hAnsi="Times New Roman" w:cs="Times New Roman"/>
                <w:bCs/>
                <w:sz w:val="22"/>
              </w:rPr>
            </w:pPr>
            <w:r w:rsidRPr="00862824">
              <w:rPr>
                <w:rFonts w:ascii="Times New Roman" w:hAnsi="Times New Roman" w:cs="Times New Roman"/>
                <w:bCs/>
                <w:sz w:val="22"/>
              </w:rPr>
              <w:t>wg planów inwestycyjnych</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73D3F" w:rsidRPr="00862824" w:rsidRDefault="00073D3F" w:rsidP="009F0CAD">
            <w:pPr>
              <w:autoSpaceDE w:val="0"/>
              <w:autoSpaceDN w:val="0"/>
              <w:adjustRightInd w:val="0"/>
              <w:spacing w:line="276" w:lineRule="auto"/>
              <w:jc w:val="center"/>
              <w:rPr>
                <w:rFonts w:ascii="Times New Roman" w:eastAsia="Gulim" w:hAnsi="Times New Roman" w:cs="Times New Roman"/>
                <w:bCs/>
                <w:sz w:val="22"/>
              </w:rPr>
            </w:pPr>
            <w:r w:rsidRPr="00862824">
              <w:rPr>
                <w:rFonts w:ascii="Times New Roman" w:eastAsia="Gulim" w:hAnsi="Times New Roman" w:cs="Times New Roman"/>
                <w:bCs/>
                <w:sz w:val="22"/>
              </w:rPr>
              <w:t>-</w:t>
            </w:r>
          </w:p>
        </w:tc>
      </w:tr>
      <w:tr w:rsidR="00563D06"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Zwiększenie świadomości ekologicznej mieszkańców Gminy Kańczuga, promocja odnawialnych źródeł energii</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kampanie edukacyjno–informacyjne z zakresu zrównoważonego zużycia energii i ekologii i odnawialnych źródeł energii</w:t>
            </w:r>
          </w:p>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 działania edukacyjne skierowane do dzieci </w:t>
            </w:r>
            <w:r w:rsidRPr="00BE6FA1">
              <w:rPr>
                <w:rFonts w:ascii="Times New Roman" w:hAnsi="Times New Roman" w:cs="Times New Roman"/>
                <w:sz w:val="22"/>
              </w:rPr>
              <w:br/>
              <w:t>i młodzieży</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zadanie ciągłe</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b.d.</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r>
      <w:tr w:rsidR="00563D06"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xml:space="preserve">Stworzenie, koordynacja </w:t>
            </w:r>
            <w:r w:rsidRPr="00BE6FA1">
              <w:rPr>
                <w:rFonts w:ascii="Times New Roman" w:hAnsi="Times New Roman" w:cs="Times New Roman"/>
                <w:sz w:val="22"/>
              </w:rPr>
              <w:br/>
              <w:t xml:space="preserve">i utrzymanie systemu organizacyjnego dla realizacji </w:t>
            </w:r>
            <w:r w:rsidRPr="00BE6FA1">
              <w:rPr>
                <w:rFonts w:ascii="Times New Roman" w:hAnsi="Times New Roman" w:cs="Times New Roman"/>
                <w:sz w:val="22"/>
              </w:rPr>
              <w:lastRenderedPageBreak/>
              <w:t xml:space="preserve">działań naprawczych zapisanych w PGN </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lastRenderedPageBreak/>
              <w:t>- inwentaryzacja zużycia energii i emisji CO</w:t>
            </w:r>
            <w:r w:rsidRPr="00BE6FA1">
              <w:rPr>
                <w:rFonts w:ascii="Times New Roman" w:hAnsi="Times New Roman" w:cs="Times New Roman"/>
                <w:sz w:val="22"/>
                <w:vertAlign w:val="subscript"/>
              </w:rPr>
              <w:t>2</w:t>
            </w:r>
          </w:p>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 monitoring zużycia energii</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zadanie ciągłe</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r>
      <w:tr w:rsidR="00563D06"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autoSpaceDE w:val="0"/>
              <w:autoSpaceDN w:val="0"/>
              <w:adjustRightInd w:val="0"/>
              <w:spacing w:line="276" w:lineRule="auto"/>
              <w:rPr>
                <w:rFonts w:ascii="Times New Roman" w:hAnsi="Times New Roman" w:cs="Times New Roman"/>
                <w:sz w:val="22"/>
              </w:rPr>
            </w:pPr>
          </w:p>
          <w:p w:rsidR="00563D06" w:rsidRPr="00BE6FA1" w:rsidRDefault="00563D06" w:rsidP="009F0CAD">
            <w:pPr>
              <w:autoSpaceDE w:val="0"/>
              <w:autoSpaceDN w:val="0"/>
              <w:adjustRightInd w:val="0"/>
              <w:spacing w:line="276" w:lineRule="auto"/>
              <w:jc w:val="center"/>
              <w:rPr>
                <w:rFonts w:ascii="Times New Roman" w:hAnsi="Times New Roman" w:cs="Times New Roman"/>
                <w:sz w:val="22"/>
              </w:rPr>
            </w:pPr>
            <w:r w:rsidRPr="00BE6FA1">
              <w:rPr>
                <w:rFonts w:ascii="Times New Roman" w:hAnsi="Times New Roman" w:cs="Times New Roman"/>
                <w:sz w:val="22"/>
              </w:rPr>
              <w:t>Wspieranie produktów i usług efektywnych energetycznie – tzw. zielonych zamówień publicznych</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autoSpaceDE w:val="0"/>
              <w:autoSpaceDN w:val="0"/>
              <w:adjustRightInd w:val="0"/>
              <w:spacing w:line="276" w:lineRule="auto"/>
              <w:jc w:val="center"/>
              <w:rPr>
                <w:rFonts w:ascii="Times New Roman" w:hAnsi="Times New Roman" w:cs="Times New Roman"/>
                <w:sz w:val="22"/>
              </w:rPr>
            </w:pPr>
            <w:r w:rsidRPr="00BE6FA1">
              <w:rPr>
                <w:rFonts w:ascii="Times New Roman" w:hAnsi="Times New Roman" w:cs="Times New Roman"/>
                <w:sz w:val="22"/>
              </w:rPr>
              <w:t xml:space="preserve">Uwzględnienie </w:t>
            </w:r>
            <w:r w:rsidRPr="00BE6FA1">
              <w:rPr>
                <w:rFonts w:ascii="Times New Roman" w:hAnsi="Times New Roman" w:cs="Times New Roman"/>
                <w:sz w:val="22"/>
              </w:rPr>
              <w:br/>
              <w:t>w zamówieniach publicznych problemów ochrony powietrza, poprzez odpowiednie przygotowanie specyfikacji zamówień publicznych</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zadanie ciągłe</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r>
      <w:tr w:rsidR="00563D06" w:rsidRPr="00BE6FA1" w:rsidTr="00563D06">
        <w:trPr>
          <w:trHeight w:val="552"/>
          <w:jc w:val="center"/>
        </w:trPr>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pStyle w:val="Default0"/>
              <w:spacing w:line="276" w:lineRule="auto"/>
              <w:jc w:val="center"/>
              <w:rPr>
                <w:color w:val="auto"/>
                <w:sz w:val="22"/>
                <w:szCs w:val="22"/>
              </w:rPr>
            </w:pPr>
            <w:r w:rsidRPr="00BE6FA1">
              <w:rPr>
                <w:color w:val="auto"/>
                <w:sz w:val="22"/>
                <w:szCs w:val="22"/>
              </w:rPr>
              <w:t xml:space="preserve">Uwzględnianie </w:t>
            </w:r>
            <w:r w:rsidRPr="00BE6FA1">
              <w:rPr>
                <w:color w:val="auto"/>
                <w:sz w:val="22"/>
                <w:szCs w:val="22"/>
              </w:rPr>
              <w:br/>
              <w:t>w planach zagospodarowania przestrzennego inwestycji efektywnych energetycznie</w:t>
            </w:r>
          </w:p>
        </w:tc>
        <w:tc>
          <w:tcPr>
            <w:tcW w:w="8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autoSpaceDE w:val="0"/>
              <w:autoSpaceDN w:val="0"/>
              <w:adjustRightInd w:val="0"/>
              <w:spacing w:line="276" w:lineRule="auto"/>
              <w:jc w:val="center"/>
              <w:rPr>
                <w:rFonts w:ascii="Times New Roman" w:hAnsi="Times New Roman" w:cs="Times New Roman"/>
                <w:sz w:val="22"/>
              </w:rPr>
            </w:pPr>
            <w:r w:rsidRPr="00BE6FA1">
              <w:rPr>
                <w:rFonts w:ascii="Times New Roman" w:hAnsi="Times New Roman" w:cs="Times New Roman"/>
                <w:sz w:val="22"/>
              </w:rPr>
              <w:t xml:space="preserve">Uwzględnianie </w:t>
            </w:r>
            <w:r w:rsidRPr="00BE6FA1">
              <w:rPr>
                <w:rFonts w:ascii="Times New Roman" w:hAnsi="Times New Roman" w:cs="Times New Roman"/>
                <w:sz w:val="22"/>
              </w:rPr>
              <w:br/>
              <w:t xml:space="preserve">w planach zagospodarowania przestrzennego wymogów dotyczących zaopatrywania mieszkań w ciepło </w:t>
            </w:r>
            <w:r w:rsidRPr="00BE6FA1">
              <w:rPr>
                <w:rFonts w:ascii="Times New Roman" w:hAnsi="Times New Roman" w:cs="Times New Roman"/>
                <w:sz w:val="22"/>
              </w:rPr>
              <w:br/>
              <w:t xml:space="preserve">z niskoemisyjnych nośników poprzez m.in. ograniczenie używania źródeł ciepła na paliwa stałe, podłączenie do centralnej sieci ciepłowniczej, </w:t>
            </w:r>
            <w:r w:rsidRPr="00BE6FA1">
              <w:rPr>
                <w:rFonts w:ascii="Times New Roman" w:hAnsi="Times New Roman" w:cs="Times New Roman"/>
                <w:sz w:val="22"/>
              </w:rPr>
              <w:lastRenderedPageBreak/>
              <w:t>stosowanie na budynkach instalacji OZE.</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lastRenderedPageBreak/>
              <w:t>Gmina Kańczuga</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zadanie ciągłe</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Środki unijne, środki własne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w:t>
            </w:r>
          </w:p>
        </w:tc>
      </w:tr>
      <w:tr w:rsidR="00563D06" w:rsidRPr="00BE6FA1" w:rsidTr="00563D06">
        <w:trPr>
          <w:trHeight w:val="552"/>
          <w:jc w:val="center"/>
        </w:trPr>
        <w:tc>
          <w:tcPr>
            <w:tcW w:w="363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PODSUMOWANIE</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918,74</w:t>
            </w:r>
          </w:p>
        </w:tc>
        <w:tc>
          <w:tcPr>
            <w:tcW w:w="4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563D06" w:rsidP="009F0CAD">
            <w:pPr>
              <w:spacing w:line="276" w:lineRule="auto"/>
              <w:jc w:val="center"/>
              <w:rPr>
                <w:rFonts w:ascii="Times New Roman" w:hAnsi="Times New Roman" w:cs="Times New Roman"/>
                <w:sz w:val="22"/>
              </w:rPr>
            </w:pPr>
            <w:r w:rsidRPr="00BE6FA1">
              <w:rPr>
                <w:rFonts w:ascii="Times New Roman" w:hAnsi="Times New Roman" w:cs="Times New Roman"/>
                <w:sz w:val="22"/>
              </w:rPr>
              <w:t>474,4</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63D06" w:rsidRPr="00BE6FA1" w:rsidRDefault="00B309BD" w:rsidP="009F0CAD">
            <w:pPr>
              <w:keepNext/>
              <w:spacing w:line="276" w:lineRule="auto"/>
              <w:jc w:val="center"/>
              <w:rPr>
                <w:rFonts w:ascii="Times New Roman" w:hAnsi="Times New Roman" w:cs="Times New Roman"/>
                <w:sz w:val="22"/>
              </w:rPr>
            </w:pPr>
            <w:r>
              <w:rPr>
                <w:rFonts w:ascii="Times New Roman" w:hAnsi="Times New Roman" w:cs="Times New Roman"/>
                <w:sz w:val="22"/>
              </w:rPr>
              <w:t>14,25</w:t>
            </w:r>
          </w:p>
        </w:tc>
      </w:tr>
    </w:tbl>
    <w:p w:rsidR="009D09A0" w:rsidRPr="00BE6FA1" w:rsidRDefault="009D09A0" w:rsidP="009D09A0">
      <w:pPr>
        <w:spacing w:line="360" w:lineRule="auto"/>
        <w:jc w:val="both"/>
        <w:rPr>
          <w:rStyle w:val="Nagwek3Znak"/>
          <w:rFonts w:ascii="Times New Roman" w:hAnsi="Times New Roman" w:cs="Times New Roman"/>
          <w:color w:val="auto"/>
          <w:sz w:val="18"/>
          <w:szCs w:val="18"/>
        </w:rPr>
      </w:pPr>
      <w:bookmarkStart w:id="193" w:name="_Toc445289868"/>
      <w:r w:rsidRPr="00BE6FA1">
        <w:rPr>
          <w:rFonts w:ascii="Times New Roman" w:hAnsi="Times New Roman" w:cs="Times New Roman"/>
          <w:b/>
          <w:sz w:val="18"/>
          <w:szCs w:val="18"/>
        </w:rPr>
        <w:t xml:space="preserve">Tabela </w:t>
      </w:r>
      <w:r w:rsidR="00BB43A3" w:rsidRPr="00BE6FA1">
        <w:rPr>
          <w:rFonts w:ascii="Times New Roman" w:hAnsi="Times New Roman" w:cs="Times New Roman"/>
          <w:b/>
          <w:sz w:val="18"/>
          <w:szCs w:val="18"/>
        </w:rPr>
        <w:fldChar w:fldCharType="begin"/>
      </w:r>
      <w:r w:rsidRPr="00BE6FA1">
        <w:rPr>
          <w:rFonts w:ascii="Times New Roman" w:hAnsi="Times New Roman" w:cs="Times New Roman"/>
          <w:b/>
          <w:sz w:val="18"/>
          <w:szCs w:val="18"/>
        </w:rPr>
        <w:instrText xml:space="preserve"> SEQ Tabela \* ARABIC </w:instrText>
      </w:r>
      <w:r w:rsidR="00BB43A3" w:rsidRPr="00BE6FA1">
        <w:rPr>
          <w:rFonts w:ascii="Times New Roman" w:hAnsi="Times New Roman" w:cs="Times New Roman"/>
          <w:b/>
          <w:sz w:val="18"/>
          <w:szCs w:val="18"/>
        </w:rPr>
        <w:fldChar w:fldCharType="separate"/>
      </w:r>
      <w:r w:rsidR="003D63ED">
        <w:rPr>
          <w:rFonts w:ascii="Times New Roman" w:hAnsi="Times New Roman" w:cs="Times New Roman"/>
          <w:b/>
          <w:noProof/>
          <w:sz w:val="18"/>
          <w:szCs w:val="18"/>
        </w:rPr>
        <w:t>22</w:t>
      </w:r>
      <w:r w:rsidR="00BB43A3" w:rsidRPr="00BE6FA1">
        <w:rPr>
          <w:rFonts w:ascii="Times New Roman" w:hAnsi="Times New Roman" w:cs="Times New Roman"/>
          <w:b/>
          <w:sz w:val="18"/>
          <w:szCs w:val="18"/>
        </w:rPr>
        <w:fldChar w:fldCharType="end"/>
      </w:r>
      <w:r w:rsidRPr="00BE6FA1">
        <w:rPr>
          <w:rFonts w:ascii="Times New Roman" w:hAnsi="Times New Roman" w:cs="Times New Roman"/>
          <w:b/>
          <w:sz w:val="18"/>
          <w:szCs w:val="18"/>
        </w:rPr>
        <w:t xml:space="preserve">. </w:t>
      </w:r>
      <w:r w:rsidRPr="00BE6FA1">
        <w:rPr>
          <w:rStyle w:val="Nagwek3Znak"/>
          <w:rFonts w:ascii="Times New Roman" w:hAnsi="Times New Roman" w:cs="Times New Roman"/>
          <w:color w:val="auto"/>
          <w:sz w:val="18"/>
          <w:szCs w:val="18"/>
        </w:rPr>
        <w:t>Krótko/średnioterminowe działania/zadania na lata 2016 – 202</w:t>
      </w:r>
      <w:r w:rsidR="00D06187">
        <w:rPr>
          <w:rStyle w:val="Nagwek3Znak"/>
          <w:rFonts w:ascii="Times New Roman" w:hAnsi="Times New Roman" w:cs="Times New Roman"/>
          <w:color w:val="auto"/>
          <w:sz w:val="18"/>
          <w:szCs w:val="18"/>
        </w:rPr>
        <w:t>1</w:t>
      </w:r>
      <w:r w:rsidRPr="00BE6FA1">
        <w:rPr>
          <w:rStyle w:val="Nagwek3Znak"/>
          <w:rFonts w:ascii="Times New Roman" w:hAnsi="Times New Roman" w:cs="Times New Roman"/>
          <w:color w:val="auto"/>
          <w:sz w:val="18"/>
          <w:szCs w:val="18"/>
        </w:rPr>
        <w:t xml:space="preserve"> w mieście i gminie Kańczuga</w:t>
      </w:r>
      <w:bookmarkEnd w:id="193"/>
    </w:p>
    <w:p w:rsidR="00EE6562" w:rsidRPr="00BE6FA1" w:rsidRDefault="00EE6562" w:rsidP="009D09A0">
      <w:pPr>
        <w:pStyle w:val="Legenda"/>
        <w:rPr>
          <w:rFonts w:ascii="Times New Roman" w:hAnsi="Times New Roman" w:cs="Times New Roman"/>
          <w:color w:val="auto"/>
        </w:rPr>
        <w:sectPr w:rsidR="00EE6562" w:rsidRPr="00BE6FA1" w:rsidSect="00EE6562">
          <w:pgSz w:w="16838" w:h="11906" w:orient="landscape"/>
          <w:pgMar w:top="1417" w:right="1417" w:bottom="1417" w:left="1417" w:header="708" w:footer="708" w:gutter="0"/>
          <w:cols w:space="708"/>
          <w:docGrid w:linePitch="360"/>
        </w:sectPr>
      </w:pPr>
    </w:p>
    <w:p w:rsidR="00CE0A91" w:rsidRPr="00BE6FA1" w:rsidRDefault="00CE0A91" w:rsidP="003A27DA">
      <w:pPr>
        <w:pStyle w:val="Nagwek2"/>
        <w:spacing w:line="360" w:lineRule="auto"/>
        <w:rPr>
          <w:rStyle w:val="Nagwek2Znak"/>
          <w:rFonts w:ascii="Times New Roman" w:hAnsi="Times New Roman" w:cs="Times New Roman"/>
          <w:b/>
          <w:bCs/>
          <w:color w:val="auto"/>
        </w:rPr>
      </w:pPr>
      <w:bookmarkStart w:id="194" w:name="_Toc442426540"/>
      <w:bookmarkStart w:id="195" w:name="_Toc449097758"/>
      <w:r w:rsidRPr="00BE6FA1">
        <w:rPr>
          <w:rStyle w:val="Nagwek2Znak"/>
          <w:rFonts w:ascii="Times New Roman" w:hAnsi="Times New Roman" w:cs="Times New Roman"/>
          <w:b/>
          <w:bCs/>
          <w:color w:val="auto"/>
        </w:rPr>
        <w:lastRenderedPageBreak/>
        <w:t>Efekt realizacji działań objętych Planem Gospodarki Niskoemisyjnej</w:t>
      </w:r>
      <w:bookmarkEnd w:id="194"/>
      <w:bookmarkEnd w:id="1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141"/>
        <w:gridCol w:w="2230"/>
      </w:tblGrid>
      <w:tr w:rsidR="00CE0A91" w:rsidRPr="00BE6FA1" w:rsidTr="00642D73">
        <w:trPr>
          <w:cantSplit/>
        </w:trPr>
        <w:tc>
          <w:tcPr>
            <w:tcW w:w="8863" w:type="dxa"/>
            <w:gridSpan w:val="3"/>
            <w:tcBorders>
              <w:top w:val="nil"/>
              <w:left w:val="nil"/>
              <w:bottom w:val="single" w:sz="4" w:space="0" w:color="auto"/>
              <w:right w:val="nil"/>
            </w:tcBorders>
            <w:vAlign w:val="center"/>
          </w:tcPr>
          <w:p w:rsidR="00CE0A91" w:rsidRPr="00BE6FA1" w:rsidRDefault="00CE0A91" w:rsidP="003A27DA">
            <w:pPr>
              <w:pStyle w:val="Tabela"/>
              <w:spacing w:line="360" w:lineRule="auto"/>
              <w:rPr>
                <w:rFonts w:ascii="Times New Roman" w:hAnsi="Times New Roman" w:cs="Times New Roman"/>
                <w:i w:val="0"/>
              </w:rPr>
            </w:pPr>
            <w:bookmarkStart w:id="196" w:name="_Toc418529183"/>
          </w:p>
          <w:p w:rsidR="00CE0A91" w:rsidRPr="00BE6FA1" w:rsidRDefault="00CE0A91" w:rsidP="003A27DA">
            <w:pPr>
              <w:pStyle w:val="Tabela"/>
              <w:spacing w:line="360" w:lineRule="auto"/>
              <w:rPr>
                <w:rFonts w:ascii="Times New Roman" w:hAnsi="Times New Roman" w:cs="Times New Roman"/>
                <w:bCs/>
                <w:i w:val="0"/>
              </w:rPr>
            </w:pPr>
            <w:r w:rsidRPr="00BE6FA1">
              <w:rPr>
                <w:rFonts w:ascii="Times New Roman" w:hAnsi="Times New Roman" w:cs="Times New Roman"/>
                <w:i w:val="0"/>
              </w:rPr>
              <w:t>Efekty wybranych usprawnień termomodernizacyjnych.</w:t>
            </w:r>
            <w:bookmarkEnd w:id="196"/>
          </w:p>
        </w:tc>
      </w:tr>
      <w:tr w:rsidR="00CE0A91" w:rsidRPr="00BE6FA1" w:rsidTr="00642D73">
        <w:tc>
          <w:tcPr>
            <w:tcW w:w="492" w:type="dxa"/>
            <w:tcBorders>
              <w:top w:val="single" w:sz="4" w:space="0" w:color="auto"/>
              <w:left w:val="single" w:sz="4" w:space="0" w:color="auto"/>
              <w:bottom w:val="single" w:sz="4" w:space="0" w:color="auto"/>
            </w:tcBorders>
            <w:vAlign w:val="center"/>
          </w:tcPr>
          <w:p w:rsidR="00CE0A91" w:rsidRPr="00BE6FA1" w:rsidRDefault="00CE0A91" w:rsidP="003A27DA">
            <w:pPr>
              <w:spacing w:line="360" w:lineRule="auto"/>
              <w:jc w:val="center"/>
              <w:rPr>
                <w:rFonts w:ascii="Times New Roman" w:hAnsi="Times New Roman" w:cs="Times New Roman"/>
                <w:b/>
                <w:sz w:val="20"/>
              </w:rPr>
            </w:pPr>
            <w:r w:rsidRPr="00BE6FA1">
              <w:rPr>
                <w:rFonts w:ascii="Times New Roman" w:hAnsi="Times New Roman" w:cs="Times New Roman"/>
                <w:b/>
                <w:sz w:val="20"/>
              </w:rPr>
              <w:t>Lp.</w:t>
            </w:r>
          </w:p>
        </w:tc>
        <w:tc>
          <w:tcPr>
            <w:tcW w:w="6141" w:type="dxa"/>
            <w:tcBorders>
              <w:top w:val="single" w:sz="4" w:space="0" w:color="auto"/>
              <w:bottom w:val="single" w:sz="4" w:space="0" w:color="auto"/>
            </w:tcBorders>
            <w:vAlign w:val="center"/>
          </w:tcPr>
          <w:p w:rsidR="00CE0A91" w:rsidRPr="00BE6FA1" w:rsidRDefault="00CE0A91" w:rsidP="003A27DA">
            <w:pPr>
              <w:spacing w:line="360" w:lineRule="auto"/>
              <w:jc w:val="center"/>
              <w:rPr>
                <w:rFonts w:ascii="Times New Roman" w:hAnsi="Times New Roman" w:cs="Times New Roman"/>
                <w:b/>
                <w:sz w:val="20"/>
              </w:rPr>
            </w:pPr>
            <w:r w:rsidRPr="00BE6FA1">
              <w:rPr>
                <w:rFonts w:ascii="Times New Roman" w:hAnsi="Times New Roman" w:cs="Times New Roman"/>
                <w:b/>
                <w:sz w:val="20"/>
              </w:rPr>
              <w:t>Sposób uzyskania oszczędności</w:t>
            </w:r>
          </w:p>
        </w:tc>
        <w:tc>
          <w:tcPr>
            <w:tcW w:w="2230" w:type="dxa"/>
            <w:tcBorders>
              <w:top w:val="single" w:sz="4" w:space="0" w:color="auto"/>
              <w:bottom w:val="single" w:sz="4" w:space="0" w:color="auto"/>
              <w:right w:val="single" w:sz="4" w:space="0" w:color="auto"/>
            </w:tcBorders>
            <w:vAlign w:val="center"/>
          </w:tcPr>
          <w:p w:rsidR="00CE0A91" w:rsidRPr="00BE6FA1" w:rsidRDefault="00CE0A91" w:rsidP="003A27DA">
            <w:pPr>
              <w:spacing w:line="360" w:lineRule="auto"/>
              <w:jc w:val="center"/>
              <w:rPr>
                <w:rFonts w:ascii="Times New Roman" w:hAnsi="Times New Roman" w:cs="Times New Roman"/>
                <w:b/>
                <w:sz w:val="20"/>
              </w:rPr>
            </w:pPr>
            <w:r w:rsidRPr="00BE6FA1">
              <w:rPr>
                <w:rFonts w:ascii="Times New Roman" w:hAnsi="Times New Roman" w:cs="Times New Roman"/>
                <w:b/>
                <w:sz w:val="20"/>
              </w:rPr>
              <w:t>Obniżenie zużycia ciepła w stosunku do stanu poprzedniego</w:t>
            </w:r>
          </w:p>
        </w:tc>
      </w:tr>
      <w:tr w:rsidR="00CE0A91" w:rsidRPr="00BE6FA1" w:rsidTr="00642D73">
        <w:tc>
          <w:tcPr>
            <w:tcW w:w="492" w:type="dxa"/>
            <w:tcBorders>
              <w:top w:val="single" w:sz="4" w:space="0" w:color="auto"/>
            </w:tcBorders>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1</w:t>
            </w:r>
          </w:p>
        </w:tc>
        <w:tc>
          <w:tcPr>
            <w:tcW w:w="6141" w:type="dxa"/>
            <w:tcBorders>
              <w:top w:val="single" w:sz="4" w:space="0" w:color="auto"/>
            </w:tcBorders>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2</w:t>
            </w:r>
          </w:p>
        </w:tc>
        <w:tc>
          <w:tcPr>
            <w:tcW w:w="2230" w:type="dxa"/>
            <w:tcBorders>
              <w:top w:val="single" w:sz="4" w:space="0" w:color="auto"/>
            </w:tcBorders>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3</w:t>
            </w:r>
          </w:p>
        </w:tc>
      </w:tr>
      <w:tr w:rsidR="00CE0A91" w:rsidRPr="00BE6FA1" w:rsidTr="00642D73">
        <w:tc>
          <w:tcPr>
            <w:tcW w:w="492" w:type="dxa"/>
            <w:tcBorders>
              <w:top w:val="single" w:sz="4" w:space="0" w:color="auto"/>
            </w:tcBorders>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1</w:t>
            </w:r>
          </w:p>
        </w:tc>
        <w:tc>
          <w:tcPr>
            <w:tcW w:w="6141" w:type="dxa"/>
            <w:tcBorders>
              <w:top w:val="single" w:sz="4" w:space="0" w:color="auto"/>
            </w:tcBorders>
            <w:vAlign w:val="center"/>
          </w:tcPr>
          <w:p w:rsidR="00CE0A91" w:rsidRPr="00BE6FA1" w:rsidRDefault="00CE0A91" w:rsidP="003A27DA">
            <w:pPr>
              <w:spacing w:line="360" w:lineRule="auto"/>
              <w:rPr>
                <w:rFonts w:ascii="Times New Roman" w:hAnsi="Times New Roman" w:cs="Times New Roman"/>
                <w:sz w:val="20"/>
              </w:rPr>
            </w:pPr>
            <w:r w:rsidRPr="00BE6FA1">
              <w:rPr>
                <w:rFonts w:ascii="Times New Roman" w:hAnsi="Times New Roman" w:cs="Times New Roman"/>
                <w:sz w:val="20"/>
              </w:rPr>
              <w:t>Ocieplenie zewnętrznych przegród budowlanych (ścian, dachu, stropodachu) – bez wymiany okien.</w:t>
            </w:r>
          </w:p>
        </w:tc>
        <w:tc>
          <w:tcPr>
            <w:tcW w:w="2230" w:type="dxa"/>
            <w:tcBorders>
              <w:top w:val="single" w:sz="4" w:space="0" w:color="auto"/>
            </w:tcBorders>
            <w:vAlign w:val="center"/>
          </w:tcPr>
          <w:p w:rsidR="00CE0A91" w:rsidRPr="00BE6FA1" w:rsidRDefault="00CE0A91" w:rsidP="003A27DA">
            <w:pPr>
              <w:spacing w:line="360" w:lineRule="auto"/>
              <w:jc w:val="center"/>
              <w:rPr>
                <w:rFonts w:ascii="Times New Roman" w:hAnsi="Times New Roman" w:cs="Times New Roman"/>
                <w:sz w:val="20"/>
              </w:rPr>
            </w:pPr>
            <w:r w:rsidRPr="00BE6FA1">
              <w:rPr>
                <w:rFonts w:ascii="Times New Roman" w:hAnsi="Times New Roman" w:cs="Times New Roman"/>
                <w:sz w:val="20"/>
              </w:rPr>
              <w:t>15 – 25 %</w:t>
            </w:r>
          </w:p>
        </w:tc>
      </w:tr>
      <w:tr w:rsidR="00CE0A91" w:rsidRPr="00BE6FA1" w:rsidTr="00642D73">
        <w:tc>
          <w:tcPr>
            <w:tcW w:w="492" w:type="dxa"/>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2</w:t>
            </w:r>
          </w:p>
        </w:tc>
        <w:tc>
          <w:tcPr>
            <w:tcW w:w="6141" w:type="dxa"/>
            <w:vAlign w:val="center"/>
          </w:tcPr>
          <w:p w:rsidR="00CE0A91" w:rsidRPr="00BE6FA1" w:rsidRDefault="00CE0A91" w:rsidP="003A27DA">
            <w:pPr>
              <w:spacing w:line="360" w:lineRule="auto"/>
              <w:rPr>
                <w:rFonts w:ascii="Times New Roman" w:hAnsi="Times New Roman" w:cs="Times New Roman"/>
                <w:sz w:val="20"/>
              </w:rPr>
            </w:pPr>
            <w:r w:rsidRPr="00BE6FA1">
              <w:rPr>
                <w:rFonts w:ascii="Times New Roman" w:hAnsi="Times New Roman" w:cs="Times New Roman"/>
                <w:sz w:val="20"/>
              </w:rPr>
              <w:t>Wymiana okien na okna szczelne, o niższej wartości współczynnika przenikania ciepła</w:t>
            </w:r>
          </w:p>
        </w:tc>
        <w:tc>
          <w:tcPr>
            <w:tcW w:w="2230" w:type="dxa"/>
            <w:vAlign w:val="center"/>
          </w:tcPr>
          <w:p w:rsidR="00CE0A91" w:rsidRPr="00BE6FA1" w:rsidRDefault="00CE0A91" w:rsidP="003A27DA">
            <w:pPr>
              <w:spacing w:line="360" w:lineRule="auto"/>
              <w:jc w:val="center"/>
              <w:rPr>
                <w:rFonts w:ascii="Times New Roman" w:hAnsi="Times New Roman" w:cs="Times New Roman"/>
                <w:sz w:val="20"/>
              </w:rPr>
            </w:pPr>
            <w:r w:rsidRPr="00BE6FA1">
              <w:rPr>
                <w:rFonts w:ascii="Times New Roman" w:hAnsi="Times New Roman" w:cs="Times New Roman"/>
                <w:sz w:val="20"/>
              </w:rPr>
              <w:t>10 – 15 %</w:t>
            </w:r>
          </w:p>
        </w:tc>
      </w:tr>
      <w:tr w:rsidR="00CE0A91" w:rsidRPr="00BE6FA1" w:rsidTr="00642D73">
        <w:tc>
          <w:tcPr>
            <w:tcW w:w="492" w:type="dxa"/>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3</w:t>
            </w:r>
          </w:p>
        </w:tc>
        <w:tc>
          <w:tcPr>
            <w:tcW w:w="6141" w:type="dxa"/>
            <w:vAlign w:val="center"/>
          </w:tcPr>
          <w:p w:rsidR="00CE0A91" w:rsidRPr="00BE6FA1" w:rsidRDefault="00CE0A91" w:rsidP="003A27DA">
            <w:pPr>
              <w:spacing w:line="360" w:lineRule="auto"/>
              <w:rPr>
                <w:rFonts w:ascii="Times New Roman" w:hAnsi="Times New Roman" w:cs="Times New Roman"/>
                <w:sz w:val="20"/>
              </w:rPr>
            </w:pPr>
            <w:r w:rsidRPr="00BE6FA1">
              <w:rPr>
                <w:rFonts w:ascii="Times New Roman" w:hAnsi="Times New Roman" w:cs="Times New Roman"/>
                <w:sz w:val="20"/>
              </w:rPr>
              <w:t>Wprowadzenie usprawnienia w węźle cieplnym lub kotłowni, w tym automatyka pogodowa i regulacyjna</w:t>
            </w:r>
          </w:p>
        </w:tc>
        <w:tc>
          <w:tcPr>
            <w:tcW w:w="2230" w:type="dxa"/>
            <w:vAlign w:val="center"/>
          </w:tcPr>
          <w:p w:rsidR="00CE0A91" w:rsidRPr="00BE6FA1" w:rsidRDefault="00CE0A91" w:rsidP="003A27DA">
            <w:pPr>
              <w:spacing w:line="360" w:lineRule="auto"/>
              <w:jc w:val="center"/>
              <w:rPr>
                <w:rFonts w:ascii="Times New Roman" w:hAnsi="Times New Roman" w:cs="Times New Roman"/>
                <w:sz w:val="20"/>
              </w:rPr>
            </w:pPr>
            <w:r w:rsidRPr="00BE6FA1">
              <w:rPr>
                <w:rFonts w:ascii="Times New Roman" w:hAnsi="Times New Roman" w:cs="Times New Roman"/>
                <w:sz w:val="20"/>
              </w:rPr>
              <w:t>5 – 15 %</w:t>
            </w:r>
          </w:p>
        </w:tc>
      </w:tr>
      <w:tr w:rsidR="00CE0A91" w:rsidRPr="00BE6FA1" w:rsidTr="00642D73">
        <w:tc>
          <w:tcPr>
            <w:tcW w:w="492" w:type="dxa"/>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4</w:t>
            </w:r>
          </w:p>
        </w:tc>
        <w:tc>
          <w:tcPr>
            <w:tcW w:w="6141" w:type="dxa"/>
            <w:vAlign w:val="center"/>
          </w:tcPr>
          <w:p w:rsidR="00CE0A91" w:rsidRPr="00BE6FA1" w:rsidRDefault="00CE0A91" w:rsidP="003A27DA">
            <w:pPr>
              <w:spacing w:line="360" w:lineRule="auto"/>
              <w:rPr>
                <w:rFonts w:ascii="Times New Roman" w:hAnsi="Times New Roman" w:cs="Times New Roman"/>
                <w:sz w:val="20"/>
              </w:rPr>
            </w:pPr>
            <w:r w:rsidRPr="00BE6FA1">
              <w:rPr>
                <w:rFonts w:ascii="Times New Roman" w:hAnsi="Times New Roman" w:cs="Times New Roman"/>
                <w:sz w:val="20"/>
              </w:rPr>
              <w:t>Kompleksowa modernizacja wewnętrznej instalacji c.o., w tym hermetyzacja instalacji, izolowanie przewodów, regulacja hydrauliczna i montaż zaworów termostatycznych we wszystkich pomieszczeniach</w:t>
            </w:r>
          </w:p>
        </w:tc>
        <w:tc>
          <w:tcPr>
            <w:tcW w:w="2230" w:type="dxa"/>
            <w:vAlign w:val="center"/>
          </w:tcPr>
          <w:p w:rsidR="00CE0A91" w:rsidRPr="00BE6FA1" w:rsidRDefault="00CE0A91" w:rsidP="003A27DA">
            <w:pPr>
              <w:spacing w:line="360" w:lineRule="auto"/>
              <w:jc w:val="center"/>
              <w:rPr>
                <w:rFonts w:ascii="Times New Roman" w:hAnsi="Times New Roman" w:cs="Times New Roman"/>
                <w:sz w:val="20"/>
              </w:rPr>
            </w:pPr>
            <w:r w:rsidRPr="00BE6FA1">
              <w:rPr>
                <w:rFonts w:ascii="Times New Roman" w:hAnsi="Times New Roman" w:cs="Times New Roman"/>
                <w:sz w:val="20"/>
              </w:rPr>
              <w:t>10 – 25 %</w:t>
            </w:r>
          </w:p>
        </w:tc>
      </w:tr>
      <w:tr w:rsidR="00CE0A91" w:rsidRPr="00BE6FA1" w:rsidTr="00642D73">
        <w:tc>
          <w:tcPr>
            <w:tcW w:w="492" w:type="dxa"/>
            <w:vAlign w:val="center"/>
          </w:tcPr>
          <w:p w:rsidR="00CE0A91" w:rsidRPr="00BE6FA1" w:rsidRDefault="00CE0A91" w:rsidP="003A27DA">
            <w:pPr>
              <w:spacing w:line="360" w:lineRule="auto"/>
              <w:jc w:val="center"/>
              <w:rPr>
                <w:rFonts w:ascii="Times New Roman" w:hAnsi="Times New Roman" w:cs="Times New Roman"/>
                <w:bCs/>
                <w:sz w:val="20"/>
              </w:rPr>
            </w:pPr>
            <w:r w:rsidRPr="00BE6FA1">
              <w:rPr>
                <w:rFonts w:ascii="Times New Roman" w:hAnsi="Times New Roman" w:cs="Times New Roman"/>
                <w:bCs/>
                <w:sz w:val="20"/>
              </w:rPr>
              <w:t>5</w:t>
            </w:r>
          </w:p>
        </w:tc>
        <w:tc>
          <w:tcPr>
            <w:tcW w:w="6141" w:type="dxa"/>
            <w:vAlign w:val="center"/>
          </w:tcPr>
          <w:p w:rsidR="00CE0A91" w:rsidRPr="00BE6FA1" w:rsidRDefault="00CE0A91" w:rsidP="003A27DA">
            <w:pPr>
              <w:spacing w:line="360" w:lineRule="auto"/>
              <w:rPr>
                <w:rFonts w:ascii="Times New Roman" w:hAnsi="Times New Roman" w:cs="Times New Roman"/>
                <w:sz w:val="20"/>
              </w:rPr>
            </w:pPr>
            <w:r w:rsidRPr="00BE6FA1">
              <w:rPr>
                <w:rFonts w:ascii="Times New Roman" w:hAnsi="Times New Roman" w:cs="Times New Roman"/>
                <w:sz w:val="20"/>
              </w:rPr>
              <w:t>Wprowadzenie podzielników kosztów</w:t>
            </w:r>
          </w:p>
        </w:tc>
        <w:tc>
          <w:tcPr>
            <w:tcW w:w="2230" w:type="dxa"/>
            <w:vAlign w:val="center"/>
          </w:tcPr>
          <w:p w:rsidR="00CE0A91" w:rsidRPr="00BE6FA1" w:rsidRDefault="00CE0A91" w:rsidP="003A27DA">
            <w:pPr>
              <w:spacing w:line="360" w:lineRule="auto"/>
              <w:jc w:val="center"/>
              <w:rPr>
                <w:rFonts w:ascii="Times New Roman" w:hAnsi="Times New Roman" w:cs="Times New Roman"/>
                <w:sz w:val="20"/>
              </w:rPr>
            </w:pPr>
            <w:r w:rsidRPr="00BE6FA1">
              <w:rPr>
                <w:rFonts w:ascii="Times New Roman" w:hAnsi="Times New Roman" w:cs="Times New Roman"/>
                <w:sz w:val="20"/>
              </w:rPr>
              <w:t>5 – 10 %</w:t>
            </w:r>
          </w:p>
        </w:tc>
      </w:tr>
    </w:tbl>
    <w:p w:rsidR="00CE0A91" w:rsidRPr="00BE6FA1" w:rsidRDefault="00CE0A91" w:rsidP="003A27DA">
      <w:pPr>
        <w:spacing w:line="360" w:lineRule="auto"/>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5772"/>
        <w:gridCol w:w="2482"/>
      </w:tblGrid>
      <w:tr w:rsidR="00CE0A91" w:rsidRPr="00BE6FA1" w:rsidTr="00642D73">
        <w:trPr>
          <w:cantSplit/>
          <w:tblHeader/>
          <w:jc w:val="center"/>
        </w:trPr>
        <w:tc>
          <w:tcPr>
            <w:tcW w:w="8758" w:type="dxa"/>
            <w:gridSpan w:val="3"/>
            <w:tcBorders>
              <w:top w:val="nil"/>
              <w:left w:val="nil"/>
              <w:bottom w:val="single" w:sz="4" w:space="0" w:color="auto"/>
              <w:right w:val="nil"/>
            </w:tcBorders>
            <w:vAlign w:val="center"/>
          </w:tcPr>
          <w:p w:rsidR="00CE0A91" w:rsidRPr="00BE6FA1" w:rsidRDefault="00CE0A91" w:rsidP="003A27DA">
            <w:pPr>
              <w:pStyle w:val="Tabela"/>
              <w:spacing w:line="360" w:lineRule="auto"/>
              <w:rPr>
                <w:rFonts w:ascii="Times New Roman" w:hAnsi="Times New Roman" w:cs="Times New Roman"/>
                <w:i w:val="0"/>
                <w:szCs w:val="20"/>
              </w:rPr>
            </w:pPr>
            <w:bookmarkStart w:id="197" w:name="_Toc418529184"/>
            <w:r w:rsidRPr="00BE6FA1">
              <w:rPr>
                <w:rFonts w:ascii="Times New Roman" w:hAnsi="Times New Roman" w:cs="Times New Roman"/>
                <w:i w:val="0"/>
              </w:rPr>
              <w:t>Możliwości oszczędności energii elektrycznej na poziomie użytkownika finalnego.</w:t>
            </w:r>
            <w:bookmarkEnd w:id="197"/>
          </w:p>
        </w:tc>
      </w:tr>
      <w:tr w:rsidR="009D09A0" w:rsidRPr="00BE6FA1" w:rsidTr="009D09A0">
        <w:trPr>
          <w:tblHeader/>
          <w:jc w:val="center"/>
        </w:trPr>
        <w:tc>
          <w:tcPr>
            <w:tcW w:w="504" w:type="dxa"/>
            <w:tcBorders>
              <w:top w:val="single" w:sz="4" w:space="0" w:color="auto"/>
              <w:left w:val="single" w:sz="4" w:space="0" w:color="auto"/>
              <w:bottom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Lp.</w:t>
            </w:r>
          </w:p>
        </w:tc>
        <w:tc>
          <w:tcPr>
            <w:tcW w:w="5772" w:type="dxa"/>
            <w:tcBorders>
              <w:top w:val="single" w:sz="4" w:space="0" w:color="auto"/>
              <w:bottom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Odbiorca</w:t>
            </w:r>
          </w:p>
        </w:tc>
        <w:tc>
          <w:tcPr>
            <w:tcW w:w="2482" w:type="dxa"/>
            <w:tcBorders>
              <w:top w:val="single" w:sz="4" w:space="0" w:color="auto"/>
              <w:bottom w:val="single" w:sz="4" w:space="0" w:color="auto"/>
              <w:right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Możliwość zaoszczędzenia energii elektrycznej, %</w:t>
            </w:r>
          </w:p>
        </w:tc>
      </w:tr>
      <w:tr w:rsidR="009D09A0" w:rsidRPr="00BE6FA1" w:rsidTr="009D09A0">
        <w:trPr>
          <w:tblHeader/>
          <w:jc w:val="center"/>
        </w:trPr>
        <w:tc>
          <w:tcPr>
            <w:tcW w:w="504" w:type="dxa"/>
            <w:tcBorders>
              <w:top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1</w:t>
            </w:r>
          </w:p>
        </w:tc>
        <w:tc>
          <w:tcPr>
            <w:tcW w:w="5772" w:type="dxa"/>
            <w:tcBorders>
              <w:top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2</w:t>
            </w:r>
          </w:p>
        </w:tc>
        <w:tc>
          <w:tcPr>
            <w:tcW w:w="2482" w:type="dxa"/>
            <w:tcBorders>
              <w:top w:val="single" w:sz="4" w:space="0" w:color="auto"/>
            </w:tcBorders>
            <w:vAlign w:val="center"/>
          </w:tcPr>
          <w:p w:rsidR="00CE0A91" w:rsidRPr="00BE6FA1" w:rsidRDefault="00CE0A91" w:rsidP="009D09A0">
            <w:pPr>
              <w:spacing w:line="360" w:lineRule="auto"/>
              <w:jc w:val="center"/>
              <w:rPr>
                <w:rFonts w:ascii="Times New Roman" w:hAnsi="Times New Roman" w:cs="Times New Roman"/>
                <w:b/>
                <w:bCs/>
                <w:sz w:val="20"/>
                <w:szCs w:val="20"/>
              </w:rPr>
            </w:pPr>
            <w:r w:rsidRPr="00BE6FA1">
              <w:rPr>
                <w:rFonts w:ascii="Times New Roman" w:hAnsi="Times New Roman" w:cs="Times New Roman"/>
                <w:b/>
                <w:bCs/>
                <w:sz w:val="20"/>
                <w:szCs w:val="20"/>
              </w:rPr>
              <w:t>3</w:t>
            </w:r>
          </w:p>
        </w:tc>
      </w:tr>
      <w:tr w:rsidR="009D09A0" w:rsidRPr="00BE6FA1" w:rsidTr="009D09A0">
        <w:trPr>
          <w:jc w:val="center"/>
        </w:trPr>
        <w:tc>
          <w:tcPr>
            <w:tcW w:w="504" w:type="dxa"/>
            <w:vAlign w:val="center"/>
          </w:tcPr>
          <w:p w:rsidR="00CE0A91" w:rsidRPr="00BE6FA1" w:rsidRDefault="00CE0A91" w:rsidP="009D09A0">
            <w:pPr>
              <w:pStyle w:val="Akapitzlist"/>
              <w:spacing w:line="360" w:lineRule="auto"/>
              <w:ind w:left="0"/>
              <w:jc w:val="center"/>
              <w:rPr>
                <w:rFonts w:ascii="Times New Roman" w:hAnsi="Times New Roman" w:cs="Times New Roman"/>
                <w:sz w:val="20"/>
                <w:szCs w:val="20"/>
              </w:rPr>
            </w:pPr>
            <w:r w:rsidRPr="00BE6FA1">
              <w:rPr>
                <w:rFonts w:ascii="Times New Roman" w:hAnsi="Times New Roman" w:cs="Times New Roman"/>
                <w:sz w:val="20"/>
                <w:szCs w:val="20"/>
              </w:rPr>
              <w:t>1</w:t>
            </w:r>
          </w:p>
        </w:tc>
        <w:tc>
          <w:tcPr>
            <w:tcW w:w="5772" w:type="dxa"/>
            <w:vAlign w:val="center"/>
          </w:tcPr>
          <w:p w:rsidR="00CE0A91" w:rsidRPr="00BE6FA1" w:rsidRDefault="00CE0A91" w:rsidP="009A7AFF">
            <w:pPr>
              <w:pStyle w:val="Akapitzlist"/>
              <w:numPr>
                <w:ilvl w:val="0"/>
                <w:numId w:val="60"/>
              </w:numPr>
              <w:spacing w:after="0" w:line="360" w:lineRule="auto"/>
              <w:ind w:left="426"/>
              <w:contextualSpacing w:val="0"/>
              <w:jc w:val="center"/>
              <w:rPr>
                <w:rFonts w:ascii="Times New Roman" w:hAnsi="Times New Roman" w:cs="Times New Roman"/>
                <w:sz w:val="20"/>
                <w:szCs w:val="20"/>
              </w:rPr>
            </w:pPr>
            <w:r w:rsidRPr="00BE6FA1">
              <w:rPr>
                <w:rFonts w:ascii="Times New Roman" w:hAnsi="Times New Roman" w:cs="Times New Roman"/>
                <w:sz w:val="20"/>
                <w:szCs w:val="20"/>
              </w:rPr>
              <w:t>Przemysł, w tym:</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napędy,</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oświetlenie,</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inne</w:t>
            </w:r>
          </w:p>
        </w:tc>
        <w:tc>
          <w:tcPr>
            <w:tcW w:w="2482" w:type="dxa"/>
            <w:vAlign w:val="center"/>
          </w:tcPr>
          <w:p w:rsidR="00CE0A91" w:rsidRPr="00BE6FA1" w:rsidRDefault="00CE0A91" w:rsidP="009D09A0">
            <w:pPr>
              <w:pStyle w:val="Akapitzlist"/>
              <w:spacing w:line="360" w:lineRule="auto"/>
              <w:jc w:val="center"/>
              <w:rPr>
                <w:rFonts w:ascii="Times New Roman" w:hAnsi="Times New Roman" w:cs="Times New Roman"/>
                <w:sz w:val="20"/>
                <w:szCs w:val="20"/>
              </w:rPr>
            </w:pPr>
          </w:p>
          <w:p w:rsidR="00CE0A91" w:rsidRPr="00BE6FA1" w:rsidRDefault="00CE0A91" w:rsidP="009D09A0">
            <w:pPr>
              <w:pStyle w:val="Akapitzlist"/>
              <w:spacing w:line="360" w:lineRule="auto"/>
              <w:ind w:left="0"/>
              <w:jc w:val="center"/>
              <w:rPr>
                <w:rFonts w:ascii="Times New Roman" w:hAnsi="Times New Roman" w:cs="Times New Roman"/>
                <w:sz w:val="20"/>
                <w:szCs w:val="20"/>
              </w:rPr>
            </w:pPr>
            <w:r w:rsidRPr="00BE6FA1">
              <w:rPr>
                <w:rFonts w:ascii="Times New Roman" w:hAnsi="Times New Roman" w:cs="Times New Roman"/>
                <w:sz w:val="20"/>
                <w:szCs w:val="20"/>
              </w:rPr>
              <w:t>10 – 50 %</w:t>
            </w:r>
          </w:p>
          <w:p w:rsidR="00CE0A91" w:rsidRPr="00BE6FA1" w:rsidRDefault="00CE0A91" w:rsidP="009D09A0">
            <w:pPr>
              <w:pStyle w:val="Akapitzlist"/>
              <w:spacing w:line="360" w:lineRule="auto"/>
              <w:ind w:left="0"/>
              <w:jc w:val="center"/>
              <w:rPr>
                <w:rFonts w:ascii="Times New Roman" w:hAnsi="Times New Roman" w:cs="Times New Roman"/>
                <w:sz w:val="20"/>
                <w:szCs w:val="20"/>
              </w:rPr>
            </w:pPr>
            <w:r w:rsidRPr="00BE6FA1">
              <w:rPr>
                <w:rFonts w:ascii="Times New Roman" w:hAnsi="Times New Roman" w:cs="Times New Roman"/>
                <w:sz w:val="20"/>
                <w:szCs w:val="20"/>
              </w:rPr>
              <w:t>20 – 80 %</w:t>
            </w:r>
          </w:p>
          <w:p w:rsidR="00CE0A91" w:rsidRPr="00BE6FA1" w:rsidRDefault="00CE0A91" w:rsidP="009D09A0">
            <w:pPr>
              <w:pStyle w:val="Akapitzlist"/>
              <w:spacing w:line="360" w:lineRule="auto"/>
              <w:ind w:left="0"/>
              <w:jc w:val="center"/>
              <w:rPr>
                <w:rFonts w:ascii="Times New Roman" w:hAnsi="Times New Roman" w:cs="Times New Roman"/>
                <w:sz w:val="20"/>
                <w:szCs w:val="20"/>
              </w:rPr>
            </w:pPr>
            <w:r w:rsidRPr="00BE6FA1">
              <w:rPr>
                <w:rFonts w:ascii="Times New Roman" w:hAnsi="Times New Roman" w:cs="Times New Roman"/>
                <w:sz w:val="20"/>
                <w:szCs w:val="20"/>
              </w:rPr>
              <w:t>20 – 30 %</w:t>
            </w:r>
          </w:p>
        </w:tc>
      </w:tr>
      <w:tr w:rsidR="009D09A0" w:rsidRPr="00BE6FA1" w:rsidTr="009D09A0">
        <w:trPr>
          <w:jc w:val="center"/>
        </w:trPr>
        <w:tc>
          <w:tcPr>
            <w:tcW w:w="504" w:type="dxa"/>
            <w:vAlign w:val="center"/>
          </w:tcPr>
          <w:p w:rsidR="00CE0A91" w:rsidRPr="00BE6FA1" w:rsidRDefault="00CE0A91" w:rsidP="009D09A0">
            <w:pPr>
              <w:spacing w:line="360" w:lineRule="auto"/>
              <w:jc w:val="center"/>
              <w:rPr>
                <w:rFonts w:ascii="Times New Roman" w:hAnsi="Times New Roman" w:cs="Times New Roman"/>
                <w:sz w:val="20"/>
                <w:szCs w:val="20"/>
              </w:rPr>
            </w:pPr>
            <w:r w:rsidRPr="00BE6FA1">
              <w:rPr>
                <w:rFonts w:ascii="Times New Roman" w:hAnsi="Times New Roman" w:cs="Times New Roman"/>
                <w:sz w:val="20"/>
                <w:szCs w:val="20"/>
              </w:rPr>
              <w:t>2</w:t>
            </w:r>
          </w:p>
        </w:tc>
        <w:tc>
          <w:tcPr>
            <w:tcW w:w="5772" w:type="dxa"/>
            <w:vAlign w:val="center"/>
          </w:tcPr>
          <w:p w:rsidR="00CE0A91" w:rsidRPr="00BE6FA1" w:rsidRDefault="00CE0A91" w:rsidP="009A7AFF">
            <w:pPr>
              <w:pStyle w:val="Akapitzlist"/>
              <w:numPr>
                <w:ilvl w:val="0"/>
                <w:numId w:val="60"/>
              </w:numPr>
              <w:spacing w:after="0" w:line="360" w:lineRule="auto"/>
              <w:ind w:left="426"/>
              <w:contextualSpacing w:val="0"/>
              <w:jc w:val="center"/>
              <w:rPr>
                <w:rFonts w:ascii="Times New Roman" w:hAnsi="Times New Roman" w:cs="Times New Roman"/>
                <w:sz w:val="20"/>
                <w:szCs w:val="20"/>
              </w:rPr>
            </w:pPr>
            <w:r w:rsidRPr="00BE6FA1">
              <w:rPr>
                <w:rFonts w:ascii="Times New Roman" w:hAnsi="Times New Roman" w:cs="Times New Roman"/>
                <w:sz w:val="20"/>
                <w:szCs w:val="20"/>
              </w:rPr>
              <w:t>Transport szynowy, kolejowy i miejski</w:t>
            </w:r>
          </w:p>
        </w:tc>
        <w:tc>
          <w:tcPr>
            <w:tcW w:w="2482" w:type="dxa"/>
            <w:vAlign w:val="center"/>
          </w:tcPr>
          <w:p w:rsidR="00CE0A91" w:rsidRPr="00BE6FA1" w:rsidRDefault="00CE0A91" w:rsidP="009D09A0">
            <w:pPr>
              <w:spacing w:line="360" w:lineRule="auto"/>
              <w:jc w:val="center"/>
              <w:rPr>
                <w:rFonts w:ascii="Times New Roman" w:hAnsi="Times New Roman" w:cs="Times New Roman"/>
                <w:sz w:val="20"/>
                <w:szCs w:val="20"/>
              </w:rPr>
            </w:pPr>
            <w:r w:rsidRPr="00BE6FA1">
              <w:rPr>
                <w:rFonts w:ascii="Times New Roman" w:hAnsi="Times New Roman" w:cs="Times New Roman"/>
                <w:sz w:val="20"/>
                <w:szCs w:val="20"/>
              </w:rPr>
              <w:t>10 -  20 %</w:t>
            </w:r>
          </w:p>
        </w:tc>
      </w:tr>
      <w:tr w:rsidR="009D09A0" w:rsidRPr="00BE6FA1" w:rsidTr="009D09A0">
        <w:trPr>
          <w:jc w:val="center"/>
        </w:trPr>
        <w:tc>
          <w:tcPr>
            <w:tcW w:w="504" w:type="dxa"/>
            <w:vAlign w:val="center"/>
          </w:tcPr>
          <w:p w:rsidR="00CE0A91" w:rsidRPr="00BE6FA1" w:rsidRDefault="00CE0A91" w:rsidP="009D09A0">
            <w:pPr>
              <w:pStyle w:val="Akapitzlist"/>
              <w:spacing w:line="360" w:lineRule="auto"/>
              <w:ind w:left="8"/>
              <w:jc w:val="center"/>
              <w:rPr>
                <w:rFonts w:ascii="Times New Roman" w:hAnsi="Times New Roman" w:cs="Times New Roman"/>
                <w:sz w:val="20"/>
                <w:szCs w:val="20"/>
              </w:rPr>
            </w:pPr>
            <w:r w:rsidRPr="00BE6FA1">
              <w:rPr>
                <w:rFonts w:ascii="Times New Roman" w:hAnsi="Times New Roman" w:cs="Times New Roman"/>
                <w:sz w:val="20"/>
                <w:szCs w:val="20"/>
              </w:rPr>
              <w:t>3</w:t>
            </w:r>
          </w:p>
        </w:tc>
        <w:tc>
          <w:tcPr>
            <w:tcW w:w="5772" w:type="dxa"/>
            <w:vAlign w:val="center"/>
          </w:tcPr>
          <w:p w:rsidR="00CE0A91" w:rsidRPr="00BE6FA1" w:rsidRDefault="00CE0A91" w:rsidP="009A7AFF">
            <w:pPr>
              <w:pStyle w:val="Akapitzlist"/>
              <w:numPr>
                <w:ilvl w:val="0"/>
                <w:numId w:val="60"/>
              </w:numPr>
              <w:spacing w:after="0" w:line="360" w:lineRule="auto"/>
              <w:ind w:left="426"/>
              <w:contextualSpacing w:val="0"/>
              <w:jc w:val="center"/>
              <w:rPr>
                <w:rFonts w:ascii="Times New Roman" w:hAnsi="Times New Roman" w:cs="Times New Roman"/>
                <w:sz w:val="20"/>
                <w:szCs w:val="20"/>
              </w:rPr>
            </w:pPr>
            <w:r w:rsidRPr="00BE6FA1">
              <w:rPr>
                <w:rFonts w:ascii="Times New Roman" w:hAnsi="Times New Roman" w:cs="Times New Roman"/>
                <w:sz w:val="20"/>
                <w:szCs w:val="20"/>
              </w:rPr>
              <w:t>Gospodarstwa domowe, w tym:</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oświetlenie,</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przechowywanie żywności,</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lastRenderedPageBreak/>
              <w:t>utrzymywanie czystości (pralki, odkurzacze),</w:t>
            </w:r>
          </w:p>
          <w:p w:rsidR="00CE0A91" w:rsidRPr="00BE6FA1" w:rsidRDefault="00CE0A91" w:rsidP="009A7AFF">
            <w:pPr>
              <w:pStyle w:val="Akapitzlist"/>
              <w:numPr>
                <w:ilvl w:val="0"/>
                <w:numId w:val="61"/>
              </w:numPr>
              <w:spacing w:after="0" w:line="360" w:lineRule="auto"/>
              <w:contextualSpacing w:val="0"/>
              <w:jc w:val="center"/>
              <w:rPr>
                <w:rFonts w:ascii="Times New Roman" w:hAnsi="Times New Roman" w:cs="Times New Roman"/>
                <w:sz w:val="20"/>
                <w:szCs w:val="20"/>
              </w:rPr>
            </w:pPr>
            <w:r w:rsidRPr="00BE6FA1">
              <w:rPr>
                <w:rFonts w:ascii="Times New Roman" w:hAnsi="Times New Roman" w:cs="Times New Roman"/>
                <w:sz w:val="20"/>
                <w:szCs w:val="20"/>
              </w:rPr>
              <w:t>inne.</w:t>
            </w:r>
          </w:p>
        </w:tc>
        <w:tc>
          <w:tcPr>
            <w:tcW w:w="2482" w:type="dxa"/>
            <w:vAlign w:val="center"/>
          </w:tcPr>
          <w:p w:rsidR="00CE0A91" w:rsidRPr="00BE6FA1" w:rsidRDefault="00CE0A91" w:rsidP="009D09A0">
            <w:pPr>
              <w:pStyle w:val="Akapitzlist"/>
              <w:spacing w:line="360" w:lineRule="auto"/>
              <w:jc w:val="center"/>
              <w:rPr>
                <w:rFonts w:ascii="Times New Roman" w:hAnsi="Times New Roman" w:cs="Times New Roman"/>
                <w:sz w:val="20"/>
                <w:szCs w:val="20"/>
              </w:rPr>
            </w:pPr>
          </w:p>
          <w:p w:rsidR="00CE0A91" w:rsidRPr="00BE6FA1" w:rsidRDefault="00CE0A91" w:rsidP="009D09A0">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20 – 80 %</w:t>
            </w:r>
          </w:p>
          <w:p w:rsidR="00CE0A91" w:rsidRPr="00BE6FA1" w:rsidRDefault="00CE0A91" w:rsidP="009D09A0">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20 – 50 %</w:t>
            </w:r>
          </w:p>
          <w:p w:rsidR="00CE0A91" w:rsidRPr="00BE6FA1" w:rsidRDefault="00CE0A91" w:rsidP="009D09A0">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lastRenderedPageBreak/>
              <w:t>10 – 30 %</w:t>
            </w:r>
          </w:p>
          <w:p w:rsidR="00CE0A91" w:rsidRPr="00BE6FA1" w:rsidRDefault="00CE0A91" w:rsidP="009D09A0">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10 – 30 %</w:t>
            </w:r>
          </w:p>
        </w:tc>
      </w:tr>
      <w:tr w:rsidR="00CE0A91" w:rsidRPr="00BE6FA1" w:rsidTr="00642D73">
        <w:trPr>
          <w:jc w:val="center"/>
        </w:trPr>
        <w:tc>
          <w:tcPr>
            <w:tcW w:w="504" w:type="dxa"/>
            <w:vAlign w:val="center"/>
          </w:tcPr>
          <w:p w:rsidR="00CE0A91" w:rsidRPr="00BE6FA1" w:rsidRDefault="00CE0A91" w:rsidP="003A27DA">
            <w:pPr>
              <w:pStyle w:val="Akapitzlist"/>
              <w:spacing w:line="360" w:lineRule="auto"/>
              <w:ind w:left="8"/>
              <w:jc w:val="center"/>
              <w:rPr>
                <w:rFonts w:ascii="Times New Roman" w:hAnsi="Times New Roman" w:cs="Times New Roman"/>
                <w:sz w:val="20"/>
                <w:szCs w:val="20"/>
              </w:rPr>
            </w:pPr>
            <w:r w:rsidRPr="00BE6FA1">
              <w:rPr>
                <w:rFonts w:ascii="Times New Roman" w:hAnsi="Times New Roman" w:cs="Times New Roman"/>
                <w:sz w:val="20"/>
                <w:szCs w:val="20"/>
              </w:rPr>
              <w:lastRenderedPageBreak/>
              <w:t>4</w:t>
            </w:r>
          </w:p>
        </w:tc>
        <w:tc>
          <w:tcPr>
            <w:tcW w:w="5772" w:type="dxa"/>
            <w:vAlign w:val="center"/>
          </w:tcPr>
          <w:p w:rsidR="00CE0A91" w:rsidRPr="00BE6FA1" w:rsidRDefault="00CE0A91" w:rsidP="009A7AFF">
            <w:pPr>
              <w:pStyle w:val="Akapitzlist"/>
              <w:numPr>
                <w:ilvl w:val="0"/>
                <w:numId w:val="60"/>
              </w:numPr>
              <w:spacing w:after="0" w:line="360" w:lineRule="auto"/>
              <w:ind w:left="426"/>
              <w:contextualSpacing w:val="0"/>
              <w:jc w:val="both"/>
              <w:rPr>
                <w:rFonts w:ascii="Times New Roman" w:hAnsi="Times New Roman" w:cs="Times New Roman"/>
                <w:sz w:val="20"/>
                <w:szCs w:val="20"/>
              </w:rPr>
            </w:pPr>
            <w:r w:rsidRPr="00BE6FA1">
              <w:rPr>
                <w:rFonts w:ascii="Times New Roman" w:hAnsi="Times New Roman" w:cs="Times New Roman"/>
                <w:sz w:val="20"/>
                <w:szCs w:val="20"/>
              </w:rPr>
              <w:t>Budynki i inni odbiorcy użyteczności publicznej:</w:t>
            </w:r>
          </w:p>
          <w:p w:rsidR="00CE0A91" w:rsidRPr="00BE6FA1" w:rsidRDefault="00CE0A91" w:rsidP="009A7AFF">
            <w:pPr>
              <w:pStyle w:val="Akapitzlist"/>
              <w:numPr>
                <w:ilvl w:val="0"/>
                <w:numId w:val="61"/>
              </w:numPr>
              <w:spacing w:after="0" w:line="360" w:lineRule="auto"/>
              <w:contextualSpacing w:val="0"/>
              <w:jc w:val="both"/>
              <w:rPr>
                <w:rFonts w:ascii="Times New Roman" w:hAnsi="Times New Roman" w:cs="Times New Roman"/>
                <w:sz w:val="20"/>
                <w:szCs w:val="20"/>
              </w:rPr>
            </w:pPr>
            <w:r w:rsidRPr="00BE6FA1">
              <w:rPr>
                <w:rFonts w:ascii="Times New Roman" w:hAnsi="Times New Roman" w:cs="Times New Roman"/>
                <w:sz w:val="20"/>
                <w:szCs w:val="20"/>
              </w:rPr>
              <w:t>oświetlenie budynków,</w:t>
            </w:r>
          </w:p>
          <w:p w:rsidR="00CE0A91" w:rsidRPr="00BE6FA1" w:rsidRDefault="00CE0A91" w:rsidP="009A7AFF">
            <w:pPr>
              <w:pStyle w:val="Akapitzlist"/>
              <w:numPr>
                <w:ilvl w:val="0"/>
                <w:numId w:val="61"/>
              </w:numPr>
              <w:spacing w:after="0" w:line="360" w:lineRule="auto"/>
              <w:contextualSpacing w:val="0"/>
              <w:jc w:val="both"/>
              <w:rPr>
                <w:rFonts w:ascii="Times New Roman" w:hAnsi="Times New Roman" w:cs="Times New Roman"/>
                <w:sz w:val="20"/>
                <w:szCs w:val="20"/>
              </w:rPr>
            </w:pPr>
            <w:r w:rsidRPr="00BE6FA1">
              <w:rPr>
                <w:rFonts w:ascii="Times New Roman" w:hAnsi="Times New Roman" w:cs="Times New Roman"/>
                <w:sz w:val="20"/>
                <w:szCs w:val="20"/>
              </w:rPr>
              <w:t>napędy sieci ciepłowniczych,</w:t>
            </w:r>
          </w:p>
          <w:p w:rsidR="00CE0A91" w:rsidRPr="00BE6FA1" w:rsidRDefault="00CE0A91" w:rsidP="009A7AFF">
            <w:pPr>
              <w:pStyle w:val="Akapitzlist"/>
              <w:numPr>
                <w:ilvl w:val="0"/>
                <w:numId w:val="61"/>
              </w:numPr>
              <w:spacing w:after="0" w:line="360" w:lineRule="auto"/>
              <w:contextualSpacing w:val="0"/>
              <w:jc w:val="both"/>
              <w:rPr>
                <w:rFonts w:ascii="Times New Roman" w:hAnsi="Times New Roman" w:cs="Times New Roman"/>
                <w:sz w:val="20"/>
                <w:szCs w:val="20"/>
              </w:rPr>
            </w:pPr>
            <w:r w:rsidRPr="00BE6FA1">
              <w:rPr>
                <w:rFonts w:ascii="Times New Roman" w:hAnsi="Times New Roman" w:cs="Times New Roman"/>
                <w:sz w:val="20"/>
                <w:szCs w:val="20"/>
              </w:rPr>
              <w:t>oświetlenie ulic</w:t>
            </w:r>
          </w:p>
        </w:tc>
        <w:tc>
          <w:tcPr>
            <w:tcW w:w="2482" w:type="dxa"/>
            <w:vAlign w:val="center"/>
          </w:tcPr>
          <w:p w:rsidR="00CE0A91" w:rsidRPr="00BE6FA1" w:rsidRDefault="00CE0A91" w:rsidP="003A27DA">
            <w:pPr>
              <w:pStyle w:val="Akapitzlist"/>
              <w:spacing w:line="360" w:lineRule="auto"/>
              <w:rPr>
                <w:rFonts w:ascii="Times New Roman" w:hAnsi="Times New Roman" w:cs="Times New Roman"/>
                <w:sz w:val="20"/>
                <w:szCs w:val="20"/>
              </w:rPr>
            </w:pPr>
          </w:p>
          <w:p w:rsidR="00CE0A91" w:rsidRPr="00BE6FA1" w:rsidRDefault="00CE0A91" w:rsidP="003A27DA">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15 – 80 %</w:t>
            </w:r>
          </w:p>
          <w:p w:rsidR="00CE0A91" w:rsidRPr="00BE6FA1" w:rsidRDefault="00CE0A91" w:rsidP="003A27DA">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20 – 55 %</w:t>
            </w:r>
          </w:p>
          <w:p w:rsidR="00CE0A91" w:rsidRPr="00BE6FA1" w:rsidRDefault="00CE0A91" w:rsidP="003A27DA">
            <w:pPr>
              <w:pStyle w:val="Akapitzlist"/>
              <w:spacing w:line="360" w:lineRule="auto"/>
              <w:ind w:left="34"/>
              <w:jc w:val="center"/>
              <w:rPr>
                <w:rFonts w:ascii="Times New Roman" w:hAnsi="Times New Roman" w:cs="Times New Roman"/>
                <w:sz w:val="20"/>
                <w:szCs w:val="20"/>
              </w:rPr>
            </w:pPr>
            <w:r w:rsidRPr="00BE6FA1">
              <w:rPr>
                <w:rFonts w:ascii="Times New Roman" w:hAnsi="Times New Roman" w:cs="Times New Roman"/>
                <w:sz w:val="20"/>
                <w:szCs w:val="20"/>
              </w:rPr>
              <w:t>20 – 40 %</w:t>
            </w:r>
          </w:p>
        </w:tc>
      </w:tr>
    </w:tbl>
    <w:p w:rsidR="00CE0A91" w:rsidRPr="00BE6FA1" w:rsidRDefault="00CE0A91" w:rsidP="003A27DA">
      <w:pPr>
        <w:pStyle w:val="Akapitzlist"/>
        <w:spacing w:line="360" w:lineRule="auto"/>
        <w:ind w:left="0" w:firstLine="720"/>
        <w:jc w:val="both"/>
        <w:rPr>
          <w:rFonts w:ascii="Times New Roman" w:hAnsi="Times New Roman" w:cs="Times New Roman"/>
          <w:sz w:val="24"/>
        </w:rPr>
      </w:pPr>
    </w:p>
    <w:p w:rsidR="00CE0A91" w:rsidRPr="00BE6FA1" w:rsidRDefault="00CE0A91" w:rsidP="003A27DA">
      <w:pPr>
        <w:pStyle w:val="Akapitzlist"/>
        <w:spacing w:line="360" w:lineRule="auto"/>
        <w:ind w:left="0" w:firstLine="720"/>
        <w:jc w:val="both"/>
        <w:rPr>
          <w:rFonts w:ascii="Times New Roman" w:hAnsi="Times New Roman" w:cs="Times New Roman"/>
          <w:sz w:val="24"/>
        </w:rPr>
      </w:pPr>
    </w:p>
    <w:p w:rsidR="00DB5CB5" w:rsidRPr="00BE6FA1" w:rsidRDefault="00CE0A91" w:rsidP="00BF5ED4">
      <w:pPr>
        <w:pStyle w:val="Akapitzlist"/>
        <w:spacing w:line="360" w:lineRule="auto"/>
        <w:ind w:left="0" w:firstLine="720"/>
        <w:jc w:val="both"/>
        <w:rPr>
          <w:rFonts w:ascii="Times New Roman" w:hAnsi="Times New Roman" w:cs="Times New Roman"/>
          <w:sz w:val="24"/>
        </w:rPr>
      </w:pPr>
      <w:r w:rsidRPr="00BE6FA1">
        <w:rPr>
          <w:rFonts w:ascii="Times New Roman" w:hAnsi="Times New Roman" w:cs="Times New Roman"/>
          <w:sz w:val="24"/>
        </w:rPr>
        <w:t>Szacowaną oszczędność energii w przypadku obiektów poddanych kompleksowej termomodernizacji przyjęto na poziomie 35 - 40% dla każdego budynku.</w:t>
      </w:r>
    </w:p>
    <w:p w:rsidR="00DB5CB5" w:rsidRPr="00BE6FA1" w:rsidRDefault="00DB5CB5" w:rsidP="003A27DA">
      <w:pPr>
        <w:pStyle w:val="Akapitzlist"/>
        <w:spacing w:line="360" w:lineRule="auto"/>
        <w:ind w:left="0" w:firstLine="720"/>
        <w:jc w:val="both"/>
        <w:rPr>
          <w:rFonts w:ascii="Times New Roman" w:hAnsi="Times New Roman" w:cs="Times New Roman"/>
          <w:sz w:val="24"/>
          <w:szCs w:val="24"/>
        </w:rPr>
      </w:pPr>
      <w:r w:rsidRPr="00BE6FA1">
        <w:rPr>
          <w:rFonts w:ascii="Times New Roman" w:hAnsi="Times New Roman" w:cs="Times New Roman"/>
          <w:sz w:val="24"/>
          <w:szCs w:val="24"/>
        </w:rPr>
        <w:t>Według ogólnie przyjętych szacunków, przy średnim rocznym nasłonecznieniu powierzchni Ziemi, z m</w:t>
      </w:r>
      <w:r w:rsidRPr="00BE6FA1">
        <w:rPr>
          <w:rFonts w:ascii="Times New Roman" w:hAnsi="Times New Roman" w:cs="Times New Roman"/>
          <w:sz w:val="24"/>
          <w:szCs w:val="24"/>
          <w:vertAlign w:val="superscript"/>
        </w:rPr>
        <w:t>2</w:t>
      </w:r>
      <w:r w:rsidRPr="00BE6FA1">
        <w:rPr>
          <w:rFonts w:ascii="Times New Roman" w:hAnsi="Times New Roman" w:cs="Times New Roman"/>
          <w:sz w:val="24"/>
          <w:szCs w:val="24"/>
        </w:rPr>
        <w:t xml:space="preserve"> panel</w:t>
      </w:r>
      <w:r w:rsidR="00AD699B">
        <w:rPr>
          <w:rFonts w:ascii="Times New Roman" w:hAnsi="Times New Roman" w:cs="Times New Roman"/>
          <w:sz w:val="24"/>
          <w:szCs w:val="24"/>
        </w:rPr>
        <w:t>u</w:t>
      </w:r>
      <w:r w:rsidRPr="00BE6FA1">
        <w:rPr>
          <w:rFonts w:ascii="Times New Roman" w:hAnsi="Times New Roman" w:cs="Times New Roman"/>
          <w:sz w:val="24"/>
          <w:szCs w:val="24"/>
        </w:rPr>
        <w:t xml:space="preserve"> fotowoltaicznego można uzyskać rocznie ok. 110-150 kWh energii elektrycznej. </w:t>
      </w:r>
    </w:p>
    <w:p w:rsidR="002235C0" w:rsidRPr="00BE6FA1" w:rsidRDefault="00BF5ED4" w:rsidP="002235C0">
      <w:pPr>
        <w:pStyle w:val="Akapitzlist"/>
        <w:spacing w:line="360" w:lineRule="auto"/>
        <w:ind w:left="0" w:firstLine="720"/>
        <w:jc w:val="both"/>
        <w:rPr>
          <w:rFonts w:ascii="Times New Roman" w:hAnsi="Times New Roman" w:cs="Times New Roman"/>
          <w:sz w:val="24"/>
          <w:szCs w:val="24"/>
        </w:rPr>
      </w:pPr>
      <w:r w:rsidRPr="00BE6FA1">
        <w:rPr>
          <w:rFonts w:ascii="Times New Roman" w:hAnsi="Times New Roman" w:cs="Times New Roman"/>
          <w:sz w:val="24"/>
          <w:szCs w:val="24"/>
        </w:rPr>
        <w:t>Zakładając, że instalacja produkuje średnio 140 kWh rocznie z m2, to uzysk z jednego panelu o standardowym wymiarze 1,64 m2 wyniesie 230 kWh (140kWh x 1,64 m</w:t>
      </w:r>
      <w:r w:rsidRPr="00BE6FA1">
        <w:rPr>
          <w:rFonts w:ascii="Times New Roman" w:hAnsi="Times New Roman" w:cs="Times New Roman"/>
          <w:sz w:val="24"/>
          <w:szCs w:val="24"/>
          <w:vertAlign w:val="superscript"/>
        </w:rPr>
        <w:t>2</w:t>
      </w:r>
      <w:r w:rsidRPr="00BE6FA1">
        <w:rPr>
          <w:rFonts w:ascii="Times New Roman" w:hAnsi="Times New Roman" w:cs="Times New Roman"/>
          <w:sz w:val="24"/>
          <w:szCs w:val="24"/>
        </w:rPr>
        <w:t xml:space="preserve"> = 230 kWh) rocznie. </w:t>
      </w:r>
      <w:r w:rsidR="002235C0" w:rsidRPr="00BE6FA1">
        <w:rPr>
          <w:rFonts w:ascii="Times New Roman" w:hAnsi="Times New Roman" w:cs="Times New Roman"/>
          <w:sz w:val="24"/>
          <w:szCs w:val="24"/>
        </w:rPr>
        <w:t xml:space="preserve">Zainstalowanie 4 paneli oznaczać będzie produkcję energii na poziomie </w:t>
      </w:r>
      <w:r w:rsidR="002235C0" w:rsidRPr="00BE6FA1">
        <w:rPr>
          <w:rFonts w:ascii="Times New Roman" w:hAnsi="Times New Roman" w:cs="Times New Roman"/>
          <w:sz w:val="24"/>
          <w:szCs w:val="24"/>
        </w:rPr>
        <w:br/>
        <w:t>920 kWh.</w:t>
      </w:r>
    </w:p>
    <w:p w:rsidR="002235C0" w:rsidRPr="00BE6FA1" w:rsidRDefault="002235C0" w:rsidP="003A27DA">
      <w:pPr>
        <w:pStyle w:val="Akapitzlist"/>
        <w:spacing w:line="360" w:lineRule="auto"/>
        <w:ind w:left="0" w:firstLine="720"/>
        <w:jc w:val="both"/>
        <w:rPr>
          <w:rFonts w:ascii="Times New Roman" w:hAnsi="Times New Roman" w:cs="Times New Roman"/>
          <w:sz w:val="24"/>
          <w:szCs w:val="24"/>
        </w:rPr>
      </w:pPr>
      <w:r w:rsidRPr="00BE6FA1">
        <w:rPr>
          <w:rFonts w:ascii="Times New Roman" w:hAnsi="Times New Roman" w:cs="Times New Roman"/>
          <w:sz w:val="24"/>
          <w:szCs w:val="24"/>
        </w:rPr>
        <w:t xml:space="preserve">Przyjęto, iż montaż mikroinstalacji fotowoltaicznej dla budynków jednorodzinnych </w:t>
      </w:r>
      <w:r w:rsidR="00862824">
        <w:rPr>
          <w:rFonts w:ascii="Times New Roman" w:hAnsi="Times New Roman" w:cs="Times New Roman"/>
          <w:sz w:val="24"/>
          <w:szCs w:val="24"/>
        </w:rPr>
        <w:br/>
      </w:r>
      <w:r w:rsidRPr="00BE6FA1">
        <w:rPr>
          <w:rFonts w:ascii="Times New Roman" w:hAnsi="Times New Roman" w:cs="Times New Roman"/>
          <w:sz w:val="24"/>
          <w:szCs w:val="24"/>
        </w:rPr>
        <w:t>o mocy 1 kW daje roczną produkcję energi</w:t>
      </w:r>
      <w:r w:rsidR="00862824">
        <w:rPr>
          <w:rFonts w:ascii="Times New Roman" w:hAnsi="Times New Roman" w:cs="Times New Roman"/>
          <w:sz w:val="24"/>
          <w:szCs w:val="24"/>
        </w:rPr>
        <w:t>i</w:t>
      </w:r>
      <w:r w:rsidRPr="00BE6FA1">
        <w:rPr>
          <w:rFonts w:ascii="Times New Roman" w:hAnsi="Times New Roman" w:cs="Times New Roman"/>
          <w:sz w:val="24"/>
          <w:szCs w:val="24"/>
        </w:rPr>
        <w:t xml:space="preserve"> na poziomie 920 kWh.</w:t>
      </w:r>
    </w:p>
    <w:p w:rsidR="00DB5CB5" w:rsidRPr="00BE6FA1" w:rsidRDefault="00DB5CB5" w:rsidP="003A27DA">
      <w:pPr>
        <w:pStyle w:val="Akapitzlist"/>
        <w:spacing w:line="360" w:lineRule="auto"/>
        <w:ind w:left="0" w:firstLine="720"/>
        <w:jc w:val="both"/>
        <w:rPr>
          <w:rFonts w:ascii="Times New Roman" w:hAnsi="Times New Roman" w:cs="Times New Roman"/>
          <w:sz w:val="24"/>
          <w:szCs w:val="24"/>
        </w:rPr>
      </w:pPr>
    </w:p>
    <w:p w:rsidR="009D09A0" w:rsidRDefault="009D09A0" w:rsidP="003A27DA">
      <w:pPr>
        <w:pStyle w:val="Akapitzlist"/>
        <w:spacing w:line="360" w:lineRule="auto"/>
        <w:ind w:left="0" w:firstLine="720"/>
        <w:jc w:val="both"/>
        <w:rPr>
          <w:rFonts w:ascii="Times New Roman" w:hAnsi="Times New Roman" w:cs="Times New Roman"/>
          <w:sz w:val="24"/>
          <w:szCs w:val="24"/>
        </w:rPr>
      </w:pPr>
    </w:p>
    <w:p w:rsidR="00301D74" w:rsidRDefault="00301D74" w:rsidP="003A27DA">
      <w:pPr>
        <w:pStyle w:val="Akapitzlist"/>
        <w:spacing w:line="360" w:lineRule="auto"/>
        <w:ind w:left="0" w:firstLine="720"/>
        <w:jc w:val="both"/>
        <w:rPr>
          <w:rFonts w:ascii="Times New Roman" w:hAnsi="Times New Roman" w:cs="Times New Roman"/>
          <w:sz w:val="24"/>
          <w:szCs w:val="24"/>
        </w:rPr>
      </w:pPr>
    </w:p>
    <w:p w:rsidR="00301D74" w:rsidRDefault="00301D74" w:rsidP="003A27DA">
      <w:pPr>
        <w:pStyle w:val="Akapitzlist"/>
        <w:spacing w:line="360" w:lineRule="auto"/>
        <w:ind w:left="0" w:firstLine="720"/>
        <w:jc w:val="both"/>
        <w:rPr>
          <w:rFonts w:ascii="Times New Roman" w:hAnsi="Times New Roman" w:cs="Times New Roman"/>
          <w:sz w:val="24"/>
          <w:szCs w:val="24"/>
        </w:rPr>
      </w:pPr>
    </w:p>
    <w:p w:rsidR="00301D74" w:rsidRDefault="00301D74" w:rsidP="003A27DA">
      <w:pPr>
        <w:pStyle w:val="Akapitzlist"/>
        <w:spacing w:line="360" w:lineRule="auto"/>
        <w:ind w:left="0" w:firstLine="720"/>
        <w:jc w:val="both"/>
        <w:rPr>
          <w:rFonts w:ascii="Times New Roman" w:hAnsi="Times New Roman" w:cs="Times New Roman"/>
          <w:sz w:val="24"/>
          <w:szCs w:val="24"/>
        </w:rPr>
      </w:pPr>
    </w:p>
    <w:p w:rsidR="00301D74" w:rsidRDefault="00301D74" w:rsidP="003A27DA">
      <w:pPr>
        <w:pStyle w:val="Akapitzlist"/>
        <w:spacing w:line="360" w:lineRule="auto"/>
        <w:ind w:left="0" w:firstLine="720"/>
        <w:jc w:val="both"/>
        <w:rPr>
          <w:rFonts w:ascii="Times New Roman" w:hAnsi="Times New Roman" w:cs="Times New Roman"/>
          <w:sz w:val="24"/>
          <w:szCs w:val="24"/>
        </w:rPr>
      </w:pPr>
    </w:p>
    <w:p w:rsidR="00301D74" w:rsidRPr="00BE6FA1" w:rsidRDefault="00301D74" w:rsidP="003A27DA">
      <w:pPr>
        <w:pStyle w:val="Akapitzlist"/>
        <w:spacing w:line="360" w:lineRule="auto"/>
        <w:ind w:left="0" w:firstLine="720"/>
        <w:jc w:val="both"/>
        <w:rPr>
          <w:rFonts w:ascii="Times New Roman" w:hAnsi="Times New Roman" w:cs="Times New Roman"/>
          <w:sz w:val="24"/>
          <w:szCs w:val="24"/>
        </w:rPr>
      </w:pPr>
    </w:p>
    <w:p w:rsidR="00CE0A91" w:rsidRPr="00301D74" w:rsidRDefault="00301D74" w:rsidP="00301D74">
      <w:pPr>
        <w:pStyle w:val="Nagwek2"/>
        <w:spacing w:after="120" w:line="360" w:lineRule="auto"/>
        <w:jc w:val="both"/>
        <w:rPr>
          <w:rFonts w:ascii="Times New Roman" w:hAnsi="Times New Roman" w:cs="Times New Roman"/>
          <w:color w:val="auto"/>
        </w:rPr>
      </w:pPr>
      <w:bookmarkStart w:id="198" w:name="_Toc442426541"/>
      <w:bookmarkStart w:id="199" w:name="_Toc449097759"/>
      <w:r>
        <w:rPr>
          <w:rStyle w:val="Nagwek2Znak"/>
          <w:rFonts w:ascii="Times New Roman" w:hAnsi="Times New Roman" w:cs="Times New Roman"/>
          <w:b/>
          <w:bCs/>
          <w:color w:val="auto"/>
        </w:rPr>
        <w:lastRenderedPageBreak/>
        <w:t>Aspekty organizacyjne i m</w:t>
      </w:r>
      <w:r w:rsidR="00CE0A91" w:rsidRPr="00BE6FA1">
        <w:rPr>
          <w:rStyle w:val="Nagwek2Znak"/>
          <w:rFonts w:ascii="Times New Roman" w:hAnsi="Times New Roman" w:cs="Times New Roman"/>
          <w:b/>
          <w:bCs/>
          <w:color w:val="auto"/>
        </w:rPr>
        <w:t xml:space="preserve">onitoring realizacji Planu Gospodarki Niskoemisyjnej dla Miasta i Gminy </w:t>
      </w:r>
      <w:bookmarkEnd w:id="198"/>
      <w:r w:rsidR="00CE0A91" w:rsidRPr="00BE6FA1">
        <w:rPr>
          <w:rStyle w:val="Nagwek2Znak"/>
          <w:rFonts w:ascii="Times New Roman" w:hAnsi="Times New Roman" w:cs="Times New Roman"/>
          <w:b/>
          <w:bCs/>
          <w:color w:val="auto"/>
        </w:rPr>
        <w:t>Kańczuga</w:t>
      </w:r>
      <w:bookmarkEnd w:id="199"/>
    </w:p>
    <w:p w:rsidR="00301D74" w:rsidRPr="00BD137B" w:rsidRDefault="00301D74" w:rsidP="00301D74">
      <w:pPr>
        <w:spacing w:line="360" w:lineRule="auto"/>
        <w:ind w:firstLine="708"/>
        <w:jc w:val="both"/>
        <w:rPr>
          <w:rFonts w:ascii="Times New Roman" w:hAnsi="Times New Roman" w:cs="Times New Roman"/>
          <w:sz w:val="24"/>
          <w:szCs w:val="24"/>
        </w:rPr>
      </w:pPr>
      <w:r w:rsidRPr="005E129D">
        <w:rPr>
          <w:rFonts w:ascii="Times New Roman" w:hAnsi="Times New Roman" w:cs="Times New Roman"/>
          <w:sz w:val="24"/>
          <w:szCs w:val="24"/>
        </w:rPr>
        <w:t xml:space="preserve">Jednostką odpowiedzialną za opracowanie i realizację Planu Gospodarki Niskoemisyjnej dla Miasta i Gminy Kańczuga są władze Gminy. </w:t>
      </w:r>
      <w:r w:rsidRPr="00BD137B">
        <w:rPr>
          <w:rFonts w:ascii="Times New Roman" w:hAnsi="Times New Roman" w:cs="Times New Roman"/>
          <w:sz w:val="24"/>
          <w:szCs w:val="24"/>
        </w:rPr>
        <w:t xml:space="preserve">Opracowanie i wdrażanie Planu Gospodarki Niskoemisyjnej </w:t>
      </w:r>
      <w:r>
        <w:rPr>
          <w:rFonts w:ascii="Times New Roman" w:hAnsi="Times New Roman" w:cs="Times New Roman"/>
          <w:sz w:val="24"/>
          <w:szCs w:val="24"/>
        </w:rPr>
        <w:t xml:space="preserve">wiąże </w:t>
      </w:r>
      <w:r w:rsidRPr="00BD137B">
        <w:rPr>
          <w:rFonts w:ascii="Times New Roman" w:hAnsi="Times New Roman" w:cs="Times New Roman"/>
          <w:sz w:val="24"/>
          <w:szCs w:val="24"/>
        </w:rPr>
        <w:t>się z zapewnieniem odpowiednich z</w:t>
      </w:r>
      <w:r>
        <w:rPr>
          <w:rFonts w:ascii="Times New Roman" w:hAnsi="Times New Roman" w:cs="Times New Roman"/>
          <w:sz w:val="24"/>
          <w:szCs w:val="24"/>
        </w:rPr>
        <w:t xml:space="preserve">asobów kadrowych i finansowych. </w:t>
      </w:r>
      <w:r w:rsidRPr="00BD137B">
        <w:rPr>
          <w:rFonts w:ascii="Times New Roman" w:hAnsi="Times New Roman" w:cs="Times New Roman"/>
          <w:sz w:val="24"/>
          <w:szCs w:val="24"/>
        </w:rPr>
        <w:t>Przygotowywanie i wdrażanie PGN to proces wymagający systematycznego p</w:t>
      </w:r>
      <w:r>
        <w:rPr>
          <w:rFonts w:ascii="Times New Roman" w:hAnsi="Times New Roman" w:cs="Times New Roman"/>
          <w:sz w:val="24"/>
          <w:szCs w:val="24"/>
        </w:rPr>
        <w:t xml:space="preserve">lanowania </w:t>
      </w:r>
      <w:r w:rsidRPr="00BD137B">
        <w:rPr>
          <w:rFonts w:ascii="Times New Roman" w:hAnsi="Times New Roman" w:cs="Times New Roman"/>
          <w:sz w:val="24"/>
          <w:szCs w:val="24"/>
        </w:rPr>
        <w:t xml:space="preserve">i zarządzania. </w:t>
      </w:r>
      <w:r w:rsidRPr="005E129D">
        <w:rPr>
          <w:rFonts w:ascii="Times New Roman" w:hAnsi="Times New Roman" w:cs="Times New Roman"/>
          <w:sz w:val="24"/>
          <w:szCs w:val="24"/>
        </w:rPr>
        <w:t>Burmistrz Miasta i Gminy</w:t>
      </w:r>
      <w:r>
        <w:rPr>
          <w:rFonts w:ascii="Times New Roman" w:hAnsi="Times New Roman" w:cs="Times New Roman"/>
          <w:sz w:val="24"/>
          <w:szCs w:val="24"/>
        </w:rPr>
        <w:t xml:space="preserve"> Kańczuga</w:t>
      </w:r>
      <w:r w:rsidRPr="005E129D">
        <w:rPr>
          <w:rFonts w:ascii="Times New Roman" w:hAnsi="Times New Roman" w:cs="Times New Roman"/>
          <w:sz w:val="24"/>
          <w:szCs w:val="24"/>
        </w:rPr>
        <w:t xml:space="preserve"> powierzy czynności związane z </w:t>
      </w:r>
      <w:r>
        <w:rPr>
          <w:rFonts w:ascii="Times New Roman" w:hAnsi="Times New Roman" w:cs="Times New Roman"/>
          <w:sz w:val="24"/>
          <w:szCs w:val="24"/>
        </w:rPr>
        <w:t xml:space="preserve">wdrażaniem Planu i </w:t>
      </w:r>
      <w:r w:rsidRPr="005E129D">
        <w:rPr>
          <w:rFonts w:ascii="Times New Roman" w:hAnsi="Times New Roman" w:cs="Times New Roman"/>
          <w:sz w:val="24"/>
          <w:szCs w:val="24"/>
        </w:rPr>
        <w:t xml:space="preserve">prowadzeniem monitoringu pracownikom obejmującym </w:t>
      </w:r>
      <w:r w:rsidRPr="005E129D">
        <w:rPr>
          <w:rFonts w:ascii="Times New Roman" w:hAnsi="Times New Roman" w:cs="Times New Roman"/>
          <w:bCs/>
          <w:sz w:val="24"/>
          <w:szCs w:val="24"/>
        </w:rPr>
        <w:t xml:space="preserve">stanowiska  ds.  ochrony  środowiska i gospodarki odpadami, </w:t>
      </w:r>
      <w:r w:rsidRPr="005E129D">
        <w:rPr>
          <w:rFonts w:ascii="Times New Roman" w:hAnsi="Times New Roman" w:cs="Times New Roman"/>
          <w:sz w:val="24"/>
          <w:szCs w:val="24"/>
        </w:rPr>
        <w:t xml:space="preserve">ponieważ do ich obowiązków należy inicjowanie i nadzorowanie realizacji inwestycji w zakresie poprawy ochrony naturalnego środowiska na terenie gminy. </w:t>
      </w:r>
      <w:r w:rsidRPr="005E129D">
        <w:rPr>
          <w:rFonts w:ascii="Times New Roman" w:hAnsi="Times New Roman" w:cs="Times New Roman"/>
          <w:sz w:val="24"/>
        </w:rPr>
        <w:t xml:space="preserve">Kompleksowe wykonanie PGN wiąże się </w:t>
      </w:r>
      <w:r>
        <w:rPr>
          <w:rFonts w:ascii="Times New Roman" w:hAnsi="Times New Roman" w:cs="Times New Roman"/>
          <w:sz w:val="24"/>
        </w:rPr>
        <w:t>również</w:t>
      </w:r>
      <w:r w:rsidRPr="005E129D">
        <w:rPr>
          <w:rFonts w:ascii="Times New Roman" w:hAnsi="Times New Roman" w:cs="Times New Roman"/>
          <w:sz w:val="24"/>
        </w:rPr>
        <w:t xml:space="preserve"> z współpracą różnych działów oraz osób w ramach struktur Urzędu Miasta i Gminy. </w:t>
      </w:r>
      <w:r w:rsidRPr="005E129D">
        <w:rPr>
          <w:rFonts w:ascii="Times New Roman" w:hAnsi="Times New Roman" w:cs="Times New Roman"/>
          <w:sz w:val="24"/>
          <w:szCs w:val="24"/>
        </w:rPr>
        <w:t xml:space="preserve">Urzędnicy obok danych dotyczących końcowego zużycia energii, będą również zbierali </w:t>
      </w:r>
      <w:r>
        <w:rPr>
          <w:rFonts w:ascii="Times New Roman" w:hAnsi="Times New Roman" w:cs="Times New Roman"/>
          <w:sz w:val="24"/>
          <w:szCs w:val="24"/>
        </w:rPr>
        <w:br/>
      </w:r>
      <w:r w:rsidRPr="005E129D">
        <w:rPr>
          <w:rFonts w:ascii="Times New Roman" w:hAnsi="Times New Roman" w:cs="Times New Roman"/>
          <w:sz w:val="24"/>
          <w:szCs w:val="24"/>
        </w:rPr>
        <w:t>i analizowali informacje o kosztach i terminach realizacji działań. Do ich zadań należeć będzie również udzielanie wsparcia na etapie wdrażania PGN,</w:t>
      </w:r>
      <w:r w:rsidRPr="005E129D">
        <w:rPr>
          <w:rFonts w:ascii="Times New Roman" w:hAnsi="Times New Roman" w:cs="Times New Roman"/>
          <w:sz w:val="24"/>
        </w:rPr>
        <w:t xml:space="preserve"> </w:t>
      </w:r>
      <w:r w:rsidRPr="0027608C">
        <w:rPr>
          <w:rFonts w:ascii="Times New Roman" w:hAnsi="Times New Roman" w:cs="Times New Roman"/>
          <w:sz w:val="24"/>
        </w:rPr>
        <w:t>monitorowa</w:t>
      </w:r>
      <w:r>
        <w:rPr>
          <w:rFonts w:ascii="Times New Roman" w:hAnsi="Times New Roman" w:cs="Times New Roman"/>
          <w:sz w:val="24"/>
        </w:rPr>
        <w:t>nie dostępności</w:t>
      </w:r>
      <w:r w:rsidRPr="0027608C">
        <w:rPr>
          <w:rFonts w:ascii="Times New Roman" w:hAnsi="Times New Roman" w:cs="Times New Roman"/>
          <w:sz w:val="24"/>
        </w:rPr>
        <w:t xml:space="preserve"> zewnętrznych środków finansowych umożliwiających realizację zadań</w:t>
      </w:r>
      <w:r>
        <w:rPr>
          <w:rFonts w:ascii="Times New Roman" w:hAnsi="Times New Roman" w:cs="Times New Roman"/>
          <w:sz w:val="24"/>
        </w:rPr>
        <w:t>,</w:t>
      </w:r>
      <w:r w:rsidRPr="0027608C">
        <w:rPr>
          <w:rFonts w:ascii="Times New Roman" w:hAnsi="Times New Roman" w:cs="Times New Roman"/>
          <w:sz w:val="24"/>
        </w:rPr>
        <w:t xml:space="preserve"> </w:t>
      </w:r>
      <w:r w:rsidRPr="005E129D">
        <w:rPr>
          <w:rFonts w:ascii="Times New Roman" w:hAnsi="Times New Roman" w:cs="Times New Roman"/>
          <w:sz w:val="24"/>
        </w:rPr>
        <w:t xml:space="preserve">dbanie, aby cele </w:t>
      </w:r>
      <w:r>
        <w:rPr>
          <w:rFonts w:ascii="Times New Roman" w:hAnsi="Times New Roman" w:cs="Times New Roman"/>
          <w:sz w:val="24"/>
        </w:rPr>
        <w:br/>
      </w:r>
      <w:r w:rsidRPr="005E129D">
        <w:rPr>
          <w:rFonts w:ascii="Times New Roman" w:hAnsi="Times New Roman" w:cs="Times New Roman"/>
          <w:sz w:val="24"/>
        </w:rPr>
        <w:t xml:space="preserve">i kierunki działań wyznaczone w Planie Gospodarki Niskoemisyjnej były przyjmowane </w:t>
      </w:r>
      <w:r>
        <w:rPr>
          <w:rFonts w:ascii="Times New Roman" w:hAnsi="Times New Roman" w:cs="Times New Roman"/>
          <w:sz w:val="24"/>
        </w:rPr>
        <w:br/>
      </w:r>
      <w:r w:rsidRPr="005E129D">
        <w:rPr>
          <w:rFonts w:ascii="Times New Roman" w:hAnsi="Times New Roman" w:cs="Times New Roman"/>
          <w:sz w:val="24"/>
        </w:rPr>
        <w:t xml:space="preserve">w zapisach prawa lokalnego oraz uwzględniane w dokumentach strategicznych </w:t>
      </w:r>
      <w:r>
        <w:rPr>
          <w:rFonts w:ascii="Times New Roman" w:hAnsi="Times New Roman" w:cs="Times New Roman"/>
          <w:sz w:val="24"/>
        </w:rPr>
        <w:br/>
      </w:r>
      <w:r w:rsidRPr="005E129D">
        <w:rPr>
          <w:rFonts w:ascii="Times New Roman" w:hAnsi="Times New Roman" w:cs="Times New Roman"/>
          <w:sz w:val="24"/>
        </w:rPr>
        <w:t xml:space="preserve">i planistycznych Miasta i Gminy Kańczuga. </w:t>
      </w:r>
    </w:p>
    <w:p w:rsidR="009D09A0" w:rsidRPr="00BE6FA1" w:rsidRDefault="009D09A0" w:rsidP="009D09A0">
      <w:pPr>
        <w:spacing w:line="360" w:lineRule="auto"/>
        <w:ind w:firstLine="720"/>
        <w:jc w:val="both"/>
        <w:rPr>
          <w:rFonts w:ascii="Times New Roman" w:hAnsi="Times New Roman" w:cs="Times New Roman"/>
          <w:sz w:val="24"/>
        </w:rPr>
      </w:pPr>
      <w:r w:rsidRPr="00BE6FA1">
        <w:rPr>
          <w:rFonts w:ascii="Times New Roman" w:hAnsi="Times New Roman" w:cs="Times New Roman"/>
          <w:sz w:val="24"/>
          <w:szCs w:val="24"/>
        </w:rPr>
        <w:t xml:space="preserve">Monitoring i raportowanie jest jedną z bardzo istotnych części wdrażania PGN. Jego celem </w:t>
      </w:r>
      <w:r w:rsidRPr="00BE6FA1">
        <w:rPr>
          <w:rFonts w:ascii="Times New Roman" w:hAnsi="Times New Roman" w:cs="Times New Roman"/>
          <w:sz w:val="24"/>
        </w:rPr>
        <w:t xml:space="preserve">jest ocena stanu środowiska - czy stan środowiska ulega polepszeniu czy pogorszeniu - poprzez zbieranie, analizowanie i udostępnianie danych dotyczących jakości środowiska </w:t>
      </w:r>
      <w:r w:rsidRPr="00BE6FA1">
        <w:rPr>
          <w:rFonts w:ascii="Times New Roman" w:hAnsi="Times New Roman" w:cs="Times New Roman"/>
          <w:sz w:val="24"/>
        </w:rPr>
        <w:br/>
        <w:t>i zachodzących w nim zmian. Należy dążyć do obniżenia do 2020 roku wartości emisji oraz zużycia paliw przy jednoczesnym wzroście wykorzystania odnawialnych źródeł energii.</w:t>
      </w:r>
    </w:p>
    <w:p w:rsidR="00BD137B" w:rsidRDefault="009D09A0" w:rsidP="009D09A0">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rPr>
        <w:t xml:space="preserve"> Monitoring jest również podstawą oceny efektywności wdrażania polityki środowiskowej. </w:t>
      </w:r>
      <w:r w:rsidRPr="00BE6FA1">
        <w:rPr>
          <w:rFonts w:ascii="Times New Roman" w:hAnsi="Times New Roman" w:cs="Times New Roman"/>
          <w:sz w:val="24"/>
          <w:szCs w:val="24"/>
        </w:rPr>
        <w:t>Poradnik jak opracować plan działań na rzecz zrównoważonej energii (SEAP) zaleca, aby Raport z wdrażania PGN składać co dwa lata od dnia jego złożenia.  Raport ten powinien zawierać</w:t>
      </w:r>
      <w:r w:rsidR="00BD137B">
        <w:rPr>
          <w:rFonts w:ascii="Times New Roman" w:hAnsi="Times New Roman" w:cs="Times New Roman"/>
          <w:sz w:val="24"/>
          <w:szCs w:val="24"/>
        </w:rPr>
        <w:t>:</w:t>
      </w:r>
    </w:p>
    <w:p w:rsidR="00BD137B" w:rsidRDefault="009D09A0" w:rsidP="00BD137B">
      <w:pPr>
        <w:pStyle w:val="Akapitzlist"/>
        <w:numPr>
          <w:ilvl w:val="0"/>
          <w:numId w:val="72"/>
        </w:numPr>
        <w:spacing w:line="360" w:lineRule="auto"/>
        <w:jc w:val="both"/>
        <w:rPr>
          <w:rFonts w:ascii="Times New Roman" w:hAnsi="Times New Roman" w:cs="Times New Roman"/>
          <w:sz w:val="24"/>
          <w:szCs w:val="24"/>
        </w:rPr>
      </w:pPr>
      <w:r w:rsidRPr="00BD137B">
        <w:rPr>
          <w:rFonts w:ascii="Times New Roman" w:hAnsi="Times New Roman" w:cs="Times New Roman"/>
          <w:sz w:val="24"/>
          <w:szCs w:val="24"/>
        </w:rPr>
        <w:t>wyniki aktualnej inwentaryzacji emisji CO</w:t>
      </w:r>
      <w:r w:rsidRPr="00BD137B">
        <w:rPr>
          <w:rFonts w:ascii="Times New Roman" w:hAnsi="Times New Roman" w:cs="Times New Roman"/>
          <w:sz w:val="24"/>
          <w:szCs w:val="24"/>
          <w:vertAlign w:val="subscript"/>
        </w:rPr>
        <w:t>2</w:t>
      </w:r>
      <w:r w:rsidR="00BD137B">
        <w:rPr>
          <w:rFonts w:ascii="Times New Roman" w:hAnsi="Times New Roman" w:cs="Times New Roman"/>
          <w:sz w:val="24"/>
          <w:szCs w:val="24"/>
        </w:rPr>
        <w:t>,</w:t>
      </w:r>
    </w:p>
    <w:p w:rsidR="00BD137B" w:rsidRDefault="00BD137B" w:rsidP="00BD137B">
      <w:pPr>
        <w:pStyle w:val="Akapitzlist"/>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dane dotyczące zużycia</w:t>
      </w:r>
      <w:r w:rsidRPr="00BD137B">
        <w:rPr>
          <w:rFonts w:ascii="Times New Roman" w:hAnsi="Times New Roman" w:cs="Times New Roman"/>
          <w:sz w:val="24"/>
          <w:szCs w:val="24"/>
        </w:rPr>
        <w:t xml:space="preserve"> energii</w:t>
      </w:r>
      <w:r>
        <w:rPr>
          <w:rFonts w:ascii="Times New Roman" w:hAnsi="Times New Roman" w:cs="Times New Roman"/>
          <w:sz w:val="24"/>
          <w:szCs w:val="24"/>
        </w:rPr>
        <w:t xml:space="preserve"> w gminie,</w:t>
      </w:r>
    </w:p>
    <w:p w:rsidR="0027608C" w:rsidRDefault="0027608C" w:rsidP="00BD137B">
      <w:pPr>
        <w:pStyle w:val="Akapitzlist"/>
        <w:numPr>
          <w:ilvl w:val="0"/>
          <w:numId w:val="72"/>
        </w:numPr>
        <w:spacing w:line="360" w:lineRule="auto"/>
        <w:jc w:val="both"/>
        <w:rPr>
          <w:rFonts w:ascii="Times New Roman" w:hAnsi="Times New Roman" w:cs="Times New Roman"/>
          <w:sz w:val="24"/>
          <w:szCs w:val="24"/>
        </w:rPr>
      </w:pPr>
      <w:r w:rsidRPr="00BD137B">
        <w:rPr>
          <w:rFonts w:ascii="Times New Roman" w:hAnsi="Times New Roman" w:cs="Times New Roman"/>
          <w:sz w:val="24"/>
          <w:szCs w:val="24"/>
        </w:rPr>
        <w:t>dane niez</w:t>
      </w:r>
      <w:r>
        <w:rPr>
          <w:rFonts w:ascii="Times New Roman" w:hAnsi="Times New Roman" w:cs="Times New Roman"/>
          <w:sz w:val="24"/>
          <w:szCs w:val="24"/>
        </w:rPr>
        <w:t>będne do oceny realizacji Planu,</w:t>
      </w:r>
    </w:p>
    <w:p w:rsidR="00BD137B" w:rsidRPr="0027608C" w:rsidRDefault="00BD137B" w:rsidP="0027608C">
      <w:pPr>
        <w:pStyle w:val="Akapitzlist"/>
        <w:numPr>
          <w:ilvl w:val="0"/>
          <w:numId w:val="72"/>
        </w:numPr>
        <w:spacing w:line="360" w:lineRule="auto"/>
        <w:jc w:val="both"/>
        <w:rPr>
          <w:rFonts w:ascii="Times New Roman" w:hAnsi="Times New Roman" w:cs="Times New Roman"/>
          <w:sz w:val="24"/>
          <w:szCs w:val="24"/>
        </w:rPr>
      </w:pPr>
      <w:r w:rsidRPr="00BD137B">
        <w:rPr>
          <w:rFonts w:ascii="Times New Roman" w:hAnsi="Times New Roman" w:cs="Times New Roman"/>
          <w:sz w:val="24"/>
          <w:szCs w:val="24"/>
        </w:rPr>
        <w:t>postępy realizacji Planu i prowadzonych działań</w:t>
      </w:r>
      <w:r w:rsidR="0027608C">
        <w:rPr>
          <w:rFonts w:ascii="Times New Roman" w:hAnsi="Times New Roman" w:cs="Times New Roman"/>
          <w:sz w:val="24"/>
          <w:szCs w:val="24"/>
        </w:rPr>
        <w:t>.</w:t>
      </w:r>
    </w:p>
    <w:p w:rsidR="00CB7980" w:rsidRPr="00BD137B" w:rsidRDefault="00BD137B" w:rsidP="00301D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I</w:t>
      </w:r>
      <w:r w:rsidR="009D09A0" w:rsidRPr="00BD137B">
        <w:rPr>
          <w:rFonts w:ascii="Times New Roman" w:hAnsi="Times New Roman" w:cs="Times New Roman"/>
          <w:sz w:val="24"/>
          <w:szCs w:val="24"/>
        </w:rPr>
        <w:t>nwentaryzacja zalecana jest co roku. W ten sposób w jednym raporcie zostaną przedstawione zrealizowane działania oraz efekty ich realizacji. Finalne podsumowanie postępów nastąpi po roku 202</w:t>
      </w:r>
      <w:r w:rsidR="00D06187" w:rsidRPr="00BD137B">
        <w:rPr>
          <w:rFonts w:ascii="Times New Roman" w:hAnsi="Times New Roman" w:cs="Times New Roman"/>
          <w:sz w:val="24"/>
          <w:szCs w:val="24"/>
        </w:rPr>
        <w:t>1</w:t>
      </w:r>
      <w:r w:rsidR="009D09A0" w:rsidRPr="00BD137B">
        <w:rPr>
          <w:rFonts w:ascii="Times New Roman" w:hAnsi="Times New Roman" w:cs="Times New Roman"/>
          <w:sz w:val="24"/>
          <w:szCs w:val="24"/>
        </w:rPr>
        <w:t xml:space="preserve">, umożliwiając ocenę skuteczności PGN. W tab. nr </w:t>
      </w:r>
      <w:r w:rsidR="00301D74">
        <w:rPr>
          <w:rFonts w:ascii="Times New Roman" w:hAnsi="Times New Roman" w:cs="Times New Roman"/>
          <w:sz w:val="24"/>
          <w:szCs w:val="24"/>
        </w:rPr>
        <w:t>22</w:t>
      </w:r>
      <w:r w:rsidR="009D09A0" w:rsidRPr="00BD137B">
        <w:rPr>
          <w:rFonts w:ascii="Times New Roman" w:hAnsi="Times New Roman" w:cs="Times New Roman"/>
          <w:sz w:val="24"/>
          <w:szCs w:val="24"/>
        </w:rPr>
        <w:t xml:space="preserve"> („Krótko/średnioterminowe działania/zadania na lata 2016 – 202</w:t>
      </w:r>
      <w:r w:rsidR="00D06187" w:rsidRPr="00BD137B">
        <w:rPr>
          <w:rFonts w:ascii="Times New Roman" w:hAnsi="Times New Roman" w:cs="Times New Roman"/>
          <w:sz w:val="24"/>
          <w:szCs w:val="24"/>
        </w:rPr>
        <w:t>1</w:t>
      </w:r>
      <w:r w:rsidR="009D09A0" w:rsidRPr="00BD137B">
        <w:rPr>
          <w:rFonts w:ascii="Times New Roman" w:hAnsi="Times New Roman" w:cs="Times New Roman"/>
          <w:sz w:val="24"/>
          <w:szCs w:val="24"/>
        </w:rPr>
        <w:t xml:space="preserve"> w mieście i gminie Kańczuga”) uwzględniono utworzenie systemu organizacyjnego dla realizacji działań naprawczych zapisanych w PGN, którego celem będzie m.in. monitorowanie efektów działań naprawczych. Wszelkie zmiany oraz aktualizacje w Planie Gospodarki Niskoemisyjnej dla Miasta i Gminy Kańczuga wprowadzane będą w trybie uchwały Rady Gminy.</w:t>
      </w:r>
      <w:r w:rsidR="00250013" w:rsidRPr="005E129D">
        <w:rPr>
          <w:rFonts w:ascii="Times New Roman" w:hAnsi="Times New Roman" w:cs="Times New Roman"/>
          <w:sz w:val="24"/>
        </w:rPr>
        <w:t xml:space="preserve"> </w:t>
      </w:r>
    </w:p>
    <w:p w:rsidR="005E129D" w:rsidRPr="00BE6FA1" w:rsidRDefault="005E129D" w:rsidP="005E129D">
      <w:pPr>
        <w:pStyle w:val="Stopka"/>
        <w:tabs>
          <w:tab w:val="left" w:pos="708"/>
        </w:tabs>
        <w:spacing w:line="360" w:lineRule="auto"/>
        <w:jc w:val="both"/>
        <w:rPr>
          <w:rFonts w:ascii="Times New Roman" w:hAnsi="Times New Roman" w:cs="Times New Roman"/>
          <w:bCs/>
          <w:sz w:val="24"/>
          <w:szCs w:val="24"/>
        </w:rPr>
      </w:pPr>
      <w:r w:rsidRPr="005E129D">
        <w:rPr>
          <w:rFonts w:ascii="Times New Roman" w:hAnsi="Times New Roman" w:cs="Times New Roman"/>
          <w:sz w:val="24"/>
          <w:szCs w:val="24"/>
        </w:rPr>
        <w:tab/>
        <w:t>Prowadzenie monitoringu oraz wdrażanie PGN wiąże się z dużym wysiłkiem oraz wysokim stopniem zaangażowania środków ludzkich i finansowych</w:t>
      </w:r>
      <w:r w:rsidRPr="005E129D">
        <w:rPr>
          <w:rFonts w:ascii="Times New Roman" w:eastAsia="Times New Roman" w:hAnsi="Times New Roman" w:cs="Times New Roman"/>
          <w:sz w:val="24"/>
          <w:szCs w:val="24"/>
        </w:rPr>
        <w:t>. Niezbędna jest w tym</w:t>
      </w:r>
      <w:r w:rsidRPr="00BE6FA1">
        <w:rPr>
          <w:rFonts w:ascii="Times New Roman" w:eastAsia="Times New Roman" w:hAnsi="Times New Roman" w:cs="Times New Roman"/>
          <w:sz w:val="24"/>
          <w:szCs w:val="24"/>
        </w:rPr>
        <w:t xml:space="preserve"> zakresie współpraca z następującymi podmiotami funkcjonującymi na terenie miasta</w:t>
      </w:r>
      <w:r>
        <w:rPr>
          <w:rFonts w:ascii="Times New Roman" w:eastAsia="Times New Roman" w:hAnsi="Times New Roman" w:cs="Times New Roman"/>
          <w:sz w:val="24"/>
          <w:szCs w:val="24"/>
        </w:rPr>
        <w:t xml:space="preserve"> i gminy</w:t>
      </w:r>
      <w:r w:rsidRPr="00BE6FA1">
        <w:rPr>
          <w:rFonts w:ascii="Times New Roman" w:eastAsia="Times New Roman" w:hAnsi="Times New Roman" w:cs="Times New Roman"/>
          <w:sz w:val="24"/>
          <w:szCs w:val="24"/>
        </w:rPr>
        <w:t>:</w:t>
      </w:r>
    </w:p>
    <w:p w:rsidR="005E129D" w:rsidRPr="00BE6FA1" w:rsidRDefault="005E129D" w:rsidP="005E129D">
      <w:pPr>
        <w:numPr>
          <w:ilvl w:val="0"/>
          <w:numId w:val="53"/>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przedsiębiorstwa energetyczne,</w:t>
      </w:r>
    </w:p>
    <w:p w:rsidR="005E129D" w:rsidRPr="00BE6FA1" w:rsidRDefault="005E129D" w:rsidP="005E129D">
      <w:pPr>
        <w:numPr>
          <w:ilvl w:val="0"/>
          <w:numId w:val="53"/>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firmy i instytucje,</w:t>
      </w:r>
    </w:p>
    <w:p w:rsidR="005E129D" w:rsidRPr="00BE6FA1" w:rsidRDefault="005E129D" w:rsidP="005E129D">
      <w:pPr>
        <w:numPr>
          <w:ilvl w:val="0"/>
          <w:numId w:val="53"/>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przedsiębiorstwa produkcyjne,</w:t>
      </w:r>
    </w:p>
    <w:p w:rsidR="005E129D" w:rsidRDefault="005E129D" w:rsidP="00250013">
      <w:pPr>
        <w:numPr>
          <w:ilvl w:val="0"/>
          <w:numId w:val="53"/>
        </w:numPr>
        <w:spacing w:after="0" w:line="360" w:lineRule="auto"/>
        <w:jc w:val="both"/>
        <w:rPr>
          <w:rFonts w:ascii="Times New Roman" w:eastAsia="Times New Roman" w:hAnsi="Times New Roman" w:cs="Times New Roman"/>
          <w:sz w:val="24"/>
          <w:szCs w:val="24"/>
        </w:rPr>
      </w:pPr>
      <w:r w:rsidRPr="00BE6FA1">
        <w:rPr>
          <w:rFonts w:ascii="Times New Roman" w:eastAsia="Times New Roman" w:hAnsi="Times New Roman" w:cs="Times New Roman"/>
          <w:sz w:val="24"/>
          <w:szCs w:val="24"/>
        </w:rPr>
        <w:t>mieszkańcy Miasta</w:t>
      </w:r>
      <w:r>
        <w:rPr>
          <w:rFonts w:ascii="Times New Roman" w:eastAsia="Times New Roman" w:hAnsi="Times New Roman" w:cs="Times New Roman"/>
          <w:sz w:val="24"/>
          <w:szCs w:val="24"/>
        </w:rPr>
        <w:t xml:space="preserve"> i Gminy</w:t>
      </w:r>
      <w:r w:rsidRPr="00BE6FA1">
        <w:rPr>
          <w:rFonts w:ascii="Times New Roman" w:eastAsia="Times New Roman" w:hAnsi="Times New Roman" w:cs="Times New Roman"/>
          <w:sz w:val="24"/>
          <w:szCs w:val="24"/>
        </w:rPr>
        <w:t>.</w:t>
      </w:r>
    </w:p>
    <w:p w:rsidR="005E129D" w:rsidRPr="005E129D" w:rsidRDefault="005E129D" w:rsidP="005E129D">
      <w:pPr>
        <w:spacing w:after="0" w:line="360" w:lineRule="auto"/>
        <w:ind w:left="720"/>
        <w:jc w:val="both"/>
        <w:rPr>
          <w:rFonts w:ascii="Times New Roman" w:eastAsia="Times New Roman" w:hAnsi="Times New Roman" w:cs="Times New Roman"/>
          <w:sz w:val="24"/>
          <w:szCs w:val="24"/>
        </w:rPr>
      </w:pPr>
    </w:p>
    <w:p w:rsidR="005E129D" w:rsidRDefault="005E129D" w:rsidP="005E129D">
      <w:pPr>
        <w:spacing w:line="360" w:lineRule="auto"/>
        <w:ind w:firstLine="708"/>
        <w:jc w:val="both"/>
        <w:rPr>
          <w:rFonts w:ascii="Times New Roman" w:hAnsi="Times New Roman" w:cs="Times New Roman"/>
          <w:sz w:val="24"/>
        </w:rPr>
      </w:pPr>
      <w:r w:rsidRPr="005E129D">
        <w:rPr>
          <w:rFonts w:ascii="Times New Roman" w:hAnsi="Times New Roman" w:cs="Times New Roman"/>
          <w:sz w:val="24"/>
        </w:rPr>
        <w:t xml:space="preserve">Zaangażowanie </w:t>
      </w:r>
      <w:r w:rsidR="00380CCA">
        <w:rPr>
          <w:rFonts w:ascii="Times New Roman" w:hAnsi="Times New Roman" w:cs="Times New Roman"/>
          <w:sz w:val="24"/>
        </w:rPr>
        <w:t>interesariuszy</w:t>
      </w:r>
      <w:r w:rsidRPr="005E129D">
        <w:rPr>
          <w:rFonts w:ascii="Times New Roman" w:hAnsi="Times New Roman" w:cs="Times New Roman"/>
          <w:sz w:val="24"/>
        </w:rPr>
        <w:t xml:space="preserve"> jest </w:t>
      </w:r>
      <w:r w:rsidR="00380CCA">
        <w:rPr>
          <w:rFonts w:ascii="Times New Roman" w:hAnsi="Times New Roman" w:cs="Times New Roman"/>
          <w:sz w:val="24"/>
        </w:rPr>
        <w:t>kluczowe</w:t>
      </w:r>
      <w:r w:rsidRPr="005E129D">
        <w:rPr>
          <w:rFonts w:ascii="Times New Roman" w:hAnsi="Times New Roman" w:cs="Times New Roman"/>
          <w:sz w:val="24"/>
        </w:rPr>
        <w:t xml:space="preserve"> nie tylko na etapie opracowywania PGN</w:t>
      </w:r>
      <w:r w:rsidR="00380CCA">
        <w:rPr>
          <w:rFonts w:ascii="Times New Roman" w:hAnsi="Times New Roman" w:cs="Times New Roman"/>
          <w:sz w:val="24"/>
        </w:rPr>
        <w:t>,</w:t>
      </w:r>
      <w:r w:rsidRPr="005E129D">
        <w:rPr>
          <w:rFonts w:ascii="Times New Roman" w:hAnsi="Times New Roman" w:cs="Times New Roman"/>
          <w:sz w:val="24"/>
        </w:rPr>
        <w:t xml:space="preserve"> ale również na etapie jego realizacji. </w:t>
      </w:r>
      <w:r w:rsidR="00380CCA">
        <w:rPr>
          <w:rFonts w:ascii="Times New Roman" w:hAnsi="Times New Roman" w:cs="Times New Roman"/>
          <w:sz w:val="24"/>
        </w:rPr>
        <w:t>Istotne jest</w:t>
      </w:r>
      <w:r w:rsidRPr="005E129D">
        <w:rPr>
          <w:rFonts w:ascii="Times New Roman" w:hAnsi="Times New Roman" w:cs="Times New Roman"/>
          <w:sz w:val="24"/>
        </w:rPr>
        <w:t xml:space="preserve"> aby </w:t>
      </w:r>
      <w:r w:rsidR="00BD137B">
        <w:rPr>
          <w:rFonts w:ascii="Times New Roman" w:hAnsi="Times New Roman" w:cs="Times New Roman"/>
          <w:sz w:val="24"/>
        </w:rPr>
        <w:t xml:space="preserve">wszystkie </w:t>
      </w:r>
      <w:r w:rsidRPr="005E129D">
        <w:rPr>
          <w:rFonts w:ascii="Times New Roman" w:hAnsi="Times New Roman" w:cs="Times New Roman"/>
          <w:sz w:val="24"/>
        </w:rPr>
        <w:t>zainteresowane grupy społeczne były zachęcane do wykonywania działań przyjętych w PGN</w:t>
      </w:r>
      <w:r w:rsidR="00380CCA">
        <w:rPr>
          <w:rFonts w:ascii="Times New Roman" w:hAnsi="Times New Roman" w:cs="Times New Roman"/>
          <w:sz w:val="24"/>
        </w:rPr>
        <w:t xml:space="preserve"> oraz informowane </w:t>
      </w:r>
      <w:r w:rsidR="00BD137B">
        <w:rPr>
          <w:rFonts w:ascii="Times New Roman" w:hAnsi="Times New Roman" w:cs="Times New Roman"/>
          <w:sz w:val="24"/>
        </w:rPr>
        <w:br/>
      </w:r>
      <w:r w:rsidR="00380CCA">
        <w:rPr>
          <w:rFonts w:ascii="Times New Roman" w:hAnsi="Times New Roman" w:cs="Times New Roman"/>
          <w:sz w:val="24"/>
        </w:rPr>
        <w:t xml:space="preserve">o problematyce </w:t>
      </w:r>
      <w:r w:rsidRPr="005E129D">
        <w:rPr>
          <w:rFonts w:ascii="Times New Roman" w:hAnsi="Times New Roman" w:cs="Times New Roman"/>
          <w:sz w:val="24"/>
        </w:rPr>
        <w:t>gospodarki niskoemisyjnej</w:t>
      </w:r>
      <w:r w:rsidR="00380CCA">
        <w:rPr>
          <w:rFonts w:ascii="Times New Roman" w:hAnsi="Times New Roman" w:cs="Times New Roman"/>
          <w:sz w:val="24"/>
        </w:rPr>
        <w:t>.</w:t>
      </w:r>
      <w:r w:rsidRPr="005E129D">
        <w:rPr>
          <w:rFonts w:ascii="Times New Roman" w:hAnsi="Times New Roman" w:cs="Times New Roman"/>
          <w:sz w:val="24"/>
        </w:rPr>
        <w:t xml:space="preserve"> </w:t>
      </w:r>
      <w:r w:rsidR="00380CCA">
        <w:rPr>
          <w:rFonts w:ascii="Times New Roman" w:hAnsi="Times New Roman" w:cs="Times New Roman"/>
          <w:sz w:val="24"/>
        </w:rPr>
        <w:t>Proponuje się publikację</w:t>
      </w:r>
      <w:r w:rsidRPr="005E129D">
        <w:rPr>
          <w:rFonts w:ascii="Times New Roman" w:hAnsi="Times New Roman" w:cs="Times New Roman"/>
          <w:sz w:val="24"/>
        </w:rPr>
        <w:t xml:space="preserve"> artykułów </w:t>
      </w:r>
      <w:r w:rsidR="00BD137B">
        <w:rPr>
          <w:rFonts w:ascii="Times New Roman" w:hAnsi="Times New Roman" w:cs="Times New Roman"/>
          <w:sz w:val="24"/>
        </w:rPr>
        <w:br/>
      </w:r>
      <w:r w:rsidR="00380CCA" w:rsidRPr="005E129D">
        <w:rPr>
          <w:rFonts w:ascii="Times New Roman" w:hAnsi="Times New Roman" w:cs="Times New Roman"/>
          <w:sz w:val="24"/>
        </w:rPr>
        <w:t>o odnawialnych źródłach energii</w:t>
      </w:r>
      <w:r w:rsidR="00380CCA">
        <w:rPr>
          <w:rFonts w:ascii="Times New Roman" w:hAnsi="Times New Roman" w:cs="Times New Roman"/>
          <w:sz w:val="24"/>
        </w:rPr>
        <w:t>,</w:t>
      </w:r>
      <w:r w:rsidRPr="005E129D">
        <w:rPr>
          <w:rFonts w:ascii="Times New Roman" w:hAnsi="Times New Roman" w:cs="Times New Roman"/>
          <w:sz w:val="24"/>
        </w:rPr>
        <w:t xml:space="preserve"> technologiach poprawy efektywności energetycznej, niskoemisyjnej </w:t>
      </w:r>
      <w:r w:rsidR="00380CCA">
        <w:rPr>
          <w:rFonts w:ascii="Times New Roman" w:hAnsi="Times New Roman" w:cs="Times New Roman"/>
          <w:sz w:val="24"/>
        </w:rPr>
        <w:t>gospodarce i jej zaletach,</w:t>
      </w:r>
      <w:r w:rsidRPr="005E129D">
        <w:rPr>
          <w:rFonts w:ascii="Times New Roman" w:hAnsi="Times New Roman" w:cs="Times New Roman"/>
          <w:sz w:val="24"/>
        </w:rPr>
        <w:t xml:space="preserve"> unijnych i krajowych środkach finansowania </w:t>
      </w:r>
      <w:r w:rsidR="00380CCA" w:rsidRPr="005E129D">
        <w:rPr>
          <w:rFonts w:ascii="Times New Roman" w:hAnsi="Times New Roman" w:cs="Times New Roman"/>
          <w:sz w:val="24"/>
        </w:rPr>
        <w:t xml:space="preserve">działań przez nich </w:t>
      </w:r>
      <w:r w:rsidRPr="005E129D">
        <w:rPr>
          <w:rFonts w:ascii="Times New Roman" w:hAnsi="Times New Roman" w:cs="Times New Roman"/>
          <w:sz w:val="24"/>
        </w:rPr>
        <w:t>podjętych.</w:t>
      </w:r>
    </w:p>
    <w:p w:rsidR="0027608C" w:rsidRDefault="0027608C" w:rsidP="005E129D">
      <w:pPr>
        <w:spacing w:line="360" w:lineRule="auto"/>
        <w:ind w:firstLine="708"/>
        <w:jc w:val="both"/>
        <w:rPr>
          <w:rFonts w:ascii="Times New Roman" w:hAnsi="Times New Roman" w:cs="Times New Roman"/>
          <w:sz w:val="24"/>
        </w:rPr>
      </w:pPr>
      <w:r>
        <w:rPr>
          <w:rFonts w:ascii="Times New Roman" w:hAnsi="Times New Roman" w:cs="Times New Roman"/>
          <w:sz w:val="24"/>
        </w:rPr>
        <w:t>D</w:t>
      </w:r>
      <w:r w:rsidRPr="0027608C">
        <w:rPr>
          <w:rFonts w:ascii="Times New Roman" w:hAnsi="Times New Roman" w:cs="Times New Roman"/>
          <w:sz w:val="24"/>
        </w:rPr>
        <w:t xml:space="preserve">ziałania </w:t>
      </w:r>
      <w:r>
        <w:rPr>
          <w:rFonts w:ascii="Times New Roman" w:hAnsi="Times New Roman" w:cs="Times New Roman"/>
          <w:sz w:val="24"/>
        </w:rPr>
        <w:t>zawarte w</w:t>
      </w:r>
      <w:r w:rsidRPr="0027608C">
        <w:rPr>
          <w:rFonts w:ascii="Times New Roman" w:hAnsi="Times New Roman" w:cs="Times New Roman"/>
          <w:sz w:val="24"/>
        </w:rPr>
        <w:t xml:space="preserve"> Plan</w:t>
      </w:r>
      <w:r>
        <w:rPr>
          <w:rFonts w:ascii="Times New Roman" w:hAnsi="Times New Roman" w:cs="Times New Roman"/>
          <w:sz w:val="24"/>
        </w:rPr>
        <w:t>ie Gospodarki Niskoemisyjnej</w:t>
      </w:r>
      <w:r w:rsidRPr="0027608C">
        <w:rPr>
          <w:rFonts w:ascii="Times New Roman" w:hAnsi="Times New Roman" w:cs="Times New Roman"/>
          <w:sz w:val="24"/>
        </w:rPr>
        <w:t xml:space="preserve"> finansowane będą ze środków zewnętrznych jak i gminy. Finansowanie we własnym</w:t>
      </w:r>
      <w:r>
        <w:rPr>
          <w:rFonts w:ascii="Times New Roman" w:hAnsi="Times New Roman" w:cs="Times New Roman"/>
          <w:sz w:val="24"/>
        </w:rPr>
        <w:t xml:space="preserve"> zakresie musi zostać wpisanie</w:t>
      </w:r>
      <w:r w:rsidRPr="0027608C">
        <w:rPr>
          <w:rFonts w:ascii="Times New Roman" w:hAnsi="Times New Roman" w:cs="Times New Roman"/>
          <w:sz w:val="24"/>
        </w:rPr>
        <w:t xml:space="preserve"> do wieloletnich pl</w:t>
      </w:r>
      <w:r>
        <w:rPr>
          <w:rFonts w:ascii="Times New Roman" w:hAnsi="Times New Roman" w:cs="Times New Roman"/>
          <w:sz w:val="24"/>
        </w:rPr>
        <w:t>anów inwestycyjnych. F</w:t>
      </w:r>
      <w:r w:rsidRPr="0027608C">
        <w:rPr>
          <w:rFonts w:ascii="Times New Roman" w:hAnsi="Times New Roman" w:cs="Times New Roman"/>
          <w:sz w:val="24"/>
        </w:rPr>
        <w:t xml:space="preserve">inansowanie proponowanych działań musi </w:t>
      </w:r>
      <w:r>
        <w:rPr>
          <w:rFonts w:ascii="Times New Roman" w:hAnsi="Times New Roman" w:cs="Times New Roman"/>
          <w:sz w:val="24"/>
        </w:rPr>
        <w:t>zostać</w:t>
      </w:r>
      <w:r w:rsidRPr="0027608C">
        <w:rPr>
          <w:rFonts w:ascii="Times New Roman" w:hAnsi="Times New Roman" w:cs="Times New Roman"/>
          <w:sz w:val="24"/>
        </w:rPr>
        <w:t xml:space="preserve"> </w:t>
      </w:r>
      <w:r>
        <w:rPr>
          <w:rFonts w:ascii="Times New Roman" w:hAnsi="Times New Roman" w:cs="Times New Roman"/>
          <w:sz w:val="24"/>
        </w:rPr>
        <w:t xml:space="preserve">dodatkowo </w:t>
      </w:r>
      <w:r w:rsidRPr="0027608C">
        <w:rPr>
          <w:rFonts w:ascii="Times New Roman" w:hAnsi="Times New Roman" w:cs="Times New Roman"/>
          <w:sz w:val="24"/>
        </w:rPr>
        <w:t xml:space="preserve">uwzględnione w budżecie gminy na każdy rok. Wszystkie jednostki odpowiedzialne za realizację działań </w:t>
      </w:r>
      <w:r>
        <w:rPr>
          <w:rFonts w:ascii="Times New Roman" w:hAnsi="Times New Roman" w:cs="Times New Roman"/>
          <w:sz w:val="24"/>
        </w:rPr>
        <w:t>ujętych</w:t>
      </w:r>
      <w:r w:rsidRPr="0027608C">
        <w:rPr>
          <w:rFonts w:ascii="Times New Roman" w:hAnsi="Times New Roman" w:cs="Times New Roman"/>
          <w:sz w:val="24"/>
        </w:rPr>
        <w:t xml:space="preserve"> w PGN powinny zabezpieczyć odpowiednie środki w procesie planowania budżetu.</w:t>
      </w:r>
    </w:p>
    <w:p w:rsidR="004B10FC" w:rsidRDefault="004B10FC" w:rsidP="004B10FC">
      <w:pPr>
        <w:autoSpaceDE w:val="0"/>
        <w:autoSpaceDN w:val="0"/>
        <w:adjustRightInd w:val="0"/>
        <w:spacing w:after="0" w:line="240" w:lineRule="auto"/>
        <w:rPr>
          <w:rFonts w:ascii="BookAntiqua" w:hAnsi="BookAntiqua" w:cs="BookAntiqua"/>
          <w:sz w:val="20"/>
          <w:szCs w:val="20"/>
        </w:rPr>
      </w:pPr>
    </w:p>
    <w:p w:rsidR="004B10FC" w:rsidRDefault="004B10FC" w:rsidP="004B10FC">
      <w:pPr>
        <w:autoSpaceDE w:val="0"/>
        <w:autoSpaceDN w:val="0"/>
        <w:adjustRightInd w:val="0"/>
        <w:spacing w:after="0" w:line="240" w:lineRule="auto"/>
        <w:rPr>
          <w:rFonts w:ascii="BookAntiqua" w:hAnsi="BookAntiqua" w:cs="BookAntiqua"/>
          <w:sz w:val="20"/>
          <w:szCs w:val="20"/>
        </w:rPr>
      </w:pPr>
    </w:p>
    <w:p w:rsidR="0027608C" w:rsidRDefault="0027608C" w:rsidP="0027608C">
      <w:pPr>
        <w:shd w:val="clear" w:color="auto" w:fill="FFFFFF"/>
        <w:spacing w:after="0" w:line="240" w:lineRule="auto"/>
        <w:rPr>
          <w:rFonts w:ascii="Times New Roman" w:eastAsia="Times New Roman" w:hAnsi="Times New Roman" w:cs="Times New Roman"/>
          <w:color w:val="000000"/>
        </w:rPr>
      </w:pPr>
    </w:p>
    <w:p w:rsidR="0027608C" w:rsidRDefault="0027608C" w:rsidP="0027608C">
      <w:pPr>
        <w:shd w:val="clear" w:color="auto" w:fill="FFFFFF"/>
        <w:spacing w:after="0" w:line="240" w:lineRule="auto"/>
        <w:rPr>
          <w:rFonts w:ascii="Times New Roman" w:eastAsia="Times New Roman" w:hAnsi="Times New Roman" w:cs="Times New Roman"/>
          <w:color w:val="000000"/>
        </w:rPr>
      </w:pPr>
    </w:p>
    <w:p w:rsidR="0027608C" w:rsidRDefault="0027608C" w:rsidP="0027608C">
      <w:pPr>
        <w:shd w:val="clear" w:color="auto" w:fill="FFFFFF"/>
        <w:spacing w:after="0" w:line="240" w:lineRule="auto"/>
        <w:rPr>
          <w:rFonts w:ascii="Times New Roman" w:eastAsia="Times New Roman" w:hAnsi="Times New Roman" w:cs="Times New Roman"/>
          <w:color w:val="000000"/>
        </w:rPr>
      </w:pPr>
    </w:p>
    <w:p w:rsidR="00384903" w:rsidRPr="00BE6FA1" w:rsidRDefault="00384903" w:rsidP="003A27DA">
      <w:pPr>
        <w:spacing w:line="360" w:lineRule="auto"/>
        <w:jc w:val="center"/>
        <w:rPr>
          <w:rFonts w:ascii="Times New Roman" w:hAnsi="Times New Roman" w:cs="Times New Roman"/>
          <w:b/>
          <w:i/>
          <w:sz w:val="28"/>
        </w:rPr>
      </w:pPr>
      <w:r w:rsidRPr="00BE6FA1">
        <w:rPr>
          <w:rFonts w:ascii="Times New Roman" w:hAnsi="Times New Roman" w:cs="Times New Roman"/>
          <w:b/>
          <w:i/>
          <w:sz w:val="28"/>
        </w:rPr>
        <w:lastRenderedPageBreak/>
        <w:t xml:space="preserve">Schemat monitorowania Planu Gospodarki Niskoemisyjnej Miasta </w:t>
      </w:r>
      <w:r w:rsidRPr="00BE6FA1">
        <w:rPr>
          <w:rFonts w:ascii="Times New Roman" w:hAnsi="Times New Roman" w:cs="Times New Roman"/>
          <w:b/>
          <w:i/>
          <w:sz w:val="28"/>
        </w:rPr>
        <w:br/>
        <w:t>i Gminy Kańczuga</w:t>
      </w:r>
    </w:p>
    <w:p w:rsidR="00384903" w:rsidRPr="00BE6FA1" w:rsidRDefault="00384903" w:rsidP="003A27DA">
      <w:pPr>
        <w:spacing w:line="360" w:lineRule="auto"/>
        <w:jc w:val="center"/>
        <w:rPr>
          <w:rFonts w:ascii="Times New Roman" w:hAnsi="Times New Roman" w:cs="Times New Roman"/>
          <w:b/>
          <w:i/>
          <w:sz w:val="28"/>
        </w:rPr>
      </w:pPr>
    </w:p>
    <w:p w:rsidR="00384903" w:rsidRPr="00BE6FA1" w:rsidRDefault="009D09A0" w:rsidP="003A27DA">
      <w:pPr>
        <w:spacing w:line="360" w:lineRule="auto"/>
        <w:jc w:val="center"/>
        <w:rPr>
          <w:rFonts w:ascii="Times New Roman" w:hAnsi="Times New Roman" w:cs="Times New Roman"/>
          <w:b/>
          <w:i/>
          <w:sz w:val="28"/>
        </w:rPr>
      </w:pPr>
      <w:r w:rsidRPr="00BE6FA1">
        <w:rPr>
          <w:rFonts w:ascii="Times New Roman" w:hAnsi="Times New Roman" w:cs="Times New Roman"/>
          <w:b/>
          <w:i/>
          <w:noProof/>
          <w:sz w:val="28"/>
        </w:rPr>
        <w:drawing>
          <wp:inline distT="0" distB="0" distL="0" distR="0" wp14:anchorId="2CB43226" wp14:editId="17F494AE">
            <wp:extent cx="5760720" cy="6281420"/>
            <wp:effectExtent l="57150" t="57150" r="49530" b="4318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02284" w:rsidRPr="00BE6FA1" w:rsidRDefault="00B02284" w:rsidP="003A27DA">
      <w:pPr>
        <w:spacing w:line="360" w:lineRule="auto"/>
        <w:jc w:val="center"/>
        <w:rPr>
          <w:rFonts w:ascii="Times New Roman" w:hAnsi="Times New Roman" w:cs="Times New Roman"/>
          <w:b/>
          <w:i/>
          <w:sz w:val="28"/>
        </w:rPr>
      </w:pPr>
    </w:p>
    <w:p w:rsidR="00B02284" w:rsidRPr="00BE6FA1" w:rsidRDefault="00B02284" w:rsidP="003A27DA">
      <w:pPr>
        <w:spacing w:line="360" w:lineRule="auto"/>
        <w:jc w:val="center"/>
        <w:rPr>
          <w:rFonts w:ascii="Times New Roman" w:hAnsi="Times New Roman" w:cs="Times New Roman"/>
          <w:b/>
          <w:i/>
          <w:sz w:val="28"/>
        </w:rPr>
      </w:pPr>
    </w:p>
    <w:p w:rsidR="00B02284" w:rsidRPr="00BE6FA1" w:rsidRDefault="00B02284" w:rsidP="003A27DA">
      <w:pPr>
        <w:spacing w:line="360" w:lineRule="auto"/>
        <w:ind w:firstLine="720"/>
        <w:jc w:val="both"/>
        <w:rPr>
          <w:rFonts w:ascii="Times New Roman" w:hAnsi="Times New Roman" w:cs="Times New Roman"/>
          <w:sz w:val="24"/>
          <w:szCs w:val="24"/>
        </w:rPr>
      </w:pPr>
      <w:r w:rsidRPr="00BE6FA1">
        <w:rPr>
          <w:rFonts w:ascii="Times New Roman" w:hAnsi="Times New Roman" w:cs="Times New Roman"/>
          <w:sz w:val="24"/>
        </w:rPr>
        <w:lastRenderedPageBreak/>
        <w:t xml:space="preserve">Wskaźniki  realizacji  Planu Gospodarki Niskoemisyjnej  stanowią  instrument,  za  pomocą  którego  gmina  może w sposób  jednoznaczny  ocenić,  czy  wdrażanie  dokumentu  odbywa  się  w  stopniu wystarczającym  oraz  czy  zadania  w  nim  postawione  spełniają  swoją  rolę.  Jeśli  istnieje potrzeba ich zmian konieczne jest rozważenie zaktualizowania Planu. Poniżej  przedstawiono tytułem przykładu  wskaźniki,  za  pomocą  których  gmina  może  jednoznacznie określić </w:t>
      </w:r>
      <w:r w:rsidRPr="00BE6FA1">
        <w:rPr>
          <w:rFonts w:ascii="Times New Roman" w:hAnsi="Times New Roman" w:cs="Times New Roman"/>
          <w:sz w:val="24"/>
          <w:szCs w:val="24"/>
        </w:rPr>
        <w:t>stopień realizacji Planu.</w:t>
      </w:r>
    </w:p>
    <w:p w:rsidR="00B02284" w:rsidRPr="00BE6FA1" w:rsidRDefault="00B02284" w:rsidP="003A27DA">
      <w:pPr>
        <w:spacing w:line="360" w:lineRule="auto"/>
        <w:rPr>
          <w:rFonts w:ascii="Times New Roman" w:hAnsi="Times New Roman" w:cs="Times New Roman"/>
          <w:sz w:val="24"/>
          <w:szCs w:val="24"/>
        </w:rPr>
      </w:pPr>
      <w:r w:rsidRPr="00BE6FA1">
        <w:rPr>
          <w:rFonts w:ascii="Times New Roman" w:hAnsi="Times New Roman" w:cs="Times New Roman"/>
          <w:sz w:val="24"/>
          <w:szCs w:val="24"/>
        </w:rPr>
        <w:t>Przykładowe wskaźniki monitoringu osiągania celów:</w:t>
      </w:r>
    </w:p>
    <w:p w:rsidR="00B02284" w:rsidRPr="00FD5F5C" w:rsidRDefault="00B02284" w:rsidP="009A7AFF">
      <w:pPr>
        <w:pStyle w:val="Akapitzlist"/>
        <w:numPr>
          <w:ilvl w:val="0"/>
          <w:numId w:val="54"/>
        </w:numPr>
        <w:spacing w:line="360" w:lineRule="auto"/>
        <w:jc w:val="both"/>
        <w:rPr>
          <w:rFonts w:ascii="Times New Roman" w:hAnsi="Times New Roman" w:cs="Times New Roman"/>
          <w:sz w:val="24"/>
          <w:szCs w:val="24"/>
        </w:rPr>
      </w:pPr>
      <w:r w:rsidRPr="00FD5F5C">
        <w:rPr>
          <w:rFonts w:ascii="Times New Roman" w:hAnsi="Times New Roman" w:cs="Times New Roman"/>
          <w:sz w:val="24"/>
          <w:szCs w:val="24"/>
        </w:rPr>
        <w:t xml:space="preserve">Wartość zużycia </w:t>
      </w:r>
      <w:r w:rsidR="00FD5F5C" w:rsidRPr="00FD5F5C">
        <w:rPr>
          <w:rFonts w:ascii="Times New Roman" w:hAnsi="Times New Roman" w:cs="Times New Roman"/>
          <w:sz w:val="24"/>
          <w:szCs w:val="24"/>
        </w:rPr>
        <w:t>energii</w:t>
      </w:r>
      <w:r w:rsidRPr="00FD5F5C">
        <w:rPr>
          <w:rFonts w:ascii="Times New Roman" w:hAnsi="Times New Roman" w:cs="Times New Roman"/>
          <w:sz w:val="24"/>
          <w:szCs w:val="24"/>
        </w:rPr>
        <w:t xml:space="preserve"> w ciągu roku (</w:t>
      </w:r>
      <w:r w:rsidR="00FD5F5C" w:rsidRPr="00FD5F5C">
        <w:rPr>
          <w:rFonts w:ascii="Times New Roman" w:hAnsi="Times New Roman" w:cs="Times New Roman"/>
          <w:sz w:val="24"/>
          <w:szCs w:val="24"/>
        </w:rPr>
        <w:t>2015r. – 178734,7</w:t>
      </w:r>
      <w:r w:rsidR="000742B4" w:rsidRPr="00FD5F5C">
        <w:rPr>
          <w:rFonts w:ascii="Times New Roman" w:hAnsi="Times New Roman" w:cs="Times New Roman"/>
          <w:sz w:val="24"/>
          <w:szCs w:val="24"/>
        </w:rPr>
        <w:t xml:space="preserve"> MWh)</w:t>
      </w:r>
    </w:p>
    <w:p w:rsidR="007175AC" w:rsidRPr="00FD5F5C" w:rsidRDefault="007175AC" w:rsidP="009A7AFF">
      <w:pPr>
        <w:pStyle w:val="Akapitzlist"/>
        <w:numPr>
          <w:ilvl w:val="0"/>
          <w:numId w:val="54"/>
        </w:numPr>
        <w:spacing w:line="360" w:lineRule="auto"/>
        <w:jc w:val="both"/>
        <w:rPr>
          <w:rFonts w:ascii="Times New Roman" w:hAnsi="Times New Roman" w:cs="Times New Roman"/>
          <w:sz w:val="24"/>
          <w:szCs w:val="24"/>
        </w:rPr>
      </w:pPr>
      <w:r w:rsidRPr="00FD5F5C">
        <w:rPr>
          <w:rFonts w:ascii="Times New Roman" w:hAnsi="Times New Roman" w:cs="Times New Roman"/>
          <w:sz w:val="24"/>
          <w:szCs w:val="24"/>
        </w:rPr>
        <w:t>Wartość emisji CO</w:t>
      </w:r>
      <w:r w:rsidRPr="00FD5F5C">
        <w:rPr>
          <w:rFonts w:ascii="Times New Roman" w:hAnsi="Times New Roman" w:cs="Times New Roman"/>
          <w:sz w:val="24"/>
          <w:szCs w:val="24"/>
          <w:vertAlign w:val="subscript"/>
        </w:rPr>
        <w:t>2</w:t>
      </w:r>
      <w:r w:rsidRPr="00FD5F5C">
        <w:rPr>
          <w:rFonts w:ascii="Times New Roman" w:hAnsi="Times New Roman" w:cs="Times New Roman"/>
          <w:sz w:val="24"/>
          <w:szCs w:val="24"/>
        </w:rPr>
        <w:t xml:space="preserve"> w ciągu roku (</w:t>
      </w:r>
      <w:r w:rsidR="00FD5F5C" w:rsidRPr="00FD5F5C">
        <w:rPr>
          <w:rFonts w:ascii="Times New Roman" w:hAnsi="Times New Roman" w:cs="Times New Roman"/>
          <w:sz w:val="24"/>
          <w:szCs w:val="24"/>
        </w:rPr>
        <w:t xml:space="preserve">2015r. - </w:t>
      </w:r>
      <w:r w:rsidR="000742B4" w:rsidRPr="00FD5F5C">
        <w:rPr>
          <w:rFonts w:ascii="Times New Roman" w:hAnsi="Times New Roman" w:cs="Times New Roman"/>
          <w:sz w:val="24"/>
          <w:szCs w:val="24"/>
        </w:rPr>
        <w:t>62300,84 t)</w:t>
      </w:r>
    </w:p>
    <w:p w:rsidR="00451314" w:rsidRPr="00BE6FA1" w:rsidRDefault="00451314" w:rsidP="009A7AFF">
      <w:pPr>
        <w:pStyle w:val="Akapitzlist"/>
        <w:numPr>
          <w:ilvl w:val="0"/>
          <w:numId w:val="5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Wartość zużycia energii odnawialnej w ciągu roku (</w:t>
      </w:r>
      <w:r>
        <w:rPr>
          <w:rFonts w:ascii="Times New Roman" w:hAnsi="Times New Roman" w:cs="Times New Roman"/>
          <w:sz w:val="24"/>
          <w:szCs w:val="24"/>
        </w:rPr>
        <w:t xml:space="preserve">2015r. - </w:t>
      </w:r>
      <w:r w:rsidRPr="00BE6FA1">
        <w:rPr>
          <w:rFonts w:ascii="Times New Roman" w:hAnsi="Times New Roman" w:cs="Times New Roman"/>
          <w:sz w:val="24"/>
          <w:szCs w:val="24"/>
        </w:rPr>
        <w:t>264,33</w:t>
      </w:r>
      <w:r>
        <w:rPr>
          <w:rFonts w:ascii="Times New Roman" w:hAnsi="Times New Roman" w:cs="Times New Roman"/>
          <w:sz w:val="24"/>
          <w:szCs w:val="24"/>
        </w:rPr>
        <w:t>6</w:t>
      </w:r>
      <w:r w:rsidRPr="00BE6FA1">
        <w:rPr>
          <w:rFonts w:ascii="Times New Roman" w:hAnsi="Times New Roman" w:cs="Times New Roman"/>
          <w:sz w:val="24"/>
          <w:szCs w:val="24"/>
        </w:rPr>
        <w:t xml:space="preserve"> MWh)</w:t>
      </w:r>
    </w:p>
    <w:p w:rsidR="00451314" w:rsidRPr="00BE6FA1" w:rsidRDefault="00451314" w:rsidP="009A7AFF">
      <w:pPr>
        <w:pStyle w:val="Akapitzlist"/>
        <w:numPr>
          <w:ilvl w:val="0"/>
          <w:numId w:val="5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Procent obniżenia zużycia energii (0,37%)</w:t>
      </w:r>
    </w:p>
    <w:p w:rsidR="000742B4" w:rsidRPr="00BE6FA1" w:rsidRDefault="000742B4" w:rsidP="009A7AFF">
      <w:pPr>
        <w:pStyle w:val="Akapitzlist"/>
        <w:numPr>
          <w:ilvl w:val="0"/>
          <w:numId w:val="5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 xml:space="preserve">Procent obniżenia </w:t>
      </w:r>
      <w:r w:rsidR="00B02284" w:rsidRPr="00BE6FA1">
        <w:rPr>
          <w:rFonts w:ascii="Times New Roman" w:hAnsi="Times New Roman" w:cs="Times New Roman"/>
          <w:sz w:val="24"/>
          <w:szCs w:val="24"/>
        </w:rPr>
        <w:t>emisji CO</w:t>
      </w:r>
      <w:r w:rsidR="00B02284" w:rsidRPr="00BE6FA1">
        <w:rPr>
          <w:rFonts w:ascii="Times New Roman" w:hAnsi="Times New Roman" w:cs="Times New Roman"/>
          <w:sz w:val="24"/>
          <w:szCs w:val="24"/>
          <w:vertAlign w:val="subscript"/>
        </w:rPr>
        <w:t>2</w:t>
      </w:r>
      <w:r w:rsidRPr="00BE6FA1">
        <w:rPr>
          <w:rFonts w:ascii="Times New Roman" w:hAnsi="Times New Roman" w:cs="Times New Roman"/>
          <w:sz w:val="24"/>
          <w:szCs w:val="24"/>
        </w:rPr>
        <w:t xml:space="preserve"> </w:t>
      </w:r>
      <w:r w:rsidR="00B02284" w:rsidRPr="00BE6FA1">
        <w:rPr>
          <w:rFonts w:ascii="Times New Roman" w:hAnsi="Times New Roman" w:cs="Times New Roman"/>
          <w:sz w:val="24"/>
          <w:szCs w:val="24"/>
        </w:rPr>
        <w:t>(</w:t>
      </w:r>
      <w:r w:rsidRPr="00BE6FA1">
        <w:rPr>
          <w:rFonts w:ascii="Times New Roman" w:hAnsi="Times New Roman" w:cs="Times New Roman"/>
          <w:sz w:val="24"/>
          <w:szCs w:val="24"/>
        </w:rPr>
        <w:t>0,76%)</w:t>
      </w:r>
    </w:p>
    <w:p w:rsidR="00B02284" w:rsidRPr="00BE6FA1" w:rsidRDefault="00F7409A" w:rsidP="009A7AFF">
      <w:pPr>
        <w:pStyle w:val="Akapitzlist"/>
        <w:numPr>
          <w:ilvl w:val="0"/>
          <w:numId w:val="54"/>
        </w:numPr>
        <w:spacing w:line="360" w:lineRule="auto"/>
        <w:jc w:val="both"/>
        <w:rPr>
          <w:rFonts w:ascii="Times New Roman" w:hAnsi="Times New Roman" w:cs="Times New Roman"/>
          <w:sz w:val="24"/>
          <w:szCs w:val="24"/>
        </w:rPr>
      </w:pPr>
      <w:r w:rsidRPr="00BE6FA1">
        <w:rPr>
          <w:rFonts w:ascii="Times New Roman" w:hAnsi="Times New Roman" w:cs="Times New Roman"/>
          <w:sz w:val="24"/>
          <w:szCs w:val="24"/>
        </w:rPr>
        <w:t>Proc</w:t>
      </w:r>
      <w:r w:rsidR="007175AC" w:rsidRPr="00BE6FA1">
        <w:rPr>
          <w:rFonts w:ascii="Times New Roman" w:hAnsi="Times New Roman" w:cs="Times New Roman"/>
          <w:sz w:val="24"/>
          <w:szCs w:val="24"/>
        </w:rPr>
        <w:t>ent wzrost</w:t>
      </w:r>
      <w:r w:rsidR="00451314">
        <w:rPr>
          <w:rFonts w:ascii="Times New Roman" w:hAnsi="Times New Roman" w:cs="Times New Roman"/>
          <w:sz w:val="24"/>
          <w:szCs w:val="24"/>
        </w:rPr>
        <w:t>u zużycia energii odnawialnej (</w:t>
      </w:r>
      <w:r w:rsidR="007175AC" w:rsidRPr="00BE6FA1">
        <w:rPr>
          <w:rFonts w:ascii="Times New Roman" w:hAnsi="Times New Roman" w:cs="Times New Roman"/>
          <w:sz w:val="24"/>
          <w:szCs w:val="24"/>
        </w:rPr>
        <w:t xml:space="preserve"> </w:t>
      </w:r>
      <w:r w:rsidR="00B309BD">
        <w:rPr>
          <w:rFonts w:ascii="Times New Roman" w:hAnsi="Times New Roman" w:cs="Times New Roman"/>
          <w:sz w:val="24"/>
          <w:szCs w:val="24"/>
        </w:rPr>
        <w:t>5,39</w:t>
      </w:r>
      <w:r w:rsidR="007175AC" w:rsidRPr="00BE6FA1">
        <w:rPr>
          <w:rFonts w:ascii="Times New Roman" w:hAnsi="Times New Roman" w:cs="Times New Roman"/>
          <w:sz w:val="24"/>
          <w:szCs w:val="24"/>
        </w:rPr>
        <w:t>%)</w:t>
      </w:r>
    </w:p>
    <w:p w:rsidR="001C61A8" w:rsidRPr="00BE6FA1" w:rsidRDefault="001C61A8" w:rsidP="001C61A8">
      <w:pPr>
        <w:spacing w:line="360" w:lineRule="auto"/>
        <w:jc w:val="both"/>
        <w:rPr>
          <w:rFonts w:ascii="Times New Roman" w:hAnsi="Times New Roman" w:cs="Times New Roman"/>
          <w:sz w:val="24"/>
          <w:szCs w:val="24"/>
        </w:rPr>
      </w:pPr>
    </w:p>
    <w:p w:rsidR="005B6426" w:rsidRPr="00BE6FA1" w:rsidRDefault="005B6426" w:rsidP="003A27DA">
      <w:pPr>
        <w:spacing w:line="360" w:lineRule="auto"/>
        <w:ind w:firstLine="708"/>
        <w:jc w:val="both"/>
        <w:rPr>
          <w:rFonts w:ascii="Times New Roman" w:hAnsi="Times New Roman" w:cs="Times New Roman"/>
          <w:sz w:val="24"/>
          <w:szCs w:val="24"/>
        </w:rPr>
      </w:pPr>
      <w:r w:rsidRPr="00BE6FA1">
        <w:rPr>
          <w:rFonts w:ascii="Times New Roman" w:hAnsi="Times New Roman" w:cs="Times New Roman"/>
          <w:sz w:val="24"/>
          <w:szCs w:val="24"/>
        </w:rPr>
        <w:t xml:space="preserve">Na podstawie tabeli nr </w:t>
      </w:r>
      <w:r w:rsidR="009D09A0" w:rsidRPr="00BE6FA1">
        <w:rPr>
          <w:rFonts w:ascii="Times New Roman" w:hAnsi="Times New Roman" w:cs="Times New Roman"/>
          <w:sz w:val="24"/>
          <w:szCs w:val="24"/>
        </w:rPr>
        <w:t>19</w:t>
      </w:r>
      <w:r w:rsidRPr="00BE6FA1">
        <w:rPr>
          <w:rFonts w:ascii="Times New Roman" w:hAnsi="Times New Roman" w:cs="Times New Roman"/>
          <w:sz w:val="24"/>
          <w:szCs w:val="24"/>
        </w:rPr>
        <w:t xml:space="preserve">„Krótko/średnioterminowe działania/zadania na lata </w:t>
      </w:r>
      <w:r w:rsidR="00BF4843" w:rsidRPr="00BE6FA1">
        <w:rPr>
          <w:rFonts w:ascii="Times New Roman" w:hAnsi="Times New Roman" w:cs="Times New Roman"/>
          <w:sz w:val="24"/>
          <w:szCs w:val="24"/>
        </w:rPr>
        <w:br/>
      </w:r>
      <w:r w:rsidR="00726810" w:rsidRPr="00BE6FA1">
        <w:rPr>
          <w:rFonts w:ascii="Times New Roman" w:hAnsi="Times New Roman" w:cs="Times New Roman"/>
          <w:sz w:val="24"/>
          <w:szCs w:val="24"/>
        </w:rPr>
        <w:t>2016 – 202</w:t>
      </w:r>
      <w:r w:rsidR="00D06187">
        <w:rPr>
          <w:rFonts w:ascii="Times New Roman" w:hAnsi="Times New Roman" w:cs="Times New Roman"/>
          <w:sz w:val="24"/>
          <w:szCs w:val="24"/>
        </w:rPr>
        <w:t>1</w:t>
      </w:r>
      <w:r w:rsidR="00726810" w:rsidRPr="00BE6FA1">
        <w:rPr>
          <w:rFonts w:ascii="Times New Roman" w:hAnsi="Times New Roman" w:cs="Times New Roman"/>
          <w:sz w:val="24"/>
          <w:szCs w:val="24"/>
        </w:rPr>
        <w:t xml:space="preserve"> w M</w:t>
      </w:r>
      <w:r w:rsidRPr="00BE6FA1">
        <w:rPr>
          <w:rFonts w:ascii="Times New Roman" w:hAnsi="Times New Roman" w:cs="Times New Roman"/>
          <w:sz w:val="24"/>
          <w:szCs w:val="24"/>
        </w:rPr>
        <w:t xml:space="preserve">ieście i </w:t>
      </w:r>
      <w:r w:rsidR="00726810" w:rsidRPr="00BE6FA1">
        <w:rPr>
          <w:rFonts w:ascii="Times New Roman" w:hAnsi="Times New Roman" w:cs="Times New Roman"/>
          <w:sz w:val="24"/>
          <w:szCs w:val="24"/>
        </w:rPr>
        <w:t>G</w:t>
      </w:r>
      <w:r w:rsidRPr="00BE6FA1">
        <w:rPr>
          <w:rFonts w:ascii="Times New Roman" w:hAnsi="Times New Roman" w:cs="Times New Roman"/>
          <w:sz w:val="24"/>
          <w:szCs w:val="24"/>
        </w:rPr>
        <w:t>minie Kańczuga” przewiduje się osiągnięcie wskaźników realizacji PGN dla Miasta i Gminy Kańczuga do następujących wartości:</w:t>
      </w:r>
    </w:p>
    <w:tbl>
      <w:tblPr>
        <w:tblStyle w:val="Tabela-Siatka"/>
        <w:tblW w:w="5000" w:type="pct"/>
        <w:jc w:val="center"/>
        <w:tblLook w:val="04A0" w:firstRow="1" w:lastRow="0" w:firstColumn="1" w:lastColumn="0" w:noHBand="0" w:noVBand="1"/>
      </w:tblPr>
      <w:tblGrid>
        <w:gridCol w:w="2053"/>
        <w:gridCol w:w="2445"/>
        <w:gridCol w:w="2173"/>
        <w:gridCol w:w="2391"/>
      </w:tblGrid>
      <w:tr w:rsidR="00716D7C" w:rsidRPr="00BE6FA1" w:rsidTr="00705223">
        <w:trPr>
          <w:jc w:val="center"/>
        </w:trPr>
        <w:tc>
          <w:tcPr>
            <w:tcW w:w="1133" w:type="pct"/>
            <w:vAlign w:val="center"/>
          </w:tcPr>
          <w:p w:rsidR="00716D7C" w:rsidRPr="00BE6FA1" w:rsidRDefault="00716D7C"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Sektory odbiorców</w:t>
            </w:r>
          </w:p>
        </w:tc>
        <w:tc>
          <w:tcPr>
            <w:tcW w:w="1349" w:type="pct"/>
            <w:vAlign w:val="center"/>
          </w:tcPr>
          <w:p w:rsidR="00716D7C" w:rsidRPr="00BE6FA1" w:rsidRDefault="00716D7C" w:rsidP="00705223">
            <w:pPr>
              <w:autoSpaceDE w:val="0"/>
              <w:autoSpaceDN w:val="0"/>
              <w:adjustRightInd w:val="0"/>
              <w:spacing w:line="276" w:lineRule="auto"/>
              <w:jc w:val="center"/>
              <w:rPr>
                <w:rFonts w:ascii="Times New Roman" w:hAnsi="Times New Roman" w:cs="Times New Roman"/>
                <w:sz w:val="24"/>
                <w:szCs w:val="24"/>
              </w:rPr>
            </w:pPr>
            <w:r w:rsidRPr="00BE6FA1">
              <w:rPr>
                <w:rFonts w:ascii="Times New Roman" w:hAnsi="Times New Roman" w:cs="Times New Roman"/>
                <w:bCs/>
                <w:sz w:val="24"/>
                <w:szCs w:val="24"/>
              </w:rPr>
              <w:t>Szacowany efekt redukcji zużycia energii</w:t>
            </w:r>
          </w:p>
          <w:p w:rsidR="00716D7C" w:rsidRPr="00BE6FA1" w:rsidRDefault="00716D7C" w:rsidP="00705223">
            <w:pPr>
              <w:spacing w:line="276" w:lineRule="auto"/>
              <w:jc w:val="center"/>
              <w:rPr>
                <w:rFonts w:ascii="Times New Roman" w:hAnsi="Times New Roman" w:cs="Times New Roman"/>
                <w:sz w:val="24"/>
                <w:szCs w:val="24"/>
              </w:rPr>
            </w:pPr>
            <w:r w:rsidRPr="00BE6FA1">
              <w:rPr>
                <w:rFonts w:ascii="Times New Roman" w:hAnsi="Times New Roman" w:cs="Times New Roman"/>
                <w:bCs/>
                <w:sz w:val="24"/>
                <w:szCs w:val="24"/>
              </w:rPr>
              <w:t>[MWh/rok]</w:t>
            </w:r>
          </w:p>
        </w:tc>
        <w:tc>
          <w:tcPr>
            <w:tcW w:w="1199" w:type="pct"/>
            <w:shd w:val="clear" w:color="auto" w:fill="FFFFFF" w:themeFill="background1"/>
            <w:vAlign w:val="center"/>
          </w:tcPr>
          <w:p w:rsidR="00716D7C" w:rsidRPr="00BE6FA1" w:rsidRDefault="00716D7C" w:rsidP="00705223">
            <w:pPr>
              <w:autoSpaceDE w:val="0"/>
              <w:autoSpaceDN w:val="0"/>
              <w:adjustRightInd w:val="0"/>
              <w:spacing w:line="276" w:lineRule="auto"/>
              <w:jc w:val="center"/>
              <w:rPr>
                <w:rFonts w:ascii="Times New Roman" w:hAnsi="Times New Roman" w:cs="Times New Roman"/>
                <w:sz w:val="24"/>
                <w:szCs w:val="24"/>
              </w:rPr>
            </w:pPr>
            <w:r w:rsidRPr="00BE6FA1">
              <w:rPr>
                <w:rFonts w:ascii="Times New Roman" w:hAnsi="Times New Roman" w:cs="Times New Roman"/>
                <w:bCs/>
                <w:sz w:val="24"/>
                <w:szCs w:val="24"/>
              </w:rPr>
              <w:t>Szacowny efekt redukcji emisji CO</w:t>
            </w:r>
            <w:r w:rsidRPr="00BE6FA1">
              <w:rPr>
                <w:rFonts w:ascii="Times New Roman" w:hAnsi="Times New Roman" w:cs="Times New Roman"/>
                <w:bCs/>
                <w:sz w:val="24"/>
                <w:szCs w:val="24"/>
                <w:vertAlign w:val="subscript"/>
              </w:rPr>
              <w:t>2</w:t>
            </w:r>
          </w:p>
          <w:p w:rsidR="00716D7C" w:rsidRPr="00BE6FA1" w:rsidRDefault="00716D7C" w:rsidP="00705223">
            <w:pPr>
              <w:spacing w:line="276" w:lineRule="auto"/>
              <w:jc w:val="center"/>
              <w:rPr>
                <w:rFonts w:ascii="Times New Roman" w:hAnsi="Times New Roman" w:cs="Times New Roman"/>
                <w:sz w:val="24"/>
                <w:szCs w:val="24"/>
              </w:rPr>
            </w:pPr>
            <w:r w:rsidRPr="00BE6FA1">
              <w:rPr>
                <w:rFonts w:ascii="Times New Roman" w:hAnsi="Times New Roman" w:cs="Times New Roman"/>
                <w:bCs/>
                <w:sz w:val="24"/>
                <w:szCs w:val="24"/>
              </w:rPr>
              <w:t>[Mg/rok]</w:t>
            </w:r>
          </w:p>
        </w:tc>
        <w:tc>
          <w:tcPr>
            <w:tcW w:w="1319" w:type="pct"/>
            <w:vAlign w:val="center"/>
          </w:tcPr>
          <w:p w:rsidR="00716D7C" w:rsidRPr="00946AAD" w:rsidRDefault="00716D7C" w:rsidP="00705223">
            <w:pPr>
              <w:spacing w:line="276" w:lineRule="auto"/>
              <w:jc w:val="center"/>
              <w:rPr>
                <w:rFonts w:ascii="Times New Roman" w:hAnsi="Times New Roman" w:cs="Times New Roman"/>
                <w:sz w:val="24"/>
                <w:szCs w:val="24"/>
              </w:rPr>
            </w:pPr>
            <w:r w:rsidRPr="00946AAD">
              <w:rPr>
                <w:rFonts w:ascii="Times New Roman" w:eastAsia="Gulim" w:hAnsi="Times New Roman" w:cs="Times New Roman"/>
                <w:bCs/>
                <w:sz w:val="24"/>
                <w:szCs w:val="24"/>
              </w:rPr>
              <w:t xml:space="preserve">Szacunkowa ilość energii uzyskiwanej </w:t>
            </w:r>
            <w:r w:rsidR="009D09A0" w:rsidRPr="00946AAD">
              <w:rPr>
                <w:rFonts w:ascii="Times New Roman" w:eastAsia="Gulim" w:hAnsi="Times New Roman" w:cs="Times New Roman"/>
                <w:bCs/>
                <w:sz w:val="24"/>
                <w:szCs w:val="24"/>
              </w:rPr>
              <w:br/>
            </w:r>
            <w:r w:rsidRPr="00946AAD">
              <w:rPr>
                <w:rFonts w:ascii="Times New Roman" w:eastAsia="Gulim" w:hAnsi="Times New Roman" w:cs="Times New Roman"/>
                <w:bCs/>
                <w:sz w:val="24"/>
                <w:szCs w:val="24"/>
              </w:rPr>
              <w:t>z OZE [MWh/rok]</w:t>
            </w:r>
          </w:p>
        </w:tc>
      </w:tr>
      <w:tr w:rsidR="00716D7C" w:rsidRPr="00BE6FA1" w:rsidTr="00705223">
        <w:trPr>
          <w:jc w:val="center"/>
        </w:trPr>
        <w:tc>
          <w:tcPr>
            <w:tcW w:w="1133" w:type="pct"/>
            <w:vAlign w:val="center"/>
          </w:tcPr>
          <w:p w:rsidR="00716D7C" w:rsidRPr="00BE6FA1" w:rsidRDefault="00A60B14"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Obiekty s</w:t>
            </w:r>
            <w:r w:rsidR="00AA049D" w:rsidRPr="00BE6FA1">
              <w:rPr>
                <w:rFonts w:ascii="Times New Roman" w:hAnsi="Times New Roman" w:cs="Times New Roman"/>
                <w:sz w:val="24"/>
                <w:szCs w:val="24"/>
              </w:rPr>
              <w:t>akralne</w:t>
            </w:r>
          </w:p>
        </w:tc>
        <w:tc>
          <w:tcPr>
            <w:tcW w:w="1349" w:type="pct"/>
            <w:vAlign w:val="center"/>
          </w:tcPr>
          <w:p w:rsidR="00716D7C" w:rsidRPr="00BE6FA1" w:rsidRDefault="00AA049D" w:rsidP="00705223">
            <w:pPr>
              <w:autoSpaceDE w:val="0"/>
              <w:autoSpaceDN w:val="0"/>
              <w:adjustRightInd w:val="0"/>
              <w:spacing w:line="276" w:lineRule="auto"/>
              <w:jc w:val="center"/>
              <w:rPr>
                <w:rFonts w:ascii="Times New Roman" w:hAnsi="Times New Roman" w:cs="Times New Roman"/>
                <w:bCs/>
                <w:sz w:val="24"/>
                <w:szCs w:val="24"/>
              </w:rPr>
            </w:pPr>
            <w:r w:rsidRPr="00BE6FA1">
              <w:rPr>
                <w:rFonts w:ascii="Times New Roman" w:hAnsi="Times New Roman" w:cs="Times New Roman"/>
                <w:bCs/>
                <w:sz w:val="24"/>
                <w:szCs w:val="24"/>
              </w:rPr>
              <w:t>28,5</w:t>
            </w:r>
          </w:p>
        </w:tc>
        <w:tc>
          <w:tcPr>
            <w:tcW w:w="1199" w:type="pct"/>
            <w:shd w:val="clear" w:color="auto" w:fill="FFFFFF" w:themeFill="background1"/>
            <w:vAlign w:val="center"/>
          </w:tcPr>
          <w:p w:rsidR="00716D7C" w:rsidRPr="00BE6FA1" w:rsidRDefault="00AA049D" w:rsidP="00705223">
            <w:pPr>
              <w:autoSpaceDE w:val="0"/>
              <w:autoSpaceDN w:val="0"/>
              <w:adjustRightInd w:val="0"/>
              <w:spacing w:line="276" w:lineRule="auto"/>
              <w:jc w:val="center"/>
              <w:rPr>
                <w:rFonts w:ascii="Times New Roman" w:hAnsi="Times New Roman" w:cs="Times New Roman"/>
                <w:bCs/>
                <w:sz w:val="24"/>
                <w:szCs w:val="24"/>
              </w:rPr>
            </w:pPr>
            <w:r w:rsidRPr="00BE6FA1">
              <w:rPr>
                <w:rFonts w:ascii="Times New Roman" w:hAnsi="Times New Roman" w:cs="Times New Roman"/>
                <w:bCs/>
                <w:sz w:val="24"/>
                <w:szCs w:val="24"/>
              </w:rPr>
              <w:t>25,35</w:t>
            </w:r>
          </w:p>
        </w:tc>
        <w:tc>
          <w:tcPr>
            <w:tcW w:w="1319" w:type="pct"/>
            <w:vAlign w:val="center"/>
          </w:tcPr>
          <w:p w:rsidR="00716D7C" w:rsidRPr="00946AAD" w:rsidRDefault="00946AAD" w:rsidP="00705223">
            <w:pPr>
              <w:spacing w:line="276" w:lineRule="auto"/>
              <w:jc w:val="center"/>
              <w:rPr>
                <w:rFonts w:ascii="Times New Roman" w:eastAsia="Gulim" w:hAnsi="Times New Roman" w:cs="Times New Roman"/>
                <w:bCs/>
                <w:sz w:val="24"/>
                <w:szCs w:val="24"/>
              </w:rPr>
            </w:pPr>
            <w:r w:rsidRPr="00946AAD">
              <w:rPr>
                <w:rFonts w:ascii="Times New Roman" w:eastAsia="Gulim" w:hAnsi="Times New Roman" w:cs="Times New Roman"/>
                <w:bCs/>
                <w:sz w:val="24"/>
                <w:szCs w:val="24"/>
              </w:rPr>
              <w:t>3,8</w:t>
            </w:r>
          </w:p>
        </w:tc>
      </w:tr>
      <w:tr w:rsidR="00705223" w:rsidRPr="00BE6FA1" w:rsidTr="00705223">
        <w:trPr>
          <w:jc w:val="center"/>
        </w:trPr>
        <w:tc>
          <w:tcPr>
            <w:tcW w:w="1133" w:type="pct"/>
            <w:vAlign w:val="center"/>
          </w:tcPr>
          <w:p w:rsidR="00705223" w:rsidRPr="00BE6FA1" w:rsidRDefault="00705223"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Spółdzielnie mieszkaniowe</w:t>
            </w:r>
          </w:p>
        </w:tc>
        <w:tc>
          <w:tcPr>
            <w:tcW w:w="1349" w:type="pct"/>
            <w:vAlign w:val="center"/>
          </w:tcPr>
          <w:p w:rsidR="00705223" w:rsidRPr="00BE6FA1" w:rsidRDefault="00705223"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797,56</w:t>
            </w:r>
          </w:p>
        </w:tc>
        <w:tc>
          <w:tcPr>
            <w:tcW w:w="1199" w:type="pct"/>
            <w:shd w:val="clear" w:color="auto" w:fill="FFFFFF" w:themeFill="background1"/>
            <w:vAlign w:val="center"/>
          </w:tcPr>
          <w:p w:rsidR="00705223" w:rsidRPr="00BE6FA1" w:rsidRDefault="00705223"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422,5</w:t>
            </w:r>
          </w:p>
        </w:tc>
        <w:tc>
          <w:tcPr>
            <w:tcW w:w="1319" w:type="pct"/>
            <w:vAlign w:val="center"/>
          </w:tcPr>
          <w:p w:rsidR="00705223" w:rsidRPr="00946AAD" w:rsidRDefault="00946AAD" w:rsidP="00705223">
            <w:pPr>
              <w:spacing w:line="276" w:lineRule="auto"/>
              <w:jc w:val="center"/>
              <w:rPr>
                <w:rFonts w:ascii="Times New Roman" w:hAnsi="Times New Roman" w:cs="Times New Roman"/>
                <w:sz w:val="24"/>
                <w:szCs w:val="24"/>
              </w:rPr>
            </w:pPr>
            <w:r w:rsidRPr="00946AAD">
              <w:rPr>
                <w:rFonts w:ascii="Times New Roman" w:hAnsi="Times New Roman" w:cs="Times New Roman"/>
                <w:sz w:val="24"/>
                <w:szCs w:val="24"/>
              </w:rPr>
              <w:t>9,5</w:t>
            </w:r>
          </w:p>
        </w:tc>
      </w:tr>
      <w:tr w:rsidR="00705223" w:rsidRPr="00BE6FA1" w:rsidTr="00705223">
        <w:trPr>
          <w:jc w:val="center"/>
        </w:trPr>
        <w:tc>
          <w:tcPr>
            <w:tcW w:w="1133" w:type="pct"/>
            <w:vAlign w:val="center"/>
          </w:tcPr>
          <w:p w:rsidR="00705223" w:rsidRPr="00BE6FA1" w:rsidRDefault="00A60B14"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Budynki u</w:t>
            </w:r>
            <w:r w:rsidR="00705223" w:rsidRPr="00BE6FA1">
              <w:rPr>
                <w:rFonts w:ascii="Times New Roman" w:hAnsi="Times New Roman" w:cs="Times New Roman"/>
                <w:sz w:val="24"/>
                <w:szCs w:val="24"/>
              </w:rPr>
              <w:t>żyteczności publicznej</w:t>
            </w:r>
          </w:p>
        </w:tc>
        <w:tc>
          <w:tcPr>
            <w:tcW w:w="1349" w:type="pct"/>
            <w:vAlign w:val="center"/>
          </w:tcPr>
          <w:p w:rsidR="00705223" w:rsidRPr="00BE6FA1" w:rsidRDefault="00705223"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92,68</w:t>
            </w:r>
          </w:p>
        </w:tc>
        <w:tc>
          <w:tcPr>
            <w:tcW w:w="1199" w:type="pct"/>
            <w:shd w:val="clear" w:color="auto" w:fill="FFFFFF" w:themeFill="background1"/>
            <w:vAlign w:val="center"/>
          </w:tcPr>
          <w:p w:rsidR="00705223" w:rsidRPr="00BE6FA1" w:rsidRDefault="00705223" w:rsidP="00705223">
            <w:pPr>
              <w:spacing w:line="276" w:lineRule="auto"/>
              <w:jc w:val="center"/>
              <w:rPr>
                <w:rFonts w:ascii="Times New Roman" w:hAnsi="Times New Roman" w:cs="Times New Roman"/>
                <w:sz w:val="24"/>
                <w:szCs w:val="24"/>
              </w:rPr>
            </w:pPr>
            <w:r w:rsidRPr="00BE6FA1">
              <w:rPr>
                <w:rFonts w:ascii="Times New Roman" w:hAnsi="Times New Roman" w:cs="Times New Roman"/>
                <w:sz w:val="24"/>
                <w:szCs w:val="24"/>
              </w:rPr>
              <w:t>26,55</w:t>
            </w:r>
          </w:p>
        </w:tc>
        <w:tc>
          <w:tcPr>
            <w:tcW w:w="1319" w:type="pct"/>
            <w:vAlign w:val="center"/>
          </w:tcPr>
          <w:p w:rsidR="00705223" w:rsidRPr="00946AAD" w:rsidRDefault="00946AAD" w:rsidP="00931F03">
            <w:pPr>
              <w:keepNext/>
              <w:spacing w:line="276" w:lineRule="auto"/>
              <w:jc w:val="center"/>
              <w:rPr>
                <w:rFonts w:ascii="Times New Roman" w:hAnsi="Times New Roman" w:cs="Times New Roman"/>
                <w:sz w:val="24"/>
                <w:szCs w:val="24"/>
              </w:rPr>
            </w:pPr>
            <w:r w:rsidRPr="00946AAD">
              <w:rPr>
                <w:rFonts w:ascii="Times New Roman" w:hAnsi="Times New Roman" w:cs="Times New Roman"/>
                <w:sz w:val="24"/>
                <w:szCs w:val="24"/>
              </w:rPr>
              <w:t>0,95</w:t>
            </w:r>
          </w:p>
        </w:tc>
      </w:tr>
    </w:tbl>
    <w:p w:rsidR="00716D7C" w:rsidRPr="00BE6FA1" w:rsidRDefault="00931F03" w:rsidP="00931F03">
      <w:pPr>
        <w:pStyle w:val="Legenda"/>
        <w:rPr>
          <w:rFonts w:ascii="Times New Roman" w:hAnsi="Times New Roman" w:cs="Times New Roman"/>
          <w:color w:val="auto"/>
          <w:sz w:val="24"/>
          <w:szCs w:val="24"/>
        </w:rPr>
      </w:pPr>
      <w:bookmarkStart w:id="200" w:name="_Toc445289869"/>
      <w:r w:rsidRPr="00BE6FA1">
        <w:rPr>
          <w:rFonts w:ascii="Times New Roman" w:hAnsi="Times New Roman" w:cs="Times New Roman"/>
          <w:color w:val="auto"/>
        </w:rPr>
        <w:t xml:space="preserve">Tabela </w:t>
      </w:r>
      <w:r w:rsidR="00BB43A3" w:rsidRPr="00BE6FA1">
        <w:rPr>
          <w:rFonts w:ascii="Times New Roman" w:hAnsi="Times New Roman" w:cs="Times New Roman"/>
          <w:color w:val="auto"/>
        </w:rPr>
        <w:fldChar w:fldCharType="begin"/>
      </w:r>
      <w:r w:rsidRPr="00BE6FA1">
        <w:rPr>
          <w:rFonts w:ascii="Times New Roman" w:hAnsi="Times New Roman" w:cs="Times New Roman"/>
          <w:color w:val="auto"/>
        </w:rPr>
        <w:instrText xml:space="preserve"> SEQ Tabela \* ARABIC </w:instrText>
      </w:r>
      <w:r w:rsidR="00BB43A3" w:rsidRPr="00BE6FA1">
        <w:rPr>
          <w:rFonts w:ascii="Times New Roman" w:hAnsi="Times New Roman" w:cs="Times New Roman"/>
          <w:color w:val="auto"/>
        </w:rPr>
        <w:fldChar w:fldCharType="separate"/>
      </w:r>
      <w:r w:rsidR="003D63ED">
        <w:rPr>
          <w:rFonts w:ascii="Times New Roman" w:hAnsi="Times New Roman" w:cs="Times New Roman"/>
          <w:noProof/>
          <w:color w:val="auto"/>
        </w:rPr>
        <w:t>23</w:t>
      </w:r>
      <w:r w:rsidR="00BB43A3" w:rsidRPr="00BE6FA1">
        <w:rPr>
          <w:rFonts w:ascii="Times New Roman" w:hAnsi="Times New Roman" w:cs="Times New Roman"/>
          <w:color w:val="auto"/>
        </w:rPr>
        <w:fldChar w:fldCharType="end"/>
      </w:r>
      <w:r w:rsidRPr="00BE6FA1">
        <w:rPr>
          <w:rFonts w:ascii="Times New Roman" w:hAnsi="Times New Roman" w:cs="Times New Roman"/>
          <w:color w:val="auto"/>
        </w:rPr>
        <w:t>. Przewidywane wartości wskaźników realizacji PGN</w:t>
      </w:r>
      <w:bookmarkEnd w:id="200"/>
    </w:p>
    <w:sectPr w:rsidR="00716D7C" w:rsidRPr="00BE6FA1" w:rsidSect="00295B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FDA" w:rsidRDefault="00E95FDA" w:rsidP="00DD03EE">
      <w:pPr>
        <w:spacing w:after="0" w:line="240" w:lineRule="auto"/>
      </w:pPr>
      <w:r>
        <w:separator/>
      </w:r>
    </w:p>
  </w:endnote>
  <w:endnote w:type="continuationSeparator" w:id="0">
    <w:p w:rsidR="00E95FDA" w:rsidRDefault="00E95FDA" w:rsidP="00DD0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ookAntiqu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3D" w:rsidRDefault="000D713D">
    <w:pPr>
      <w:pStyle w:val="Stopka"/>
      <w:jc w:val="right"/>
    </w:pPr>
  </w:p>
  <w:p w:rsidR="000D713D" w:rsidRDefault="000D713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138782"/>
      <w:docPartObj>
        <w:docPartGallery w:val="Page Numbers (Bottom of Page)"/>
        <w:docPartUnique/>
      </w:docPartObj>
    </w:sdtPr>
    <w:sdtContent>
      <w:p w:rsidR="000D713D" w:rsidRDefault="000D713D">
        <w:pPr>
          <w:pStyle w:val="Stopka"/>
          <w:jc w:val="right"/>
        </w:pPr>
        <w:r>
          <w:t xml:space="preserve">Strona | </w:t>
        </w:r>
        <w:r>
          <w:fldChar w:fldCharType="begin"/>
        </w:r>
        <w:r>
          <w:instrText>PAGE   \* MERGEFORMAT</w:instrText>
        </w:r>
        <w:r>
          <w:fldChar w:fldCharType="separate"/>
        </w:r>
        <w:r w:rsidR="009909B3">
          <w:rPr>
            <w:noProof/>
          </w:rPr>
          <w:t>21</w:t>
        </w:r>
        <w:r>
          <w:rPr>
            <w:noProof/>
          </w:rPr>
          <w:fldChar w:fldCharType="end"/>
        </w:r>
      </w:p>
    </w:sdtContent>
  </w:sdt>
  <w:p w:rsidR="000D713D" w:rsidRDefault="000D713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FDA" w:rsidRDefault="00E95FDA" w:rsidP="00DD03EE">
      <w:pPr>
        <w:spacing w:after="0" w:line="240" w:lineRule="auto"/>
      </w:pPr>
      <w:r>
        <w:separator/>
      </w:r>
    </w:p>
  </w:footnote>
  <w:footnote w:type="continuationSeparator" w:id="0">
    <w:p w:rsidR="00E95FDA" w:rsidRDefault="00E95FDA" w:rsidP="00DD0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6E9"/>
    <w:multiLevelType w:val="multilevel"/>
    <w:tmpl w:val="20BC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32E11"/>
    <w:multiLevelType w:val="hybridMultilevel"/>
    <w:tmpl w:val="0DFA9D76"/>
    <w:lvl w:ilvl="0" w:tplc="04150001">
      <w:start w:val="1"/>
      <w:numFmt w:val="bullet"/>
      <w:lvlText w:val=""/>
      <w:lvlJc w:val="left"/>
      <w:pPr>
        <w:ind w:left="1182" w:hanging="61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B03217"/>
    <w:multiLevelType w:val="hybridMultilevel"/>
    <w:tmpl w:val="9D6CB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BB45CF"/>
    <w:multiLevelType w:val="hybridMultilevel"/>
    <w:tmpl w:val="91A4C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A5257A"/>
    <w:multiLevelType w:val="multilevel"/>
    <w:tmpl w:val="FA88ED9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15:restartNumberingAfterBreak="0">
    <w:nsid w:val="09CC0FFB"/>
    <w:multiLevelType w:val="hybridMultilevel"/>
    <w:tmpl w:val="1F76604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709A4"/>
    <w:multiLevelType w:val="hybridMultilevel"/>
    <w:tmpl w:val="0A060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5267CB"/>
    <w:multiLevelType w:val="multilevel"/>
    <w:tmpl w:val="25A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16FEF"/>
    <w:multiLevelType w:val="multilevel"/>
    <w:tmpl w:val="055602EC"/>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b w:val="0"/>
        <w:sz w:val="24"/>
      </w:rPr>
    </w:lvl>
    <w:lvl w:ilvl="3">
      <w:start w:val="1"/>
      <w:numFmt w:val="bullet"/>
      <w:lvlText w:val=""/>
      <w:lvlJc w:val="left"/>
      <w:pPr>
        <w:tabs>
          <w:tab w:val="num" w:pos="1800"/>
        </w:tabs>
        <w:ind w:left="1800" w:hanging="360"/>
      </w:pPr>
      <w:rPr>
        <w:rFonts w:ascii="Symbol" w:hAnsi="Symbol" w:cs="OpenSymbol" w:hint="default"/>
        <w:b w:val="0"/>
        <w:sz w:val="24"/>
      </w:rPr>
    </w:lvl>
    <w:lvl w:ilvl="4">
      <w:start w:val="1"/>
      <w:numFmt w:val="bullet"/>
      <w:lvlText w:val="◦"/>
      <w:lvlJc w:val="left"/>
      <w:pPr>
        <w:tabs>
          <w:tab w:val="num" w:pos="2160"/>
        </w:tabs>
        <w:ind w:left="2160" w:hanging="360"/>
      </w:pPr>
      <w:rPr>
        <w:rFonts w:ascii="OpenSymbol" w:hAnsi="OpenSymbol" w:cs="OpenSymbol" w:hint="default"/>
        <w:b w:val="0"/>
        <w:sz w:val="24"/>
      </w:rPr>
    </w:lvl>
    <w:lvl w:ilvl="5">
      <w:start w:val="1"/>
      <w:numFmt w:val="bullet"/>
      <w:lvlText w:val="▪"/>
      <w:lvlJc w:val="left"/>
      <w:pPr>
        <w:tabs>
          <w:tab w:val="num" w:pos="2520"/>
        </w:tabs>
        <w:ind w:left="2520" w:hanging="360"/>
      </w:pPr>
      <w:rPr>
        <w:rFonts w:ascii="OpenSymbol" w:hAnsi="OpenSymbol" w:cs="OpenSymbol" w:hint="default"/>
        <w:b w:val="0"/>
        <w:sz w:val="24"/>
      </w:rPr>
    </w:lvl>
    <w:lvl w:ilvl="6">
      <w:start w:val="1"/>
      <w:numFmt w:val="bullet"/>
      <w:lvlText w:val=""/>
      <w:lvlJc w:val="left"/>
      <w:pPr>
        <w:tabs>
          <w:tab w:val="num" w:pos="2880"/>
        </w:tabs>
        <w:ind w:left="2880" w:hanging="360"/>
      </w:pPr>
      <w:rPr>
        <w:rFonts w:ascii="Symbol" w:hAnsi="Symbol" w:cs="OpenSymbol" w:hint="default"/>
        <w:b w:val="0"/>
        <w:sz w:val="24"/>
      </w:rPr>
    </w:lvl>
    <w:lvl w:ilvl="7">
      <w:start w:val="1"/>
      <w:numFmt w:val="bullet"/>
      <w:lvlText w:val="◦"/>
      <w:lvlJc w:val="left"/>
      <w:pPr>
        <w:tabs>
          <w:tab w:val="num" w:pos="3240"/>
        </w:tabs>
        <w:ind w:left="3240" w:hanging="360"/>
      </w:pPr>
      <w:rPr>
        <w:rFonts w:ascii="OpenSymbol" w:hAnsi="OpenSymbol" w:cs="OpenSymbol" w:hint="default"/>
        <w:b w:val="0"/>
        <w:sz w:val="24"/>
      </w:rPr>
    </w:lvl>
    <w:lvl w:ilvl="8">
      <w:start w:val="1"/>
      <w:numFmt w:val="bullet"/>
      <w:lvlText w:val="▪"/>
      <w:lvlJc w:val="left"/>
      <w:pPr>
        <w:tabs>
          <w:tab w:val="num" w:pos="3600"/>
        </w:tabs>
        <w:ind w:left="3600" w:hanging="360"/>
      </w:pPr>
      <w:rPr>
        <w:rFonts w:ascii="OpenSymbol" w:hAnsi="OpenSymbol" w:cs="OpenSymbol" w:hint="default"/>
        <w:b w:val="0"/>
        <w:sz w:val="24"/>
      </w:rPr>
    </w:lvl>
  </w:abstractNum>
  <w:abstractNum w:abstractNumId="9" w15:restartNumberingAfterBreak="0">
    <w:nsid w:val="100543F7"/>
    <w:multiLevelType w:val="hybridMultilevel"/>
    <w:tmpl w:val="95E26A0C"/>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D13B41"/>
    <w:multiLevelType w:val="multilevel"/>
    <w:tmpl w:val="FB8C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57D64"/>
    <w:multiLevelType w:val="multilevel"/>
    <w:tmpl w:val="7768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A324C"/>
    <w:multiLevelType w:val="hybridMultilevel"/>
    <w:tmpl w:val="9E62B11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B0287A"/>
    <w:multiLevelType w:val="hybridMultilevel"/>
    <w:tmpl w:val="DFD44C20"/>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E26861"/>
    <w:multiLevelType w:val="hybridMultilevel"/>
    <w:tmpl w:val="616C0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FC64CC"/>
    <w:multiLevelType w:val="multilevel"/>
    <w:tmpl w:val="59C0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5517DA"/>
    <w:multiLevelType w:val="multilevel"/>
    <w:tmpl w:val="8E08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C10262"/>
    <w:multiLevelType w:val="multilevel"/>
    <w:tmpl w:val="2E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0157DC"/>
    <w:multiLevelType w:val="multilevel"/>
    <w:tmpl w:val="CE62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173A05"/>
    <w:multiLevelType w:val="hybridMultilevel"/>
    <w:tmpl w:val="077A40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B10847"/>
    <w:multiLevelType w:val="multilevel"/>
    <w:tmpl w:val="8640BCD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263509BB"/>
    <w:multiLevelType w:val="multilevel"/>
    <w:tmpl w:val="F5FEC2C0"/>
    <w:lvl w:ilvl="0">
      <w:start w:val="1"/>
      <w:numFmt w:val="bullet"/>
      <w:lvlText w:val=""/>
      <w:lvlJc w:val="left"/>
      <w:pPr>
        <w:tabs>
          <w:tab w:val="num" w:pos="720"/>
        </w:tabs>
        <w:ind w:left="720" w:hanging="360"/>
      </w:pPr>
      <w:rPr>
        <w:rFonts w:ascii="Wingdings" w:hAnsi="Wingdings" w:cs="OpenSymbol" w:hint="default"/>
        <w:b w:val="0"/>
        <w:sz w:val="24"/>
      </w:rPr>
    </w:lvl>
    <w:lvl w:ilvl="1">
      <w:start w:val="1"/>
      <w:numFmt w:val="bullet"/>
      <w:lvlText w:val=""/>
      <w:lvlJc w:val="left"/>
      <w:pPr>
        <w:tabs>
          <w:tab w:val="num" w:pos="1080"/>
        </w:tabs>
        <w:ind w:left="1080" w:hanging="360"/>
      </w:pPr>
      <w:rPr>
        <w:rFonts w:ascii="Wingdings" w:hAnsi="Wingdings" w:cs="OpenSymbol" w:hint="default"/>
        <w:b w:val="0"/>
        <w:sz w:val="24"/>
      </w:rPr>
    </w:lvl>
    <w:lvl w:ilvl="2">
      <w:start w:val="1"/>
      <w:numFmt w:val="bullet"/>
      <w:lvlText w:val=""/>
      <w:lvlJc w:val="left"/>
      <w:pPr>
        <w:tabs>
          <w:tab w:val="num" w:pos="1440"/>
        </w:tabs>
        <w:ind w:left="1440" w:hanging="360"/>
      </w:pPr>
      <w:rPr>
        <w:rFonts w:ascii="Wingdings" w:hAnsi="Wingdings" w:cs="OpenSymbol" w:hint="default"/>
        <w:b w:val="0"/>
        <w:sz w:val="24"/>
      </w:rPr>
    </w:lvl>
    <w:lvl w:ilvl="3">
      <w:start w:val="1"/>
      <w:numFmt w:val="bullet"/>
      <w:lvlText w:val=""/>
      <w:lvlJc w:val="left"/>
      <w:pPr>
        <w:tabs>
          <w:tab w:val="num" w:pos="1800"/>
        </w:tabs>
        <w:ind w:left="1800" w:hanging="360"/>
      </w:pPr>
      <w:rPr>
        <w:rFonts w:ascii="Wingdings" w:hAnsi="Wingdings" w:cs="OpenSymbol" w:hint="default"/>
        <w:b w:val="0"/>
        <w:sz w:val="24"/>
      </w:rPr>
    </w:lvl>
    <w:lvl w:ilvl="4">
      <w:start w:val="1"/>
      <w:numFmt w:val="bullet"/>
      <w:lvlText w:val=""/>
      <w:lvlJc w:val="left"/>
      <w:pPr>
        <w:tabs>
          <w:tab w:val="num" w:pos="2160"/>
        </w:tabs>
        <w:ind w:left="2160" w:hanging="360"/>
      </w:pPr>
      <w:rPr>
        <w:rFonts w:ascii="Wingdings" w:hAnsi="Wingdings" w:cs="OpenSymbol" w:hint="default"/>
        <w:b w:val="0"/>
        <w:sz w:val="24"/>
      </w:rPr>
    </w:lvl>
    <w:lvl w:ilvl="5">
      <w:start w:val="1"/>
      <w:numFmt w:val="bullet"/>
      <w:lvlText w:val=""/>
      <w:lvlJc w:val="left"/>
      <w:pPr>
        <w:tabs>
          <w:tab w:val="num" w:pos="2520"/>
        </w:tabs>
        <w:ind w:left="2520" w:hanging="360"/>
      </w:pPr>
      <w:rPr>
        <w:rFonts w:ascii="Wingdings" w:hAnsi="Wingdings" w:cs="OpenSymbol" w:hint="default"/>
        <w:b w:val="0"/>
        <w:sz w:val="24"/>
      </w:rPr>
    </w:lvl>
    <w:lvl w:ilvl="6">
      <w:start w:val="1"/>
      <w:numFmt w:val="bullet"/>
      <w:lvlText w:val=""/>
      <w:lvlJc w:val="left"/>
      <w:pPr>
        <w:tabs>
          <w:tab w:val="num" w:pos="2880"/>
        </w:tabs>
        <w:ind w:left="2880" w:hanging="360"/>
      </w:pPr>
      <w:rPr>
        <w:rFonts w:ascii="Wingdings" w:hAnsi="Wingdings" w:cs="OpenSymbol" w:hint="default"/>
        <w:b w:val="0"/>
        <w:sz w:val="24"/>
      </w:rPr>
    </w:lvl>
    <w:lvl w:ilvl="7">
      <w:start w:val="1"/>
      <w:numFmt w:val="bullet"/>
      <w:lvlText w:val=""/>
      <w:lvlJc w:val="left"/>
      <w:pPr>
        <w:tabs>
          <w:tab w:val="num" w:pos="3240"/>
        </w:tabs>
        <w:ind w:left="3240" w:hanging="360"/>
      </w:pPr>
      <w:rPr>
        <w:rFonts w:ascii="Wingdings" w:hAnsi="Wingdings" w:cs="OpenSymbol" w:hint="default"/>
        <w:b w:val="0"/>
        <w:sz w:val="24"/>
      </w:rPr>
    </w:lvl>
    <w:lvl w:ilvl="8">
      <w:start w:val="1"/>
      <w:numFmt w:val="bullet"/>
      <w:lvlText w:val=""/>
      <w:lvlJc w:val="left"/>
      <w:pPr>
        <w:tabs>
          <w:tab w:val="num" w:pos="3600"/>
        </w:tabs>
        <w:ind w:left="3600" w:hanging="360"/>
      </w:pPr>
      <w:rPr>
        <w:rFonts w:ascii="Wingdings" w:hAnsi="Wingdings" w:cs="OpenSymbol" w:hint="default"/>
        <w:b w:val="0"/>
        <w:sz w:val="24"/>
      </w:rPr>
    </w:lvl>
  </w:abstractNum>
  <w:abstractNum w:abstractNumId="22" w15:restartNumberingAfterBreak="0">
    <w:nsid w:val="2AFF4635"/>
    <w:multiLevelType w:val="hybridMultilevel"/>
    <w:tmpl w:val="387A1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906CCA"/>
    <w:multiLevelType w:val="multilevel"/>
    <w:tmpl w:val="B7C6C50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2C364978"/>
    <w:multiLevelType w:val="hybridMultilevel"/>
    <w:tmpl w:val="65000F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36542D"/>
    <w:multiLevelType w:val="hybridMultilevel"/>
    <w:tmpl w:val="FCFE36C8"/>
    <w:lvl w:ilvl="0" w:tplc="09F6A314">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9157CC"/>
    <w:multiLevelType w:val="multilevel"/>
    <w:tmpl w:val="CE1A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6A363D"/>
    <w:multiLevelType w:val="hybridMultilevel"/>
    <w:tmpl w:val="1AB01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BB360D"/>
    <w:multiLevelType w:val="multilevel"/>
    <w:tmpl w:val="BF9A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845B4F"/>
    <w:multiLevelType w:val="hybridMultilevel"/>
    <w:tmpl w:val="2B34F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687F0A"/>
    <w:multiLevelType w:val="hybridMultilevel"/>
    <w:tmpl w:val="F4E4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4834AF6"/>
    <w:multiLevelType w:val="multilevel"/>
    <w:tmpl w:val="2754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997AEF"/>
    <w:multiLevelType w:val="hybridMultilevel"/>
    <w:tmpl w:val="DA1E6010"/>
    <w:lvl w:ilvl="0" w:tplc="BC0EF616">
      <w:numFmt w:val="bullet"/>
      <w:lvlText w:val="•"/>
      <w:lvlJc w:val="left"/>
      <w:pPr>
        <w:ind w:left="1065" w:hanging="705"/>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022EED"/>
    <w:multiLevelType w:val="hybridMultilevel"/>
    <w:tmpl w:val="CC28D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822054"/>
    <w:multiLevelType w:val="multilevel"/>
    <w:tmpl w:val="C0FE7F20"/>
    <w:lvl w:ilvl="0">
      <w:start w:val="1"/>
      <w:numFmt w:val="bullet"/>
      <w:lvlText w:val=""/>
      <w:lvlJc w:val="left"/>
      <w:pPr>
        <w:tabs>
          <w:tab w:val="num" w:pos="1173"/>
        </w:tabs>
        <w:ind w:left="1173" w:hanging="360"/>
      </w:pPr>
      <w:rPr>
        <w:rFonts w:ascii="Symbol" w:hAnsi="Symbol" w:cs="OpenSymbol" w:hint="default"/>
        <w:b w:val="0"/>
        <w:sz w:val="24"/>
      </w:rPr>
    </w:lvl>
    <w:lvl w:ilvl="1">
      <w:start w:val="1"/>
      <w:numFmt w:val="bullet"/>
      <w:lvlText w:val="◦"/>
      <w:lvlJc w:val="left"/>
      <w:pPr>
        <w:tabs>
          <w:tab w:val="num" w:pos="1533"/>
        </w:tabs>
        <w:ind w:left="1533" w:hanging="360"/>
      </w:pPr>
      <w:rPr>
        <w:rFonts w:ascii="OpenSymbol" w:hAnsi="OpenSymbol" w:cs="OpenSymbol" w:hint="default"/>
        <w:b w:val="0"/>
        <w:sz w:val="24"/>
      </w:rPr>
    </w:lvl>
    <w:lvl w:ilvl="2">
      <w:start w:val="1"/>
      <w:numFmt w:val="bullet"/>
      <w:lvlText w:val="▪"/>
      <w:lvlJc w:val="left"/>
      <w:pPr>
        <w:tabs>
          <w:tab w:val="num" w:pos="1893"/>
        </w:tabs>
        <w:ind w:left="1893" w:hanging="360"/>
      </w:pPr>
      <w:rPr>
        <w:rFonts w:ascii="OpenSymbol" w:hAnsi="OpenSymbol" w:cs="OpenSymbol" w:hint="default"/>
        <w:b w:val="0"/>
        <w:sz w:val="24"/>
      </w:rPr>
    </w:lvl>
    <w:lvl w:ilvl="3">
      <w:start w:val="1"/>
      <w:numFmt w:val="bullet"/>
      <w:lvlText w:val=""/>
      <w:lvlJc w:val="left"/>
      <w:pPr>
        <w:tabs>
          <w:tab w:val="num" w:pos="2253"/>
        </w:tabs>
        <w:ind w:left="2253" w:hanging="360"/>
      </w:pPr>
      <w:rPr>
        <w:rFonts w:ascii="Symbol" w:hAnsi="Symbol" w:cs="OpenSymbol" w:hint="default"/>
        <w:b w:val="0"/>
        <w:sz w:val="24"/>
      </w:rPr>
    </w:lvl>
    <w:lvl w:ilvl="4">
      <w:start w:val="1"/>
      <w:numFmt w:val="bullet"/>
      <w:lvlText w:val="◦"/>
      <w:lvlJc w:val="left"/>
      <w:pPr>
        <w:tabs>
          <w:tab w:val="num" w:pos="2613"/>
        </w:tabs>
        <w:ind w:left="2613" w:hanging="360"/>
      </w:pPr>
      <w:rPr>
        <w:rFonts w:ascii="OpenSymbol" w:hAnsi="OpenSymbol" w:cs="OpenSymbol" w:hint="default"/>
        <w:b w:val="0"/>
        <w:sz w:val="24"/>
      </w:rPr>
    </w:lvl>
    <w:lvl w:ilvl="5">
      <w:start w:val="1"/>
      <w:numFmt w:val="bullet"/>
      <w:lvlText w:val="▪"/>
      <w:lvlJc w:val="left"/>
      <w:pPr>
        <w:tabs>
          <w:tab w:val="num" w:pos="2973"/>
        </w:tabs>
        <w:ind w:left="2973" w:hanging="360"/>
      </w:pPr>
      <w:rPr>
        <w:rFonts w:ascii="OpenSymbol" w:hAnsi="OpenSymbol" w:cs="OpenSymbol" w:hint="default"/>
        <w:b w:val="0"/>
        <w:sz w:val="24"/>
      </w:rPr>
    </w:lvl>
    <w:lvl w:ilvl="6">
      <w:start w:val="1"/>
      <w:numFmt w:val="bullet"/>
      <w:lvlText w:val=""/>
      <w:lvlJc w:val="left"/>
      <w:pPr>
        <w:tabs>
          <w:tab w:val="num" w:pos="3333"/>
        </w:tabs>
        <w:ind w:left="3333" w:hanging="360"/>
      </w:pPr>
      <w:rPr>
        <w:rFonts w:ascii="Symbol" w:hAnsi="Symbol" w:cs="OpenSymbol" w:hint="default"/>
        <w:b w:val="0"/>
        <w:sz w:val="24"/>
      </w:rPr>
    </w:lvl>
    <w:lvl w:ilvl="7">
      <w:start w:val="1"/>
      <w:numFmt w:val="bullet"/>
      <w:lvlText w:val="◦"/>
      <w:lvlJc w:val="left"/>
      <w:pPr>
        <w:tabs>
          <w:tab w:val="num" w:pos="3693"/>
        </w:tabs>
        <w:ind w:left="3693" w:hanging="360"/>
      </w:pPr>
      <w:rPr>
        <w:rFonts w:ascii="OpenSymbol" w:hAnsi="OpenSymbol" w:cs="OpenSymbol" w:hint="default"/>
        <w:b w:val="0"/>
        <w:sz w:val="24"/>
      </w:rPr>
    </w:lvl>
    <w:lvl w:ilvl="8">
      <w:start w:val="1"/>
      <w:numFmt w:val="bullet"/>
      <w:lvlText w:val="▪"/>
      <w:lvlJc w:val="left"/>
      <w:pPr>
        <w:tabs>
          <w:tab w:val="num" w:pos="4053"/>
        </w:tabs>
        <w:ind w:left="4053" w:hanging="360"/>
      </w:pPr>
      <w:rPr>
        <w:rFonts w:ascii="OpenSymbol" w:hAnsi="OpenSymbol" w:cs="OpenSymbol" w:hint="default"/>
        <w:b w:val="0"/>
        <w:sz w:val="24"/>
      </w:rPr>
    </w:lvl>
  </w:abstractNum>
  <w:abstractNum w:abstractNumId="35" w15:restartNumberingAfterBreak="0">
    <w:nsid w:val="3FD174FC"/>
    <w:multiLevelType w:val="multilevel"/>
    <w:tmpl w:val="26E68C72"/>
    <w:lvl w:ilvl="0">
      <w:start w:val="1"/>
      <w:numFmt w:val="bullet"/>
      <w:lvlText w:val=""/>
      <w:lvlJc w:val="left"/>
      <w:pPr>
        <w:ind w:left="720" w:hanging="360"/>
      </w:pPr>
      <w:rPr>
        <w:rFonts w:ascii="Symbol" w:hAnsi="Symbol" w:hint="default"/>
      </w:rPr>
    </w:lvl>
    <w:lvl w:ilvl="1">
      <w:start w:val="1"/>
      <w:numFmt w:val="lowerLetter"/>
      <w:lvlText w:val="%2)"/>
      <w:lvlJc w:val="left"/>
      <w:pPr>
        <w:ind w:left="1470" w:hanging="39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430E2AB2"/>
    <w:multiLevelType w:val="hybridMultilevel"/>
    <w:tmpl w:val="4F9ED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C06B49"/>
    <w:multiLevelType w:val="hybridMultilevel"/>
    <w:tmpl w:val="46C08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1C108D"/>
    <w:multiLevelType w:val="hybridMultilevel"/>
    <w:tmpl w:val="671C39D2"/>
    <w:lvl w:ilvl="0" w:tplc="BC0EF616">
      <w:numFmt w:val="bullet"/>
      <w:lvlText w:val="•"/>
      <w:lvlJc w:val="left"/>
      <w:pPr>
        <w:ind w:left="1065" w:hanging="705"/>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5AD398B"/>
    <w:multiLevelType w:val="multilevel"/>
    <w:tmpl w:val="A388297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0" w15:restartNumberingAfterBreak="0">
    <w:nsid w:val="460604BE"/>
    <w:multiLevelType w:val="hybridMultilevel"/>
    <w:tmpl w:val="F0F22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1E35CE"/>
    <w:multiLevelType w:val="hybridMultilevel"/>
    <w:tmpl w:val="FE9EB926"/>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42" w15:restartNumberingAfterBreak="0">
    <w:nsid w:val="46AE3286"/>
    <w:multiLevelType w:val="hybridMultilevel"/>
    <w:tmpl w:val="911E9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6D175CE"/>
    <w:multiLevelType w:val="multilevel"/>
    <w:tmpl w:val="7DF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D432A9"/>
    <w:multiLevelType w:val="multilevel"/>
    <w:tmpl w:val="657EE9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49045A4A"/>
    <w:multiLevelType w:val="multilevel"/>
    <w:tmpl w:val="6C1E32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15:restartNumberingAfterBreak="0">
    <w:nsid w:val="4B3A442D"/>
    <w:multiLevelType w:val="hybridMultilevel"/>
    <w:tmpl w:val="75629B70"/>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7" w15:restartNumberingAfterBreak="0">
    <w:nsid w:val="4B5B32B0"/>
    <w:multiLevelType w:val="multilevel"/>
    <w:tmpl w:val="A828AF1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4BB80B9F"/>
    <w:multiLevelType w:val="multilevel"/>
    <w:tmpl w:val="C6F2E7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4FBD4DA3"/>
    <w:multiLevelType w:val="hybridMultilevel"/>
    <w:tmpl w:val="45040D96"/>
    <w:lvl w:ilvl="0" w:tplc="04150001">
      <w:start w:val="1"/>
      <w:numFmt w:val="bullet"/>
      <w:lvlText w:val=""/>
      <w:lvlJc w:val="left"/>
      <w:pPr>
        <w:ind w:left="1065" w:hanging="705"/>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26189D"/>
    <w:multiLevelType w:val="multilevel"/>
    <w:tmpl w:val="EE22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5F1E2E"/>
    <w:multiLevelType w:val="hybridMultilevel"/>
    <w:tmpl w:val="01AEB20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0FE5EDB"/>
    <w:multiLevelType w:val="hybridMultilevel"/>
    <w:tmpl w:val="AAAE6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13127A"/>
    <w:multiLevelType w:val="multilevel"/>
    <w:tmpl w:val="2BE0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1C4B22"/>
    <w:multiLevelType w:val="hybridMultilevel"/>
    <w:tmpl w:val="158AB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6997BAA"/>
    <w:multiLevelType w:val="hybridMultilevel"/>
    <w:tmpl w:val="7E261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6A95F7F"/>
    <w:multiLevelType w:val="multilevel"/>
    <w:tmpl w:val="CE86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76A5553"/>
    <w:multiLevelType w:val="hybridMultilevel"/>
    <w:tmpl w:val="671279B0"/>
    <w:lvl w:ilvl="0" w:tplc="BC0EF616">
      <w:numFmt w:val="bullet"/>
      <w:lvlText w:val="•"/>
      <w:lvlJc w:val="left"/>
      <w:pPr>
        <w:ind w:left="1065" w:hanging="705"/>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86E4299"/>
    <w:multiLevelType w:val="hybridMultilevel"/>
    <w:tmpl w:val="6CE88F8A"/>
    <w:lvl w:ilvl="0" w:tplc="C18A6AF6">
      <w:start w:val="5"/>
      <w:numFmt w:val="bullet"/>
      <w:lvlText w:val="-"/>
      <w:lvlJc w:val="left"/>
      <w:pPr>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E14757A"/>
    <w:multiLevelType w:val="multilevel"/>
    <w:tmpl w:val="5AF252A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0" w15:restartNumberingAfterBreak="0">
    <w:nsid w:val="5EBE6679"/>
    <w:multiLevelType w:val="hybridMultilevel"/>
    <w:tmpl w:val="DFBA7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F2F47B5"/>
    <w:multiLevelType w:val="multilevel"/>
    <w:tmpl w:val="4852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EF4D90"/>
    <w:multiLevelType w:val="hybridMultilevel"/>
    <w:tmpl w:val="897E3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C65D45"/>
    <w:multiLevelType w:val="hybridMultilevel"/>
    <w:tmpl w:val="B7805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C81032"/>
    <w:multiLevelType w:val="hybridMultilevel"/>
    <w:tmpl w:val="B9428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CFA0B0D"/>
    <w:multiLevelType w:val="multilevel"/>
    <w:tmpl w:val="2B1A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7583BFB"/>
    <w:multiLevelType w:val="hybridMultilevel"/>
    <w:tmpl w:val="880EE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7862397"/>
    <w:multiLevelType w:val="hybridMultilevel"/>
    <w:tmpl w:val="156A02D4"/>
    <w:lvl w:ilvl="0" w:tplc="BC0EF616">
      <w:numFmt w:val="bullet"/>
      <w:lvlText w:val="•"/>
      <w:lvlJc w:val="left"/>
      <w:pPr>
        <w:ind w:left="1425" w:hanging="705"/>
      </w:pPr>
      <w:rPr>
        <w:rFonts w:ascii="Cambria" w:eastAsiaTheme="minorHAnsi" w:hAnsi="Cambria"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77AB1B15"/>
    <w:multiLevelType w:val="multilevel"/>
    <w:tmpl w:val="30A0C07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b w:val="0"/>
        <w:sz w:val="24"/>
      </w:rPr>
    </w:lvl>
    <w:lvl w:ilvl="3">
      <w:start w:val="1"/>
      <w:numFmt w:val="bullet"/>
      <w:lvlText w:val=""/>
      <w:lvlJc w:val="left"/>
      <w:pPr>
        <w:tabs>
          <w:tab w:val="num" w:pos="1800"/>
        </w:tabs>
        <w:ind w:left="1800" w:hanging="360"/>
      </w:pPr>
      <w:rPr>
        <w:rFonts w:ascii="Symbol" w:hAnsi="Symbol" w:cs="OpenSymbol" w:hint="default"/>
        <w:b w:val="0"/>
        <w:sz w:val="24"/>
      </w:rPr>
    </w:lvl>
    <w:lvl w:ilvl="4">
      <w:start w:val="1"/>
      <w:numFmt w:val="bullet"/>
      <w:lvlText w:val="◦"/>
      <w:lvlJc w:val="left"/>
      <w:pPr>
        <w:tabs>
          <w:tab w:val="num" w:pos="2160"/>
        </w:tabs>
        <w:ind w:left="2160" w:hanging="360"/>
      </w:pPr>
      <w:rPr>
        <w:rFonts w:ascii="OpenSymbol" w:hAnsi="OpenSymbol" w:cs="OpenSymbol" w:hint="default"/>
        <w:b w:val="0"/>
        <w:sz w:val="24"/>
      </w:rPr>
    </w:lvl>
    <w:lvl w:ilvl="5">
      <w:start w:val="1"/>
      <w:numFmt w:val="bullet"/>
      <w:lvlText w:val="▪"/>
      <w:lvlJc w:val="left"/>
      <w:pPr>
        <w:tabs>
          <w:tab w:val="num" w:pos="2520"/>
        </w:tabs>
        <w:ind w:left="2520" w:hanging="360"/>
      </w:pPr>
      <w:rPr>
        <w:rFonts w:ascii="OpenSymbol" w:hAnsi="OpenSymbol" w:cs="OpenSymbol" w:hint="default"/>
        <w:b w:val="0"/>
        <w:sz w:val="24"/>
      </w:rPr>
    </w:lvl>
    <w:lvl w:ilvl="6">
      <w:start w:val="1"/>
      <w:numFmt w:val="bullet"/>
      <w:lvlText w:val=""/>
      <w:lvlJc w:val="left"/>
      <w:pPr>
        <w:tabs>
          <w:tab w:val="num" w:pos="2880"/>
        </w:tabs>
        <w:ind w:left="2880" w:hanging="360"/>
      </w:pPr>
      <w:rPr>
        <w:rFonts w:ascii="Symbol" w:hAnsi="Symbol" w:cs="OpenSymbol" w:hint="default"/>
        <w:b w:val="0"/>
        <w:sz w:val="24"/>
      </w:rPr>
    </w:lvl>
    <w:lvl w:ilvl="7">
      <w:start w:val="1"/>
      <w:numFmt w:val="bullet"/>
      <w:lvlText w:val="◦"/>
      <w:lvlJc w:val="left"/>
      <w:pPr>
        <w:tabs>
          <w:tab w:val="num" w:pos="3240"/>
        </w:tabs>
        <w:ind w:left="3240" w:hanging="360"/>
      </w:pPr>
      <w:rPr>
        <w:rFonts w:ascii="OpenSymbol" w:hAnsi="OpenSymbol" w:cs="OpenSymbol" w:hint="default"/>
        <w:b w:val="0"/>
        <w:sz w:val="24"/>
      </w:rPr>
    </w:lvl>
    <w:lvl w:ilvl="8">
      <w:start w:val="1"/>
      <w:numFmt w:val="bullet"/>
      <w:lvlText w:val="▪"/>
      <w:lvlJc w:val="left"/>
      <w:pPr>
        <w:tabs>
          <w:tab w:val="num" w:pos="3600"/>
        </w:tabs>
        <w:ind w:left="3600" w:hanging="360"/>
      </w:pPr>
      <w:rPr>
        <w:rFonts w:ascii="OpenSymbol" w:hAnsi="OpenSymbol" w:cs="OpenSymbol" w:hint="default"/>
        <w:b w:val="0"/>
        <w:sz w:val="24"/>
      </w:rPr>
    </w:lvl>
  </w:abstractNum>
  <w:abstractNum w:abstractNumId="69" w15:restartNumberingAfterBreak="0">
    <w:nsid w:val="7A350AB7"/>
    <w:multiLevelType w:val="multilevel"/>
    <w:tmpl w:val="86D8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D937DF"/>
    <w:multiLevelType w:val="hybridMultilevel"/>
    <w:tmpl w:val="6C1E3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F844D53"/>
    <w:multiLevelType w:val="multilevel"/>
    <w:tmpl w:val="82DE0BE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6"/>
  </w:num>
  <w:num w:numId="3">
    <w:abstractNumId w:val="57"/>
  </w:num>
  <w:num w:numId="4">
    <w:abstractNumId w:val="67"/>
  </w:num>
  <w:num w:numId="5">
    <w:abstractNumId w:val="23"/>
  </w:num>
  <w:num w:numId="6">
    <w:abstractNumId w:val="48"/>
  </w:num>
  <w:num w:numId="7">
    <w:abstractNumId w:val="70"/>
  </w:num>
  <w:num w:numId="8">
    <w:abstractNumId w:val="45"/>
  </w:num>
  <w:num w:numId="9">
    <w:abstractNumId w:val="35"/>
  </w:num>
  <w:num w:numId="10">
    <w:abstractNumId w:val="49"/>
  </w:num>
  <w:num w:numId="11">
    <w:abstractNumId w:val="11"/>
  </w:num>
  <w:num w:numId="12">
    <w:abstractNumId w:val="36"/>
  </w:num>
  <w:num w:numId="13">
    <w:abstractNumId w:val="54"/>
  </w:num>
  <w:num w:numId="14">
    <w:abstractNumId w:val="27"/>
  </w:num>
  <w:num w:numId="15">
    <w:abstractNumId w:val="33"/>
  </w:num>
  <w:num w:numId="16">
    <w:abstractNumId w:val="37"/>
  </w:num>
  <w:num w:numId="17">
    <w:abstractNumId w:val="46"/>
  </w:num>
  <w:num w:numId="18">
    <w:abstractNumId w:val="40"/>
  </w:num>
  <w:num w:numId="19">
    <w:abstractNumId w:val="32"/>
  </w:num>
  <w:num w:numId="20">
    <w:abstractNumId w:val="38"/>
  </w:num>
  <w:num w:numId="21">
    <w:abstractNumId w:val="51"/>
  </w:num>
  <w:num w:numId="22">
    <w:abstractNumId w:val="52"/>
  </w:num>
  <w:num w:numId="23">
    <w:abstractNumId w:val="24"/>
  </w:num>
  <w:num w:numId="24">
    <w:abstractNumId w:val="47"/>
  </w:num>
  <w:num w:numId="25">
    <w:abstractNumId w:val="39"/>
  </w:num>
  <w:num w:numId="26">
    <w:abstractNumId w:val="59"/>
  </w:num>
  <w:num w:numId="27">
    <w:abstractNumId w:val="20"/>
  </w:num>
  <w:num w:numId="28">
    <w:abstractNumId w:val="44"/>
  </w:num>
  <w:num w:numId="29">
    <w:abstractNumId w:val="8"/>
  </w:num>
  <w:num w:numId="30">
    <w:abstractNumId w:val="34"/>
  </w:num>
  <w:num w:numId="31">
    <w:abstractNumId w:val="21"/>
  </w:num>
  <w:num w:numId="32">
    <w:abstractNumId w:val="68"/>
  </w:num>
  <w:num w:numId="33">
    <w:abstractNumId w:val="4"/>
  </w:num>
  <w:num w:numId="34">
    <w:abstractNumId w:val="71"/>
  </w:num>
  <w:num w:numId="35">
    <w:abstractNumId w:val="15"/>
  </w:num>
  <w:num w:numId="36">
    <w:abstractNumId w:val="17"/>
  </w:num>
  <w:num w:numId="37">
    <w:abstractNumId w:val="61"/>
  </w:num>
  <w:num w:numId="38">
    <w:abstractNumId w:val="10"/>
  </w:num>
  <w:num w:numId="39">
    <w:abstractNumId w:val="50"/>
  </w:num>
  <w:num w:numId="40">
    <w:abstractNumId w:val="60"/>
  </w:num>
  <w:num w:numId="41">
    <w:abstractNumId w:val="7"/>
  </w:num>
  <w:num w:numId="42">
    <w:abstractNumId w:val="43"/>
  </w:num>
  <w:num w:numId="43">
    <w:abstractNumId w:val="16"/>
  </w:num>
  <w:num w:numId="44">
    <w:abstractNumId w:val="53"/>
  </w:num>
  <w:num w:numId="45">
    <w:abstractNumId w:val="69"/>
  </w:num>
  <w:num w:numId="46">
    <w:abstractNumId w:val="18"/>
  </w:num>
  <w:num w:numId="47">
    <w:abstractNumId w:val="31"/>
  </w:num>
  <w:num w:numId="48">
    <w:abstractNumId w:val="55"/>
  </w:num>
  <w:num w:numId="49">
    <w:abstractNumId w:val="6"/>
  </w:num>
  <w:num w:numId="50">
    <w:abstractNumId w:val="2"/>
  </w:num>
  <w:num w:numId="51">
    <w:abstractNumId w:val="0"/>
  </w:num>
  <w:num w:numId="52">
    <w:abstractNumId w:val="63"/>
  </w:num>
  <w:num w:numId="53">
    <w:abstractNumId w:val="58"/>
  </w:num>
  <w:num w:numId="54">
    <w:abstractNumId w:val="30"/>
  </w:num>
  <w:num w:numId="55">
    <w:abstractNumId w:val="25"/>
  </w:num>
  <w:num w:numId="56">
    <w:abstractNumId w:val="65"/>
  </w:num>
  <w:num w:numId="57">
    <w:abstractNumId w:val="56"/>
  </w:num>
  <w:num w:numId="58">
    <w:abstractNumId w:val="28"/>
  </w:num>
  <w:num w:numId="59">
    <w:abstractNumId w:val="29"/>
  </w:num>
  <w:num w:numId="60">
    <w:abstractNumId w:val="42"/>
  </w:num>
  <w:num w:numId="61">
    <w:abstractNumId w:val="9"/>
  </w:num>
  <w:num w:numId="62">
    <w:abstractNumId w:val="62"/>
  </w:num>
  <w:num w:numId="63">
    <w:abstractNumId w:val="66"/>
  </w:num>
  <w:num w:numId="64">
    <w:abstractNumId w:val="14"/>
  </w:num>
  <w:num w:numId="65">
    <w:abstractNumId w:val="64"/>
  </w:num>
  <w:num w:numId="66">
    <w:abstractNumId w:val="5"/>
  </w:num>
  <w:num w:numId="67">
    <w:abstractNumId w:val="19"/>
  </w:num>
  <w:num w:numId="68">
    <w:abstractNumId w:val="12"/>
  </w:num>
  <w:num w:numId="69">
    <w:abstractNumId w:val="22"/>
  </w:num>
  <w:num w:numId="70">
    <w:abstractNumId w:val="3"/>
  </w:num>
  <w:num w:numId="71">
    <w:abstractNumId w:val="13"/>
  </w:num>
  <w:num w:numId="72">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8E8"/>
    <w:rsid w:val="0000063B"/>
    <w:rsid w:val="00002138"/>
    <w:rsid w:val="00007753"/>
    <w:rsid w:val="000144A4"/>
    <w:rsid w:val="0002141C"/>
    <w:rsid w:val="0002776C"/>
    <w:rsid w:val="0003254A"/>
    <w:rsid w:val="000418AB"/>
    <w:rsid w:val="0005685C"/>
    <w:rsid w:val="00063B84"/>
    <w:rsid w:val="0006550F"/>
    <w:rsid w:val="00066229"/>
    <w:rsid w:val="00067B65"/>
    <w:rsid w:val="000712B2"/>
    <w:rsid w:val="000716A2"/>
    <w:rsid w:val="00073D3F"/>
    <w:rsid w:val="000742B4"/>
    <w:rsid w:val="000753E7"/>
    <w:rsid w:val="0008057D"/>
    <w:rsid w:val="00084F50"/>
    <w:rsid w:val="00095068"/>
    <w:rsid w:val="000C23DB"/>
    <w:rsid w:val="000C3209"/>
    <w:rsid w:val="000C60BF"/>
    <w:rsid w:val="000C67FF"/>
    <w:rsid w:val="000D2AB0"/>
    <w:rsid w:val="000D5083"/>
    <w:rsid w:val="000D713D"/>
    <w:rsid w:val="000E0556"/>
    <w:rsid w:val="000E321B"/>
    <w:rsid w:val="000F0858"/>
    <w:rsid w:val="000F2C97"/>
    <w:rsid w:val="000F2ED7"/>
    <w:rsid w:val="00104C2B"/>
    <w:rsid w:val="00106A52"/>
    <w:rsid w:val="00111F98"/>
    <w:rsid w:val="00122FD2"/>
    <w:rsid w:val="00123360"/>
    <w:rsid w:val="00132D29"/>
    <w:rsid w:val="001335EB"/>
    <w:rsid w:val="001451E6"/>
    <w:rsid w:val="0014543E"/>
    <w:rsid w:val="001538DB"/>
    <w:rsid w:val="001718E8"/>
    <w:rsid w:val="001775E3"/>
    <w:rsid w:val="0018694D"/>
    <w:rsid w:val="00196D66"/>
    <w:rsid w:val="001B58E4"/>
    <w:rsid w:val="001B68FC"/>
    <w:rsid w:val="001C5795"/>
    <w:rsid w:val="001C61A8"/>
    <w:rsid w:val="001D2515"/>
    <w:rsid w:val="001F0217"/>
    <w:rsid w:val="00201A09"/>
    <w:rsid w:val="00203890"/>
    <w:rsid w:val="00203EE5"/>
    <w:rsid w:val="002235C0"/>
    <w:rsid w:val="00223FDD"/>
    <w:rsid w:val="002350DE"/>
    <w:rsid w:val="0024537B"/>
    <w:rsid w:val="00246C8C"/>
    <w:rsid w:val="00250013"/>
    <w:rsid w:val="00257641"/>
    <w:rsid w:val="002705B6"/>
    <w:rsid w:val="002742B0"/>
    <w:rsid w:val="0027608C"/>
    <w:rsid w:val="00283D34"/>
    <w:rsid w:val="002865CE"/>
    <w:rsid w:val="00292073"/>
    <w:rsid w:val="00293AEA"/>
    <w:rsid w:val="00295BED"/>
    <w:rsid w:val="00297DDE"/>
    <w:rsid w:val="002A31A2"/>
    <w:rsid w:val="002B314D"/>
    <w:rsid w:val="002C7091"/>
    <w:rsid w:val="002D3502"/>
    <w:rsid w:val="002D67F2"/>
    <w:rsid w:val="002F0DB4"/>
    <w:rsid w:val="002F3C96"/>
    <w:rsid w:val="002F454C"/>
    <w:rsid w:val="002F6663"/>
    <w:rsid w:val="00300DF2"/>
    <w:rsid w:val="00301D74"/>
    <w:rsid w:val="0032280A"/>
    <w:rsid w:val="00322F6C"/>
    <w:rsid w:val="0033094C"/>
    <w:rsid w:val="00334DAC"/>
    <w:rsid w:val="00337C60"/>
    <w:rsid w:val="003431CB"/>
    <w:rsid w:val="00345AB9"/>
    <w:rsid w:val="00347FC0"/>
    <w:rsid w:val="00380CCA"/>
    <w:rsid w:val="003811BC"/>
    <w:rsid w:val="00384903"/>
    <w:rsid w:val="003915FF"/>
    <w:rsid w:val="003946D6"/>
    <w:rsid w:val="003950F7"/>
    <w:rsid w:val="003A04A4"/>
    <w:rsid w:val="003A27DA"/>
    <w:rsid w:val="003A39C5"/>
    <w:rsid w:val="003A4F75"/>
    <w:rsid w:val="003B517C"/>
    <w:rsid w:val="003C5A1E"/>
    <w:rsid w:val="003C724D"/>
    <w:rsid w:val="003D2452"/>
    <w:rsid w:val="003D63ED"/>
    <w:rsid w:val="003E1C5B"/>
    <w:rsid w:val="003E4CB7"/>
    <w:rsid w:val="003F497A"/>
    <w:rsid w:val="003F7AC9"/>
    <w:rsid w:val="0040139B"/>
    <w:rsid w:val="00401F45"/>
    <w:rsid w:val="00410A59"/>
    <w:rsid w:val="004159BD"/>
    <w:rsid w:val="00425222"/>
    <w:rsid w:val="0042653F"/>
    <w:rsid w:val="00426ABD"/>
    <w:rsid w:val="00440CED"/>
    <w:rsid w:val="00451314"/>
    <w:rsid w:val="004568D6"/>
    <w:rsid w:val="00464D03"/>
    <w:rsid w:val="00470A21"/>
    <w:rsid w:val="004767E0"/>
    <w:rsid w:val="00482A70"/>
    <w:rsid w:val="00493C8E"/>
    <w:rsid w:val="004966C8"/>
    <w:rsid w:val="004B0AEA"/>
    <w:rsid w:val="004B10FC"/>
    <w:rsid w:val="004C0092"/>
    <w:rsid w:val="004C2A23"/>
    <w:rsid w:val="004E0F74"/>
    <w:rsid w:val="004E0FB5"/>
    <w:rsid w:val="00500E5C"/>
    <w:rsid w:val="0050359E"/>
    <w:rsid w:val="00506F39"/>
    <w:rsid w:val="00517EAD"/>
    <w:rsid w:val="00530C87"/>
    <w:rsid w:val="00540D2E"/>
    <w:rsid w:val="005512F8"/>
    <w:rsid w:val="005557A2"/>
    <w:rsid w:val="00561FE2"/>
    <w:rsid w:val="00563D06"/>
    <w:rsid w:val="00567A8C"/>
    <w:rsid w:val="00574B80"/>
    <w:rsid w:val="00580F12"/>
    <w:rsid w:val="00582849"/>
    <w:rsid w:val="00584D11"/>
    <w:rsid w:val="00590781"/>
    <w:rsid w:val="005968F1"/>
    <w:rsid w:val="00597193"/>
    <w:rsid w:val="005A0AE5"/>
    <w:rsid w:val="005A5481"/>
    <w:rsid w:val="005A6438"/>
    <w:rsid w:val="005B6426"/>
    <w:rsid w:val="005C4765"/>
    <w:rsid w:val="005D2112"/>
    <w:rsid w:val="005D23F7"/>
    <w:rsid w:val="005E129D"/>
    <w:rsid w:val="005E3FC6"/>
    <w:rsid w:val="005F01BE"/>
    <w:rsid w:val="005F10E1"/>
    <w:rsid w:val="005F3785"/>
    <w:rsid w:val="0060313A"/>
    <w:rsid w:val="00605A87"/>
    <w:rsid w:val="006220D4"/>
    <w:rsid w:val="00626E1F"/>
    <w:rsid w:val="006276B6"/>
    <w:rsid w:val="006302B3"/>
    <w:rsid w:val="00633445"/>
    <w:rsid w:val="006353C3"/>
    <w:rsid w:val="00642D73"/>
    <w:rsid w:val="00644F22"/>
    <w:rsid w:val="00655933"/>
    <w:rsid w:val="00663837"/>
    <w:rsid w:val="00670E44"/>
    <w:rsid w:val="00672216"/>
    <w:rsid w:val="006804C0"/>
    <w:rsid w:val="006819EC"/>
    <w:rsid w:val="00681EE7"/>
    <w:rsid w:val="0069062D"/>
    <w:rsid w:val="006A339E"/>
    <w:rsid w:val="006B296D"/>
    <w:rsid w:val="006B691A"/>
    <w:rsid w:val="006D0B78"/>
    <w:rsid w:val="006E1D87"/>
    <w:rsid w:val="006E5967"/>
    <w:rsid w:val="006F54FB"/>
    <w:rsid w:val="007036E7"/>
    <w:rsid w:val="00705223"/>
    <w:rsid w:val="0071247C"/>
    <w:rsid w:val="00714D42"/>
    <w:rsid w:val="00716D7C"/>
    <w:rsid w:val="007175AC"/>
    <w:rsid w:val="00717F99"/>
    <w:rsid w:val="007255AC"/>
    <w:rsid w:val="00726810"/>
    <w:rsid w:val="00735BDD"/>
    <w:rsid w:val="007403DB"/>
    <w:rsid w:val="00741C82"/>
    <w:rsid w:val="0075111A"/>
    <w:rsid w:val="00756648"/>
    <w:rsid w:val="0076119E"/>
    <w:rsid w:val="00761802"/>
    <w:rsid w:val="007747CF"/>
    <w:rsid w:val="0077631E"/>
    <w:rsid w:val="007820F4"/>
    <w:rsid w:val="007946D6"/>
    <w:rsid w:val="00795191"/>
    <w:rsid w:val="007B04E7"/>
    <w:rsid w:val="007B1440"/>
    <w:rsid w:val="007C3CF2"/>
    <w:rsid w:val="007D126E"/>
    <w:rsid w:val="007E65AD"/>
    <w:rsid w:val="007F1DA6"/>
    <w:rsid w:val="007F557F"/>
    <w:rsid w:val="007F7398"/>
    <w:rsid w:val="00804DB1"/>
    <w:rsid w:val="00806262"/>
    <w:rsid w:val="00807674"/>
    <w:rsid w:val="008239D7"/>
    <w:rsid w:val="008262D3"/>
    <w:rsid w:val="008306AC"/>
    <w:rsid w:val="008522E1"/>
    <w:rsid w:val="00862824"/>
    <w:rsid w:val="008764D0"/>
    <w:rsid w:val="00877D12"/>
    <w:rsid w:val="00884113"/>
    <w:rsid w:val="008A241B"/>
    <w:rsid w:val="008A3BC8"/>
    <w:rsid w:val="008A6F6C"/>
    <w:rsid w:val="008B3749"/>
    <w:rsid w:val="008B64B0"/>
    <w:rsid w:val="008C1C45"/>
    <w:rsid w:val="008C4483"/>
    <w:rsid w:val="008E278F"/>
    <w:rsid w:val="008E52D1"/>
    <w:rsid w:val="008F12B5"/>
    <w:rsid w:val="008F242F"/>
    <w:rsid w:val="009107A4"/>
    <w:rsid w:val="00931F03"/>
    <w:rsid w:val="00933D43"/>
    <w:rsid w:val="00936A46"/>
    <w:rsid w:val="00940426"/>
    <w:rsid w:val="00946AAD"/>
    <w:rsid w:val="00970CF4"/>
    <w:rsid w:val="00973AC3"/>
    <w:rsid w:val="00976500"/>
    <w:rsid w:val="009821E2"/>
    <w:rsid w:val="009871E6"/>
    <w:rsid w:val="00990837"/>
    <w:rsid w:val="009909B3"/>
    <w:rsid w:val="009916AC"/>
    <w:rsid w:val="00996085"/>
    <w:rsid w:val="009A7AFF"/>
    <w:rsid w:val="009C049B"/>
    <w:rsid w:val="009C2A50"/>
    <w:rsid w:val="009C519D"/>
    <w:rsid w:val="009D09A0"/>
    <w:rsid w:val="009D6EA2"/>
    <w:rsid w:val="009E11EB"/>
    <w:rsid w:val="009E7269"/>
    <w:rsid w:val="009F0CAD"/>
    <w:rsid w:val="00A02CB9"/>
    <w:rsid w:val="00A049AF"/>
    <w:rsid w:val="00A06016"/>
    <w:rsid w:val="00A2168B"/>
    <w:rsid w:val="00A2587B"/>
    <w:rsid w:val="00A42E97"/>
    <w:rsid w:val="00A52C80"/>
    <w:rsid w:val="00A60B14"/>
    <w:rsid w:val="00A63A6F"/>
    <w:rsid w:val="00A737E2"/>
    <w:rsid w:val="00A80452"/>
    <w:rsid w:val="00AA049D"/>
    <w:rsid w:val="00AA4389"/>
    <w:rsid w:val="00AA4F66"/>
    <w:rsid w:val="00AB0DC5"/>
    <w:rsid w:val="00AB1486"/>
    <w:rsid w:val="00AB79C2"/>
    <w:rsid w:val="00AC30DE"/>
    <w:rsid w:val="00AD0E4C"/>
    <w:rsid w:val="00AD12FC"/>
    <w:rsid w:val="00AD1CE1"/>
    <w:rsid w:val="00AD699B"/>
    <w:rsid w:val="00AF1FF5"/>
    <w:rsid w:val="00AF3A41"/>
    <w:rsid w:val="00B00577"/>
    <w:rsid w:val="00B02284"/>
    <w:rsid w:val="00B02FE8"/>
    <w:rsid w:val="00B053BC"/>
    <w:rsid w:val="00B17599"/>
    <w:rsid w:val="00B309BD"/>
    <w:rsid w:val="00B3147D"/>
    <w:rsid w:val="00B32DAF"/>
    <w:rsid w:val="00B42237"/>
    <w:rsid w:val="00B43862"/>
    <w:rsid w:val="00B509D4"/>
    <w:rsid w:val="00B50BA0"/>
    <w:rsid w:val="00B555E6"/>
    <w:rsid w:val="00B652AC"/>
    <w:rsid w:val="00B65BE5"/>
    <w:rsid w:val="00B76471"/>
    <w:rsid w:val="00B82D97"/>
    <w:rsid w:val="00B90901"/>
    <w:rsid w:val="00B94A1F"/>
    <w:rsid w:val="00B96212"/>
    <w:rsid w:val="00B96631"/>
    <w:rsid w:val="00BA1F6A"/>
    <w:rsid w:val="00BB43A3"/>
    <w:rsid w:val="00BB7417"/>
    <w:rsid w:val="00BC0953"/>
    <w:rsid w:val="00BC14F6"/>
    <w:rsid w:val="00BC3A23"/>
    <w:rsid w:val="00BD0F22"/>
    <w:rsid w:val="00BD137B"/>
    <w:rsid w:val="00BE6FA1"/>
    <w:rsid w:val="00BF4843"/>
    <w:rsid w:val="00BF5ED4"/>
    <w:rsid w:val="00C03A0C"/>
    <w:rsid w:val="00C277FE"/>
    <w:rsid w:val="00C4002A"/>
    <w:rsid w:val="00C4032E"/>
    <w:rsid w:val="00C5778E"/>
    <w:rsid w:val="00C63E22"/>
    <w:rsid w:val="00C64DCD"/>
    <w:rsid w:val="00C71109"/>
    <w:rsid w:val="00C71E15"/>
    <w:rsid w:val="00C74073"/>
    <w:rsid w:val="00C8093B"/>
    <w:rsid w:val="00C8270D"/>
    <w:rsid w:val="00C9560B"/>
    <w:rsid w:val="00CA1220"/>
    <w:rsid w:val="00CA6247"/>
    <w:rsid w:val="00CB7980"/>
    <w:rsid w:val="00CE0A91"/>
    <w:rsid w:val="00CE0F19"/>
    <w:rsid w:val="00CE7B15"/>
    <w:rsid w:val="00CE7B69"/>
    <w:rsid w:val="00CF7270"/>
    <w:rsid w:val="00D06187"/>
    <w:rsid w:val="00D13980"/>
    <w:rsid w:val="00D15B6F"/>
    <w:rsid w:val="00D228A6"/>
    <w:rsid w:val="00D27449"/>
    <w:rsid w:val="00D3680C"/>
    <w:rsid w:val="00D4091C"/>
    <w:rsid w:val="00D415B8"/>
    <w:rsid w:val="00D43853"/>
    <w:rsid w:val="00D566F6"/>
    <w:rsid w:val="00D656B1"/>
    <w:rsid w:val="00D73E35"/>
    <w:rsid w:val="00D754B8"/>
    <w:rsid w:val="00D842E3"/>
    <w:rsid w:val="00D86353"/>
    <w:rsid w:val="00DA35BD"/>
    <w:rsid w:val="00DA3C66"/>
    <w:rsid w:val="00DA400F"/>
    <w:rsid w:val="00DA7B10"/>
    <w:rsid w:val="00DB5CB5"/>
    <w:rsid w:val="00DC28E6"/>
    <w:rsid w:val="00DD03EE"/>
    <w:rsid w:val="00DD3718"/>
    <w:rsid w:val="00DD3F30"/>
    <w:rsid w:val="00DD4157"/>
    <w:rsid w:val="00DD4300"/>
    <w:rsid w:val="00DE35CA"/>
    <w:rsid w:val="00DF119E"/>
    <w:rsid w:val="00DF5D67"/>
    <w:rsid w:val="00DF73E8"/>
    <w:rsid w:val="00E04649"/>
    <w:rsid w:val="00E11FAE"/>
    <w:rsid w:val="00E207B0"/>
    <w:rsid w:val="00E25A13"/>
    <w:rsid w:val="00E27C7C"/>
    <w:rsid w:val="00E31651"/>
    <w:rsid w:val="00E3222B"/>
    <w:rsid w:val="00E33264"/>
    <w:rsid w:val="00E4338F"/>
    <w:rsid w:val="00E47FC8"/>
    <w:rsid w:val="00E53AAA"/>
    <w:rsid w:val="00E57842"/>
    <w:rsid w:val="00E63513"/>
    <w:rsid w:val="00E63AB4"/>
    <w:rsid w:val="00E67A11"/>
    <w:rsid w:val="00E72737"/>
    <w:rsid w:val="00E76E63"/>
    <w:rsid w:val="00E840A2"/>
    <w:rsid w:val="00E91059"/>
    <w:rsid w:val="00E939FC"/>
    <w:rsid w:val="00E95FDA"/>
    <w:rsid w:val="00EA3884"/>
    <w:rsid w:val="00EB674A"/>
    <w:rsid w:val="00EC40E7"/>
    <w:rsid w:val="00EC4404"/>
    <w:rsid w:val="00EC528B"/>
    <w:rsid w:val="00EC7687"/>
    <w:rsid w:val="00ED79F8"/>
    <w:rsid w:val="00EE533D"/>
    <w:rsid w:val="00EE5C0C"/>
    <w:rsid w:val="00EE6562"/>
    <w:rsid w:val="00EE68CD"/>
    <w:rsid w:val="00EE7383"/>
    <w:rsid w:val="00F00BC2"/>
    <w:rsid w:val="00F06682"/>
    <w:rsid w:val="00F105A1"/>
    <w:rsid w:val="00F2116B"/>
    <w:rsid w:val="00F31AC5"/>
    <w:rsid w:val="00F3759F"/>
    <w:rsid w:val="00F44143"/>
    <w:rsid w:val="00F6725C"/>
    <w:rsid w:val="00F7049A"/>
    <w:rsid w:val="00F712F2"/>
    <w:rsid w:val="00F71304"/>
    <w:rsid w:val="00F7409A"/>
    <w:rsid w:val="00F75B97"/>
    <w:rsid w:val="00F81333"/>
    <w:rsid w:val="00FB5F73"/>
    <w:rsid w:val="00FD2B00"/>
    <w:rsid w:val="00FD5F5C"/>
    <w:rsid w:val="00FE25A8"/>
    <w:rsid w:val="00FF3E9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0C2B95-003C-4826-80DB-44555C3B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C00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4C009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7F7398"/>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semiHidden/>
    <w:unhideWhenUsed/>
    <w:qFormat/>
    <w:rsid w:val="006F54FB"/>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F44143"/>
    <w:pPr>
      <w:keepNext/>
      <w:keepLines/>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6F54F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6F54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6F54FB"/>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Nagwek9">
    <w:name w:val="heading 9"/>
    <w:basedOn w:val="Normalny"/>
    <w:next w:val="Normalny"/>
    <w:link w:val="Nagwek9Znak"/>
    <w:uiPriority w:val="9"/>
    <w:semiHidden/>
    <w:unhideWhenUsed/>
    <w:qFormat/>
    <w:rsid w:val="006F54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1718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1718E8"/>
    <w:rPr>
      <w:rFonts w:ascii="Tahoma" w:hAnsi="Tahoma" w:cs="Tahoma"/>
      <w:sz w:val="16"/>
      <w:szCs w:val="16"/>
    </w:rPr>
  </w:style>
  <w:style w:type="character" w:customStyle="1" w:styleId="Nagwek1Znak">
    <w:name w:val="Nagłówek 1 Znak"/>
    <w:basedOn w:val="Domylnaczcionkaakapitu"/>
    <w:link w:val="Nagwek1"/>
    <w:uiPriority w:val="9"/>
    <w:rsid w:val="004C0092"/>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4C0092"/>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Domylnaczcionkaakapitu"/>
    <w:rsid w:val="005C4765"/>
  </w:style>
  <w:style w:type="paragraph" w:customStyle="1" w:styleId="default">
    <w:name w:val="default"/>
    <w:basedOn w:val="Normalny"/>
    <w:rsid w:val="005C4765"/>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unhideWhenUsed/>
    <w:rsid w:val="003950F7"/>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3950F7"/>
    <w:rPr>
      <w:color w:val="0000FF"/>
      <w:u w:val="single"/>
    </w:rPr>
  </w:style>
  <w:style w:type="paragraph" w:styleId="Legenda">
    <w:name w:val="caption"/>
    <w:basedOn w:val="Normalny"/>
    <w:next w:val="Normalny"/>
    <w:uiPriority w:val="35"/>
    <w:unhideWhenUsed/>
    <w:qFormat/>
    <w:rsid w:val="003811BC"/>
    <w:pPr>
      <w:spacing w:line="240" w:lineRule="auto"/>
    </w:pPr>
    <w:rPr>
      <w:b/>
      <w:bCs/>
      <w:color w:val="5B9BD5" w:themeColor="accent1"/>
      <w:sz w:val="18"/>
      <w:szCs w:val="18"/>
    </w:rPr>
  </w:style>
  <w:style w:type="paragraph" w:styleId="Akapitzlist">
    <w:name w:val="List Paragraph"/>
    <w:basedOn w:val="Normalny"/>
    <w:uiPriority w:val="34"/>
    <w:qFormat/>
    <w:rsid w:val="00590781"/>
    <w:pPr>
      <w:ind w:left="720"/>
      <w:contextualSpacing/>
    </w:pPr>
  </w:style>
  <w:style w:type="table" w:styleId="Tabela-Siatka">
    <w:name w:val="Table Grid"/>
    <w:basedOn w:val="Standardowy"/>
    <w:uiPriority w:val="59"/>
    <w:rsid w:val="00567A8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063B84"/>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rsid w:val="00063B84"/>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rsid w:val="00F44143"/>
    <w:rPr>
      <w:rFonts w:asciiTheme="majorHAnsi" w:eastAsiaTheme="majorEastAsia" w:hAnsiTheme="majorHAnsi" w:cstheme="majorBidi"/>
      <w:color w:val="1F4D78" w:themeColor="accent1" w:themeShade="7F"/>
    </w:rPr>
  </w:style>
  <w:style w:type="paragraph" w:styleId="Tekstprzypisudolnego">
    <w:name w:val="footnote text"/>
    <w:basedOn w:val="Normalny"/>
    <w:link w:val="TekstprzypisudolnegoZnak"/>
    <w:semiHidden/>
    <w:unhideWhenUsed/>
    <w:rsid w:val="00AD0E4C"/>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AD0E4C"/>
    <w:rPr>
      <w:rFonts w:ascii="Times New Roman" w:eastAsia="Times New Roman" w:hAnsi="Times New Roman" w:cs="Times New Roman"/>
      <w:sz w:val="20"/>
      <w:szCs w:val="20"/>
      <w:lang w:eastAsia="pl-PL"/>
    </w:rPr>
  </w:style>
  <w:style w:type="character" w:customStyle="1" w:styleId="gruby">
    <w:name w:val="gruby"/>
    <w:basedOn w:val="Domylnaczcionkaakapitu"/>
    <w:rsid w:val="00741C82"/>
  </w:style>
  <w:style w:type="character" w:styleId="Uwydatnienie">
    <w:name w:val="Emphasis"/>
    <w:basedOn w:val="Domylnaczcionkaakapitu"/>
    <w:uiPriority w:val="20"/>
    <w:qFormat/>
    <w:rsid w:val="00741C82"/>
    <w:rPr>
      <w:i/>
      <w:iCs/>
    </w:rPr>
  </w:style>
  <w:style w:type="character" w:customStyle="1" w:styleId="Nagwek3Znak">
    <w:name w:val="Nagłówek 3 Znak"/>
    <w:basedOn w:val="Domylnaczcionkaakapitu"/>
    <w:link w:val="Nagwek3"/>
    <w:uiPriority w:val="9"/>
    <w:qFormat/>
    <w:rsid w:val="007F7398"/>
    <w:rPr>
      <w:rFonts w:asciiTheme="majorHAnsi" w:eastAsiaTheme="majorEastAsia" w:hAnsiTheme="majorHAnsi" w:cstheme="majorBidi"/>
      <w:b/>
      <w:bCs/>
      <w:color w:val="5B9BD5" w:themeColor="accent1"/>
    </w:rPr>
  </w:style>
  <w:style w:type="paragraph" w:styleId="Nagwekspisutreci">
    <w:name w:val="TOC Heading"/>
    <w:basedOn w:val="Nagwek1"/>
    <w:next w:val="Normalny"/>
    <w:uiPriority w:val="39"/>
    <w:unhideWhenUsed/>
    <w:qFormat/>
    <w:rsid w:val="007F7398"/>
    <w:pPr>
      <w:outlineLvl w:val="9"/>
    </w:pPr>
  </w:style>
  <w:style w:type="paragraph" w:styleId="Spistreci1">
    <w:name w:val="toc 1"/>
    <w:basedOn w:val="Normalny"/>
    <w:next w:val="Normalny"/>
    <w:autoRedefine/>
    <w:uiPriority w:val="39"/>
    <w:unhideWhenUsed/>
    <w:rsid w:val="004568D6"/>
    <w:pPr>
      <w:tabs>
        <w:tab w:val="right" w:leader="dot" w:pos="9062"/>
      </w:tabs>
      <w:spacing w:after="100"/>
      <w:jc w:val="both"/>
    </w:pPr>
  </w:style>
  <w:style w:type="paragraph" w:styleId="Spistreci2">
    <w:name w:val="toc 2"/>
    <w:basedOn w:val="Normalny"/>
    <w:next w:val="Normalny"/>
    <w:autoRedefine/>
    <w:uiPriority w:val="39"/>
    <w:unhideWhenUsed/>
    <w:rsid w:val="007F7398"/>
    <w:pPr>
      <w:spacing w:after="100"/>
      <w:ind w:left="220"/>
    </w:pPr>
  </w:style>
  <w:style w:type="paragraph" w:styleId="Spistreci3">
    <w:name w:val="toc 3"/>
    <w:basedOn w:val="Normalny"/>
    <w:next w:val="Normalny"/>
    <w:autoRedefine/>
    <w:uiPriority w:val="39"/>
    <w:unhideWhenUsed/>
    <w:rsid w:val="004568D6"/>
    <w:pPr>
      <w:tabs>
        <w:tab w:val="right" w:leader="dot" w:pos="9062"/>
      </w:tabs>
      <w:spacing w:after="100"/>
      <w:ind w:left="440"/>
      <w:jc w:val="both"/>
    </w:pPr>
  </w:style>
  <w:style w:type="character" w:customStyle="1" w:styleId="Teksttreci2Exact">
    <w:name w:val="Tekst treści (2) Exact"/>
    <w:basedOn w:val="Domylnaczcionkaakapitu"/>
    <w:rsid w:val="00DD4157"/>
    <w:rPr>
      <w:rFonts w:ascii="Times New Roman" w:eastAsia="Times New Roman" w:hAnsi="Times New Roman" w:cs="Times New Roman"/>
      <w:b w:val="0"/>
      <w:bCs w:val="0"/>
      <w:i w:val="0"/>
      <w:iCs w:val="0"/>
      <w:caps w:val="0"/>
      <w:smallCaps w:val="0"/>
      <w:strike w:val="0"/>
      <w:dstrike w:val="0"/>
      <w:sz w:val="22"/>
      <w:szCs w:val="22"/>
      <w:u w:val="none"/>
    </w:rPr>
  </w:style>
  <w:style w:type="paragraph" w:customStyle="1" w:styleId="Default0">
    <w:name w:val="Default"/>
    <w:rsid w:val="00C03A0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retekstu">
    <w:name w:val="Treść tekstu"/>
    <w:basedOn w:val="Normalny"/>
    <w:rsid w:val="00C03A0C"/>
    <w:pPr>
      <w:spacing w:after="140" w:line="288" w:lineRule="auto"/>
    </w:pPr>
  </w:style>
  <w:style w:type="paragraph" w:styleId="Stopka">
    <w:name w:val="footer"/>
    <w:basedOn w:val="Normalny"/>
    <w:link w:val="StopkaZnak"/>
    <w:unhideWhenUsed/>
    <w:rsid w:val="00DD03EE"/>
    <w:pPr>
      <w:tabs>
        <w:tab w:val="center" w:pos="4536"/>
        <w:tab w:val="right" w:pos="9072"/>
      </w:tabs>
      <w:spacing w:after="0" w:line="240" w:lineRule="auto"/>
    </w:pPr>
  </w:style>
  <w:style w:type="character" w:customStyle="1" w:styleId="StopkaZnak">
    <w:name w:val="Stopka Znak"/>
    <w:basedOn w:val="Domylnaczcionkaakapitu"/>
    <w:link w:val="Stopka"/>
    <w:rsid w:val="00DD03EE"/>
  </w:style>
  <w:style w:type="character" w:styleId="Pogrubienie">
    <w:name w:val="Strong"/>
    <w:basedOn w:val="Domylnaczcionkaakapitu"/>
    <w:uiPriority w:val="22"/>
    <w:qFormat/>
    <w:rsid w:val="006E1D87"/>
    <w:rPr>
      <w:b/>
      <w:bCs/>
    </w:rPr>
  </w:style>
  <w:style w:type="character" w:customStyle="1" w:styleId="Nagwek4Znak">
    <w:name w:val="Nagłówek 4 Znak"/>
    <w:basedOn w:val="Domylnaczcionkaakapitu"/>
    <w:link w:val="Nagwek4"/>
    <w:uiPriority w:val="9"/>
    <w:semiHidden/>
    <w:rsid w:val="006F54FB"/>
    <w:rPr>
      <w:rFonts w:asciiTheme="majorHAnsi" w:eastAsiaTheme="majorEastAsia" w:hAnsiTheme="majorHAnsi" w:cstheme="majorBidi"/>
      <w:b/>
      <w:bCs/>
      <w:i/>
      <w:iCs/>
      <w:color w:val="5B9BD5" w:themeColor="accent1"/>
      <w:lang w:eastAsia="pl-PL"/>
    </w:rPr>
  </w:style>
  <w:style w:type="character" w:customStyle="1" w:styleId="Nagwek6Znak">
    <w:name w:val="Nagłówek 6 Znak"/>
    <w:basedOn w:val="Domylnaczcionkaakapitu"/>
    <w:link w:val="Nagwek6"/>
    <w:uiPriority w:val="9"/>
    <w:semiHidden/>
    <w:rsid w:val="006F54FB"/>
    <w:rPr>
      <w:rFonts w:asciiTheme="majorHAnsi" w:eastAsiaTheme="majorEastAsia" w:hAnsiTheme="majorHAnsi" w:cstheme="majorBidi"/>
      <w:i/>
      <w:iCs/>
      <w:color w:val="1F4D78" w:themeColor="accent1" w:themeShade="7F"/>
      <w:lang w:eastAsia="pl-PL"/>
    </w:rPr>
  </w:style>
  <w:style w:type="character" w:customStyle="1" w:styleId="Nagwek7Znak">
    <w:name w:val="Nagłówek 7 Znak"/>
    <w:basedOn w:val="Domylnaczcionkaakapitu"/>
    <w:link w:val="Nagwek7"/>
    <w:uiPriority w:val="9"/>
    <w:semiHidden/>
    <w:rsid w:val="006F54FB"/>
    <w:rPr>
      <w:rFonts w:asciiTheme="majorHAnsi" w:eastAsiaTheme="majorEastAsia" w:hAnsiTheme="majorHAnsi" w:cstheme="majorBidi"/>
      <w:i/>
      <w:iCs/>
      <w:color w:val="404040" w:themeColor="text1" w:themeTint="BF"/>
      <w:lang w:eastAsia="pl-PL"/>
    </w:rPr>
  </w:style>
  <w:style w:type="character" w:customStyle="1" w:styleId="Nagwek8Znak">
    <w:name w:val="Nagłówek 8 Znak"/>
    <w:basedOn w:val="Domylnaczcionkaakapitu"/>
    <w:link w:val="Nagwek8"/>
    <w:uiPriority w:val="9"/>
    <w:semiHidden/>
    <w:rsid w:val="006F54FB"/>
    <w:rPr>
      <w:rFonts w:asciiTheme="majorHAnsi" w:eastAsiaTheme="majorEastAsia" w:hAnsiTheme="majorHAnsi" w:cstheme="majorBidi"/>
      <w:color w:val="5B9BD5" w:themeColor="accent1"/>
      <w:sz w:val="20"/>
      <w:szCs w:val="20"/>
      <w:lang w:eastAsia="pl-PL"/>
    </w:rPr>
  </w:style>
  <w:style w:type="character" w:customStyle="1" w:styleId="Nagwek9Znak">
    <w:name w:val="Nagłówek 9 Znak"/>
    <w:basedOn w:val="Domylnaczcionkaakapitu"/>
    <w:link w:val="Nagwek9"/>
    <w:uiPriority w:val="9"/>
    <w:semiHidden/>
    <w:rsid w:val="006F54FB"/>
    <w:rPr>
      <w:rFonts w:asciiTheme="majorHAnsi" w:eastAsiaTheme="majorEastAsia" w:hAnsiTheme="majorHAnsi" w:cstheme="majorBidi"/>
      <w:i/>
      <w:iCs/>
      <w:color w:val="404040" w:themeColor="text1" w:themeTint="BF"/>
      <w:sz w:val="20"/>
      <w:szCs w:val="20"/>
      <w:lang w:eastAsia="pl-PL"/>
    </w:rPr>
  </w:style>
  <w:style w:type="character" w:customStyle="1" w:styleId="czeinternetowe">
    <w:name w:val="Łącze internetowe"/>
    <w:basedOn w:val="Domylnaczcionkaakapitu"/>
    <w:rsid w:val="006F54FB"/>
    <w:rPr>
      <w:color w:val="0000FF"/>
      <w:u w:val="single"/>
    </w:rPr>
  </w:style>
  <w:style w:type="character" w:customStyle="1" w:styleId="ListLabel1">
    <w:name w:val="ListLabel 1"/>
    <w:rsid w:val="006F54FB"/>
    <w:rPr>
      <w:rFonts w:cs="Courier New"/>
    </w:rPr>
  </w:style>
  <w:style w:type="character" w:customStyle="1" w:styleId="czeindeksu">
    <w:name w:val="Łącze indeksu"/>
    <w:rsid w:val="006F54FB"/>
  </w:style>
  <w:style w:type="character" w:customStyle="1" w:styleId="Znakiwypunktowania">
    <w:name w:val="Znaki wypunktowania"/>
    <w:rsid w:val="006F54FB"/>
    <w:rPr>
      <w:rFonts w:ascii="OpenSymbol" w:eastAsia="OpenSymbol" w:hAnsi="OpenSymbol" w:cs="OpenSymbol"/>
    </w:rPr>
  </w:style>
  <w:style w:type="character" w:customStyle="1" w:styleId="Znakinumeracji">
    <w:name w:val="Znaki numeracji"/>
    <w:rsid w:val="006F54FB"/>
  </w:style>
  <w:style w:type="character" w:customStyle="1" w:styleId="Mocnowyrniony">
    <w:name w:val="Mocno wyróżniony"/>
    <w:rsid w:val="006F54FB"/>
    <w:rPr>
      <w:b/>
      <w:bCs/>
    </w:rPr>
  </w:style>
  <w:style w:type="character" w:customStyle="1" w:styleId="WW8Num4z0">
    <w:name w:val="WW8Num4z0"/>
    <w:rsid w:val="006F54FB"/>
  </w:style>
  <w:style w:type="character" w:customStyle="1" w:styleId="WW8Num4z2">
    <w:name w:val="WW8Num4z2"/>
    <w:rsid w:val="006F54FB"/>
  </w:style>
  <w:style w:type="character" w:customStyle="1" w:styleId="WW8Num4z3">
    <w:name w:val="WW8Num4z3"/>
    <w:rsid w:val="006F54FB"/>
  </w:style>
  <w:style w:type="character" w:customStyle="1" w:styleId="WW8Num4z4">
    <w:name w:val="WW8Num4z4"/>
    <w:rsid w:val="006F54FB"/>
  </w:style>
  <w:style w:type="character" w:customStyle="1" w:styleId="WW8Num4z5">
    <w:name w:val="WW8Num4z5"/>
    <w:rsid w:val="006F54FB"/>
  </w:style>
  <w:style w:type="character" w:customStyle="1" w:styleId="WW8Num4z6">
    <w:name w:val="WW8Num4z6"/>
    <w:rsid w:val="006F54FB"/>
  </w:style>
  <w:style w:type="character" w:customStyle="1" w:styleId="WW8Num4z7">
    <w:name w:val="WW8Num4z7"/>
    <w:rsid w:val="006F54FB"/>
  </w:style>
  <w:style w:type="character" w:customStyle="1" w:styleId="WW8Num4z8">
    <w:name w:val="WW8Num4z8"/>
    <w:rsid w:val="006F54FB"/>
  </w:style>
  <w:style w:type="character" w:customStyle="1" w:styleId="WW8Num12z0">
    <w:name w:val="WW8Num12z0"/>
    <w:rsid w:val="006F54FB"/>
  </w:style>
  <w:style w:type="character" w:customStyle="1" w:styleId="WW8Num12z1">
    <w:name w:val="WW8Num12z1"/>
    <w:rsid w:val="006F54FB"/>
  </w:style>
  <w:style w:type="character" w:customStyle="1" w:styleId="WW8Num12z2">
    <w:name w:val="WW8Num12z2"/>
    <w:rsid w:val="006F54FB"/>
  </w:style>
  <w:style w:type="character" w:customStyle="1" w:styleId="WW8Num12z3">
    <w:name w:val="WW8Num12z3"/>
    <w:rsid w:val="006F54FB"/>
  </w:style>
  <w:style w:type="character" w:customStyle="1" w:styleId="WW8Num12z4">
    <w:name w:val="WW8Num12z4"/>
    <w:rsid w:val="006F54FB"/>
  </w:style>
  <w:style w:type="character" w:customStyle="1" w:styleId="WW8Num12z5">
    <w:name w:val="WW8Num12z5"/>
    <w:rsid w:val="006F54FB"/>
  </w:style>
  <w:style w:type="character" w:customStyle="1" w:styleId="WW8Num12z6">
    <w:name w:val="WW8Num12z6"/>
    <w:rsid w:val="006F54FB"/>
  </w:style>
  <w:style w:type="character" w:customStyle="1" w:styleId="WW8Num12z7">
    <w:name w:val="WW8Num12z7"/>
    <w:rsid w:val="006F54FB"/>
  </w:style>
  <w:style w:type="character" w:customStyle="1" w:styleId="WW8Num12z8">
    <w:name w:val="WW8Num12z8"/>
    <w:rsid w:val="006F54FB"/>
  </w:style>
  <w:style w:type="character" w:customStyle="1" w:styleId="WW8Num16z0">
    <w:name w:val="WW8Num16z0"/>
    <w:rsid w:val="006F54FB"/>
    <w:rPr>
      <w:rFonts w:ascii="Times New Roman" w:hAnsi="Times New Roman" w:cs="Times New Roman"/>
    </w:rPr>
  </w:style>
  <w:style w:type="character" w:customStyle="1" w:styleId="WW8Num13z0">
    <w:name w:val="WW8Num13z0"/>
    <w:rsid w:val="006F54FB"/>
    <w:rPr>
      <w:rFonts w:ascii="Times New Roman" w:hAnsi="Times New Roman" w:cs="Times New Roman"/>
    </w:rPr>
  </w:style>
  <w:style w:type="character" w:customStyle="1" w:styleId="Wyrnienie">
    <w:name w:val="Wyróżnienie"/>
    <w:rsid w:val="006F54FB"/>
    <w:rPr>
      <w:i/>
      <w:iCs/>
    </w:rPr>
  </w:style>
  <w:style w:type="character" w:customStyle="1" w:styleId="ListLabel2">
    <w:name w:val="ListLabel 2"/>
    <w:rsid w:val="006F54FB"/>
    <w:rPr>
      <w:rFonts w:ascii="Times New Roman" w:hAnsi="Times New Roman" w:cs="Symbol"/>
      <w:sz w:val="24"/>
    </w:rPr>
  </w:style>
  <w:style w:type="character" w:customStyle="1" w:styleId="ListLabel3">
    <w:name w:val="ListLabel 3"/>
    <w:rsid w:val="006F54FB"/>
    <w:rPr>
      <w:rFonts w:cs="Courier New"/>
    </w:rPr>
  </w:style>
  <w:style w:type="character" w:customStyle="1" w:styleId="ListLabel4">
    <w:name w:val="ListLabel 4"/>
    <w:rsid w:val="006F54FB"/>
    <w:rPr>
      <w:rFonts w:cs="Wingdings"/>
    </w:rPr>
  </w:style>
  <w:style w:type="character" w:customStyle="1" w:styleId="ListLabel5">
    <w:name w:val="ListLabel 5"/>
    <w:rsid w:val="006F54FB"/>
    <w:rPr>
      <w:rFonts w:ascii="Times New Roman" w:hAnsi="Times New Roman" w:cs="OpenSymbol"/>
      <w:b w:val="0"/>
      <w:sz w:val="24"/>
    </w:rPr>
  </w:style>
  <w:style w:type="character" w:customStyle="1" w:styleId="ListLabel6">
    <w:name w:val="ListLabel 6"/>
    <w:rsid w:val="006F54FB"/>
    <w:rPr>
      <w:rFonts w:ascii="Times New Roman" w:hAnsi="Times New Roman" w:cs="Symbol"/>
      <w:sz w:val="24"/>
    </w:rPr>
  </w:style>
  <w:style w:type="character" w:customStyle="1" w:styleId="ListLabel7">
    <w:name w:val="ListLabel 7"/>
    <w:rsid w:val="006F54FB"/>
    <w:rPr>
      <w:rFonts w:cs="Courier New"/>
    </w:rPr>
  </w:style>
  <w:style w:type="character" w:customStyle="1" w:styleId="ListLabel8">
    <w:name w:val="ListLabel 8"/>
    <w:rsid w:val="006F54FB"/>
    <w:rPr>
      <w:rFonts w:cs="Wingdings"/>
    </w:rPr>
  </w:style>
  <w:style w:type="character" w:customStyle="1" w:styleId="ListLabel9">
    <w:name w:val="ListLabel 9"/>
    <w:rsid w:val="006F54FB"/>
    <w:rPr>
      <w:rFonts w:ascii="Times New Roman" w:hAnsi="Times New Roman" w:cs="OpenSymbol"/>
      <w:b w:val="0"/>
      <w:sz w:val="24"/>
    </w:rPr>
  </w:style>
  <w:style w:type="paragraph" w:styleId="Lista">
    <w:name w:val="List"/>
    <w:basedOn w:val="Tretekstu"/>
    <w:rsid w:val="006F54FB"/>
    <w:rPr>
      <w:rFonts w:cs="Mangal"/>
    </w:rPr>
  </w:style>
  <w:style w:type="paragraph" w:styleId="Podpis">
    <w:name w:val="Signature"/>
    <w:basedOn w:val="Normalny"/>
    <w:link w:val="PodpisZnak"/>
    <w:rsid w:val="006F54FB"/>
    <w:pPr>
      <w:suppressLineNumbers/>
      <w:spacing w:before="120" w:after="120"/>
    </w:pPr>
    <w:rPr>
      <w:rFonts w:cs="Mangal"/>
      <w:i/>
      <w:iCs/>
      <w:sz w:val="24"/>
      <w:szCs w:val="24"/>
    </w:rPr>
  </w:style>
  <w:style w:type="character" w:customStyle="1" w:styleId="PodpisZnak">
    <w:name w:val="Podpis Znak"/>
    <w:basedOn w:val="Domylnaczcionkaakapitu"/>
    <w:link w:val="Podpis"/>
    <w:rsid w:val="006F54FB"/>
    <w:rPr>
      <w:rFonts w:eastAsiaTheme="minorEastAsia" w:cs="Mangal"/>
      <w:i/>
      <w:iCs/>
      <w:sz w:val="24"/>
      <w:szCs w:val="24"/>
      <w:lang w:eastAsia="pl-PL"/>
    </w:rPr>
  </w:style>
  <w:style w:type="paragraph" w:customStyle="1" w:styleId="Indeks">
    <w:name w:val="Indeks"/>
    <w:basedOn w:val="Normalny"/>
    <w:rsid w:val="006F54FB"/>
    <w:pPr>
      <w:suppressLineNumbers/>
    </w:pPr>
    <w:rPr>
      <w:rFonts w:cs="Mangal"/>
    </w:rPr>
  </w:style>
  <w:style w:type="paragraph" w:customStyle="1" w:styleId="Gwka">
    <w:name w:val="Główka"/>
    <w:basedOn w:val="Normalny"/>
    <w:rsid w:val="006F54FB"/>
    <w:pPr>
      <w:tabs>
        <w:tab w:val="center" w:pos="4536"/>
        <w:tab w:val="right" w:pos="9072"/>
      </w:tabs>
      <w:spacing w:after="0" w:line="240" w:lineRule="auto"/>
    </w:pPr>
  </w:style>
  <w:style w:type="paragraph" w:customStyle="1" w:styleId="Zawartoramki">
    <w:name w:val="Zawartość ramki"/>
    <w:basedOn w:val="Normalny"/>
    <w:rsid w:val="006F54FB"/>
  </w:style>
  <w:style w:type="paragraph" w:customStyle="1" w:styleId="Zawartotabeli">
    <w:name w:val="Zawartość tabeli"/>
    <w:basedOn w:val="Normalny"/>
    <w:rsid w:val="006F54FB"/>
  </w:style>
  <w:style w:type="paragraph" w:customStyle="1" w:styleId="Nagwektabeli">
    <w:name w:val="Nagłówek tabeli"/>
    <w:basedOn w:val="Zawartotabeli"/>
    <w:rsid w:val="006F54FB"/>
  </w:style>
  <w:style w:type="paragraph" w:customStyle="1" w:styleId="Tabela">
    <w:name w:val="Tabela"/>
    <w:basedOn w:val="Podpis"/>
    <w:rsid w:val="006F54FB"/>
  </w:style>
  <w:style w:type="numbering" w:customStyle="1" w:styleId="WW8Num4">
    <w:name w:val="WW8Num4"/>
    <w:rsid w:val="006F54FB"/>
  </w:style>
  <w:style w:type="numbering" w:customStyle="1" w:styleId="WW8Num12">
    <w:name w:val="WW8Num12"/>
    <w:rsid w:val="006F54FB"/>
  </w:style>
  <w:style w:type="numbering" w:customStyle="1" w:styleId="WW8Num16">
    <w:name w:val="WW8Num16"/>
    <w:rsid w:val="006F54FB"/>
  </w:style>
  <w:style w:type="numbering" w:customStyle="1" w:styleId="WW8Num13">
    <w:name w:val="WW8Num13"/>
    <w:rsid w:val="006F54FB"/>
  </w:style>
  <w:style w:type="paragraph" w:customStyle="1" w:styleId="bodytext">
    <w:name w:val="bodytext"/>
    <w:basedOn w:val="Normalny"/>
    <w:rsid w:val="006F54FB"/>
    <w:pPr>
      <w:spacing w:before="100" w:beforeAutospacing="1" w:after="100" w:afterAutospacing="1" w:line="240" w:lineRule="auto"/>
    </w:pPr>
    <w:rPr>
      <w:rFonts w:ascii="Times New Roman" w:eastAsia="Times New Roman" w:hAnsi="Times New Roman" w:cs="Times New Roman"/>
      <w:sz w:val="24"/>
      <w:szCs w:val="24"/>
    </w:rPr>
  </w:style>
  <w:style w:type="paragraph" w:styleId="Tytu">
    <w:name w:val="Title"/>
    <w:basedOn w:val="Normalny"/>
    <w:next w:val="Normalny"/>
    <w:link w:val="TytuZnak"/>
    <w:uiPriority w:val="10"/>
    <w:qFormat/>
    <w:rsid w:val="006F54F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6F54FB"/>
    <w:rPr>
      <w:rFonts w:asciiTheme="majorHAnsi" w:eastAsiaTheme="majorEastAsia" w:hAnsiTheme="majorHAnsi" w:cstheme="majorBidi"/>
      <w:color w:val="323E4F" w:themeColor="text2" w:themeShade="BF"/>
      <w:spacing w:val="5"/>
      <w:kern w:val="28"/>
      <w:sz w:val="52"/>
      <w:szCs w:val="52"/>
      <w:lang w:eastAsia="pl-PL"/>
    </w:rPr>
  </w:style>
  <w:style w:type="paragraph" w:styleId="Podtytu">
    <w:name w:val="Subtitle"/>
    <w:basedOn w:val="Normalny"/>
    <w:next w:val="Normalny"/>
    <w:link w:val="PodtytuZnak"/>
    <w:uiPriority w:val="11"/>
    <w:qFormat/>
    <w:rsid w:val="006F54F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ytuZnak">
    <w:name w:val="Podtytuł Znak"/>
    <w:basedOn w:val="Domylnaczcionkaakapitu"/>
    <w:link w:val="Podtytu"/>
    <w:uiPriority w:val="11"/>
    <w:rsid w:val="006F54FB"/>
    <w:rPr>
      <w:rFonts w:asciiTheme="majorHAnsi" w:eastAsiaTheme="majorEastAsia" w:hAnsiTheme="majorHAnsi" w:cstheme="majorBidi"/>
      <w:i/>
      <w:iCs/>
      <w:color w:val="5B9BD5" w:themeColor="accent1"/>
      <w:spacing w:val="15"/>
      <w:sz w:val="24"/>
      <w:szCs w:val="24"/>
      <w:lang w:eastAsia="pl-PL"/>
    </w:rPr>
  </w:style>
  <w:style w:type="paragraph" w:styleId="Bezodstpw">
    <w:name w:val="No Spacing"/>
    <w:link w:val="BezodstpwZnak"/>
    <w:uiPriority w:val="1"/>
    <w:qFormat/>
    <w:rsid w:val="006F54FB"/>
    <w:pPr>
      <w:spacing w:after="0" w:line="240" w:lineRule="auto"/>
    </w:pPr>
  </w:style>
  <w:style w:type="paragraph" w:styleId="Cytat">
    <w:name w:val="Quote"/>
    <w:basedOn w:val="Normalny"/>
    <w:next w:val="Normalny"/>
    <w:link w:val="CytatZnak"/>
    <w:uiPriority w:val="29"/>
    <w:qFormat/>
    <w:rsid w:val="006F54FB"/>
    <w:rPr>
      <w:i/>
      <w:iCs/>
      <w:color w:val="000000" w:themeColor="text1"/>
    </w:rPr>
  </w:style>
  <w:style w:type="character" w:customStyle="1" w:styleId="CytatZnak">
    <w:name w:val="Cytat Znak"/>
    <w:basedOn w:val="Domylnaczcionkaakapitu"/>
    <w:link w:val="Cytat"/>
    <w:uiPriority w:val="29"/>
    <w:rsid w:val="006F54FB"/>
    <w:rPr>
      <w:rFonts w:eastAsiaTheme="minorEastAsia"/>
      <w:i/>
      <w:iCs/>
      <w:color w:val="000000" w:themeColor="text1"/>
      <w:lang w:eastAsia="pl-PL"/>
    </w:rPr>
  </w:style>
  <w:style w:type="paragraph" w:styleId="Cytatintensywny">
    <w:name w:val="Intense Quote"/>
    <w:basedOn w:val="Normalny"/>
    <w:next w:val="Normalny"/>
    <w:link w:val="CytatintensywnyZnak"/>
    <w:uiPriority w:val="30"/>
    <w:qFormat/>
    <w:rsid w:val="006F54FB"/>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6F54FB"/>
    <w:rPr>
      <w:rFonts w:eastAsiaTheme="minorEastAsia"/>
      <w:b/>
      <w:bCs/>
      <w:i/>
      <w:iCs/>
      <w:color w:val="5B9BD5" w:themeColor="accent1"/>
      <w:lang w:eastAsia="pl-PL"/>
    </w:rPr>
  </w:style>
  <w:style w:type="character" w:styleId="Wyrnieniedelikatne">
    <w:name w:val="Subtle Emphasis"/>
    <w:basedOn w:val="Domylnaczcionkaakapitu"/>
    <w:uiPriority w:val="19"/>
    <w:qFormat/>
    <w:rsid w:val="006F54FB"/>
    <w:rPr>
      <w:i/>
      <w:iCs/>
      <w:color w:val="808080" w:themeColor="text1" w:themeTint="7F"/>
    </w:rPr>
  </w:style>
  <w:style w:type="character" w:styleId="Wyrnienieintensywne">
    <w:name w:val="Intense Emphasis"/>
    <w:basedOn w:val="Domylnaczcionkaakapitu"/>
    <w:uiPriority w:val="21"/>
    <w:qFormat/>
    <w:rsid w:val="006F54FB"/>
    <w:rPr>
      <w:b/>
      <w:bCs/>
      <w:i/>
      <w:iCs/>
      <w:color w:val="5B9BD5" w:themeColor="accent1"/>
    </w:rPr>
  </w:style>
  <w:style w:type="character" w:styleId="Odwoaniedelikatne">
    <w:name w:val="Subtle Reference"/>
    <w:basedOn w:val="Domylnaczcionkaakapitu"/>
    <w:uiPriority w:val="31"/>
    <w:qFormat/>
    <w:rsid w:val="006F54FB"/>
    <w:rPr>
      <w:smallCaps/>
      <w:color w:val="ED7D31" w:themeColor="accent2"/>
      <w:u w:val="single"/>
    </w:rPr>
  </w:style>
  <w:style w:type="character" w:styleId="Odwoanieintensywne">
    <w:name w:val="Intense Reference"/>
    <w:basedOn w:val="Domylnaczcionkaakapitu"/>
    <w:uiPriority w:val="32"/>
    <w:qFormat/>
    <w:rsid w:val="006F54FB"/>
    <w:rPr>
      <w:b/>
      <w:bCs/>
      <w:smallCaps/>
      <w:color w:val="ED7D31" w:themeColor="accent2"/>
      <w:spacing w:val="5"/>
      <w:u w:val="single"/>
    </w:rPr>
  </w:style>
  <w:style w:type="character" w:styleId="Tytuksiki">
    <w:name w:val="Book Title"/>
    <w:basedOn w:val="Domylnaczcionkaakapitu"/>
    <w:uiPriority w:val="33"/>
    <w:qFormat/>
    <w:rsid w:val="006F54FB"/>
    <w:rPr>
      <w:b/>
      <w:bCs/>
      <w:smallCaps/>
      <w:spacing w:val="5"/>
    </w:rPr>
  </w:style>
  <w:style w:type="paragraph" w:styleId="Tekstprzypisukocowego">
    <w:name w:val="endnote text"/>
    <w:basedOn w:val="Normalny"/>
    <w:link w:val="TekstprzypisukocowegoZnak"/>
    <w:uiPriority w:val="99"/>
    <w:semiHidden/>
    <w:unhideWhenUsed/>
    <w:rsid w:val="006F54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54FB"/>
    <w:rPr>
      <w:rFonts w:eastAsiaTheme="minorEastAsia"/>
      <w:sz w:val="20"/>
      <w:szCs w:val="20"/>
      <w:lang w:eastAsia="pl-PL"/>
    </w:rPr>
  </w:style>
  <w:style w:type="character" w:styleId="Odwoanieprzypisukocowego">
    <w:name w:val="endnote reference"/>
    <w:basedOn w:val="Domylnaczcionkaakapitu"/>
    <w:uiPriority w:val="99"/>
    <w:semiHidden/>
    <w:unhideWhenUsed/>
    <w:rsid w:val="006F54FB"/>
    <w:rPr>
      <w:vertAlign w:val="superscript"/>
    </w:rPr>
  </w:style>
  <w:style w:type="character" w:styleId="Tekstzastpczy">
    <w:name w:val="Placeholder Text"/>
    <w:basedOn w:val="Domylnaczcionkaakapitu"/>
    <w:uiPriority w:val="99"/>
    <w:semiHidden/>
    <w:rsid w:val="006F54FB"/>
    <w:rPr>
      <w:color w:val="808080"/>
    </w:rPr>
  </w:style>
  <w:style w:type="paragraph" w:styleId="Spisilustracji">
    <w:name w:val="table of figures"/>
    <w:basedOn w:val="Normalny"/>
    <w:next w:val="Normalny"/>
    <w:uiPriority w:val="99"/>
    <w:unhideWhenUsed/>
    <w:rsid w:val="006F54FB"/>
    <w:pPr>
      <w:spacing w:after="0"/>
    </w:pPr>
  </w:style>
  <w:style w:type="character" w:styleId="Odwoaniedokomentarza">
    <w:name w:val="annotation reference"/>
    <w:basedOn w:val="Domylnaczcionkaakapitu"/>
    <w:uiPriority w:val="99"/>
    <w:semiHidden/>
    <w:unhideWhenUsed/>
    <w:rsid w:val="006F54FB"/>
    <w:rPr>
      <w:sz w:val="16"/>
      <w:szCs w:val="16"/>
    </w:rPr>
  </w:style>
  <w:style w:type="paragraph" w:styleId="Tekstkomentarza">
    <w:name w:val="annotation text"/>
    <w:basedOn w:val="Normalny"/>
    <w:link w:val="TekstkomentarzaZnak"/>
    <w:uiPriority w:val="99"/>
    <w:unhideWhenUsed/>
    <w:rsid w:val="006F54FB"/>
    <w:pPr>
      <w:spacing w:line="240" w:lineRule="auto"/>
    </w:pPr>
    <w:rPr>
      <w:sz w:val="20"/>
      <w:szCs w:val="20"/>
    </w:rPr>
  </w:style>
  <w:style w:type="character" w:customStyle="1" w:styleId="TekstkomentarzaZnak">
    <w:name w:val="Tekst komentarza Znak"/>
    <w:basedOn w:val="Domylnaczcionkaakapitu"/>
    <w:link w:val="Tekstkomentarza"/>
    <w:uiPriority w:val="99"/>
    <w:rsid w:val="006F54FB"/>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6F54FB"/>
    <w:rPr>
      <w:b/>
      <w:bCs/>
    </w:rPr>
  </w:style>
  <w:style w:type="character" w:customStyle="1" w:styleId="TematkomentarzaZnak">
    <w:name w:val="Temat komentarza Znak"/>
    <w:basedOn w:val="TekstkomentarzaZnak"/>
    <w:link w:val="Tematkomentarza"/>
    <w:uiPriority w:val="99"/>
    <w:semiHidden/>
    <w:rsid w:val="006F54FB"/>
    <w:rPr>
      <w:rFonts w:eastAsiaTheme="minorEastAsia"/>
      <w:b/>
      <w:bCs/>
      <w:sz w:val="20"/>
      <w:szCs w:val="20"/>
      <w:lang w:eastAsia="pl-PL"/>
    </w:rPr>
  </w:style>
  <w:style w:type="paragraph" w:styleId="Spistreci4">
    <w:name w:val="toc 4"/>
    <w:basedOn w:val="Normalny"/>
    <w:next w:val="Normalny"/>
    <w:autoRedefine/>
    <w:uiPriority w:val="39"/>
    <w:unhideWhenUsed/>
    <w:rsid w:val="00642D73"/>
    <w:pPr>
      <w:spacing w:after="100"/>
      <w:ind w:left="660"/>
    </w:pPr>
  </w:style>
  <w:style w:type="paragraph" w:styleId="Spistreci5">
    <w:name w:val="toc 5"/>
    <w:basedOn w:val="Normalny"/>
    <w:next w:val="Normalny"/>
    <w:autoRedefine/>
    <w:uiPriority w:val="39"/>
    <w:unhideWhenUsed/>
    <w:rsid w:val="00642D73"/>
    <w:pPr>
      <w:spacing w:after="100"/>
      <w:ind w:left="880"/>
    </w:pPr>
  </w:style>
  <w:style w:type="paragraph" w:styleId="Spistreci6">
    <w:name w:val="toc 6"/>
    <w:basedOn w:val="Normalny"/>
    <w:next w:val="Normalny"/>
    <w:autoRedefine/>
    <w:uiPriority w:val="39"/>
    <w:unhideWhenUsed/>
    <w:rsid w:val="00642D73"/>
    <w:pPr>
      <w:spacing w:after="100"/>
      <w:ind w:left="1100"/>
    </w:pPr>
  </w:style>
  <w:style w:type="paragraph" w:styleId="Spistreci7">
    <w:name w:val="toc 7"/>
    <w:basedOn w:val="Normalny"/>
    <w:next w:val="Normalny"/>
    <w:autoRedefine/>
    <w:uiPriority w:val="39"/>
    <w:unhideWhenUsed/>
    <w:rsid w:val="00642D73"/>
    <w:pPr>
      <w:spacing w:after="100"/>
      <w:ind w:left="1320"/>
    </w:pPr>
  </w:style>
  <w:style w:type="paragraph" w:styleId="Spistreci8">
    <w:name w:val="toc 8"/>
    <w:basedOn w:val="Normalny"/>
    <w:next w:val="Normalny"/>
    <w:autoRedefine/>
    <w:uiPriority w:val="39"/>
    <w:unhideWhenUsed/>
    <w:rsid w:val="00642D73"/>
    <w:pPr>
      <w:spacing w:after="100"/>
      <w:ind w:left="1540"/>
    </w:pPr>
  </w:style>
  <w:style w:type="paragraph" w:styleId="Spistreci9">
    <w:name w:val="toc 9"/>
    <w:basedOn w:val="Normalny"/>
    <w:next w:val="Normalny"/>
    <w:autoRedefine/>
    <w:uiPriority w:val="39"/>
    <w:unhideWhenUsed/>
    <w:rsid w:val="00642D73"/>
    <w:pPr>
      <w:spacing w:after="100"/>
      <w:ind w:left="1760"/>
    </w:pPr>
  </w:style>
  <w:style w:type="character" w:customStyle="1" w:styleId="BezodstpwZnak">
    <w:name w:val="Bez odstępów Znak"/>
    <w:basedOn w:val="Domylnaczcionkaakapitu"/>
    <w:link w:val="Bezodstpw"/>
    <w:uiPriority w:val="1"/>
    <w:rsid w:val="004B10FC"/>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99123">
      <w:bodyDiv w:val="1"/>
      <w:marLeft w:val="0"/>
      <w:marRight w:val="0"/>
      <w:marTop w:val="0"/>
      <w:marBottom w:val="0"/>
      <w:divBdr>
        <w:top w:val="none" w:sz="0" w:space="0" w:color="auto"/>
        <w:left w:val="none" w:sz="0" w:space="0" w:color="auto"/>
        <w:bottom w:val="none" w:sz="0" w:space="0" w:color="auto"/>
        <w:right w:val="none" w:sz="0" w:space="0" w:color="auto"/>
      </w:divBdr>
    </w:div>
    <w:div w:id="293801308">
      <w:bodyDiv w:val="1"/>
      <w:marLeft w:val="0"/>
      <w:marRight w:val="0"/>
      <w:marTop w:val="0"/>
      <w:marBottom w:val="0"/>
      <w:divBdr>
        <w:top w:val="none" w:sz="0" w:space="0" w:color="auto"/>
        <w:left w:val="none" w:sz="0" w:space="0" w:color="auto"/>
        <w:bottom w:val="none" w:sz="0" w:space="0" w:color="auto"/>
        <w:right w:val="none" w:sz="0" w:space="0" w:color="auto"/>
      </w:divBdr>
    </w:div>
    <w:div w:id="310182225">
      <w:bodyDiv w:val="1"/>
      <w:marLeft w:val="0"/>
      <w:marRight w:val="0"/>
      <w:marTop w:val="0"/>
      <w:marBottom w:val="0"/>
      <w:divBdr>
        <w:top w:val="none" w:sz="0" w:space="0" w:color="auto"/>
        <w:left w:val="none" w:sz="0" w:space="0" w:color="auto"/>
        <w:bottom w:val="none" w:sz="0" w:space="0" w:color="auto"/>
        <w:right w:val="none" w:sz="0" w:space="0" w:color="auto"/>
      </w:divBdr>
    </w:div>
    <w:div w:id="313798708">
      <w:bodyDiv w:val="1"/>
      <w:marLeft w:val="0"/>
      <w:marRight w:val="0"/>
      <w:marTop w:val="0"/>
      <w:marBottom w:val="0"/>
      <w:divBdr>
        <w:top w:val="none" w:sz="0" w:space="0" w:color="auto"/>
        <w:left w:val="none" w:sz="0" w:space="0" w:color="auto"/>
        <w:bottom w:val="none" w:sz="0" w:space="0" w:color="auto"/>
        <w:right w:val="none" w:sz="0" w:space="0" w:color="auto"/>
      </w:divBdr>
    </w:div>
    <w:div w:id="323749063">
      <w:bodyDiv w:val="1"/>
      <w:marLeft w:val="0"/>
      <w:marRight w:val="0"/>
      <w:marTop w:val="0"/>
      <w:marBottom w:val="0"/>
      <w:divBdr>
        <w:top w:val="none" w:sz="0" w:space="0" w:color="auto"/>
        <w:left w:val="none" w:sz="0" w:space="0" w:color="auto"/>
        <w:bottom w:val="none" w:sz="0" w:space="0" w:color="auto"/>
        <w:right w:val="none" w:sz="0" w:space="0" w:color="auto"/>
      </w:divBdr>
    </w:div>
    <w:div w:id="382993092">
      <w:bodyDiv w:val="1"/>
      <w:marLeft w:val="0"/>
      <w:marRight w:val="0"/>
      <w:marTop w:val="0"/>
      <w:marBottom w:val="0"/>
      <w:divBdr>
        <w:top w:val="none" w:sz="0" w:space="0" w:color="auto"/>
        <w:left w:val="none" w:sz="0" w:space="0" w:color="auto"/>
        <w:bottom w:val="none" w:sz="0" w:space="0" w:color="auto"/>
        <w:right w:val="none" w:sz="0" w:space="0" w:color="auto"/>
      </w:divBdr>
    </w:div>
    <w:div w:id="387606900">
      <w:bodyDiv w:val="1"/>
      <w:marLeft w:val="0"/>
      <w:marRight w:val="0"/>
      <w:marTop w:val="0"/>
      <w:marBottom w:val="0"/>
      <w:divBdr>
        <w:top w:val="none" w:sz="0" w:space="0" w:color="auto"/>
        <w:left w:val="none" w:sz="0" w:space="0" w:color="auto"/>
        <w:bottom w:val="none" w:sz="0" w:space="0" w:color="auto"/>
        <w:right w:val="none" w:sz="0" w:space="0" w:color="auto"/>
      </w:divBdr>
    </w:div>
    <w:div w:id="422650528">
      <w:bodyDiv w:val="1"/>
      <w:marLeft w:val="0"/>
      <w:marRight w:val="0"/>
      <w:marTop w:val="0"/>
      <w:marBottom w:val="0"/>
      <w:divBdr>
        <w:top w:val="none" w:sz="0" w:space="0" w:color="auto"/>
        <w:left w:val="none" w:sz="0" w:space="0" w:color="auto"/>
        <w:bottom w:val="none" w:sz="0" w:space="0" w:color="auto"/>
        <w:right w:val="none" w:sz="0" w:space="0" w:color="auto"/>
      </w:divBdr>
    </w:div>
    <w:div w:id="424228613">
      <w:bodyDiv w:val="1"/>
      <w:marLeft w:val="0"/>
      <w:marRight w:val="0"/>
      <w:marTop w:val="0"/>
      <w:marBottom w:val="0"/>
      <w:divBdr>
        <w:top w:val="none" w:sz="0" w:space="0" w:color="auto"/>
        <w:left w:val="none" w:sz="0" w:space="0" w:color="auto"/>
        <w:bottom w:val="none" w:sz="0" w:space="0" w:color="auto"/>
        <w:right w:val="none" w:sz="0" w:space="0" w:color="auto"/>
      </w:divBdr>
    </w:div>
    <w:div w:id="453256416">
      <w:bodyDiv w:val="1"/>
      <w:marLeft w:val="0"/>
      <w:marRight w:val="0"/>
      <w:marTop w:val="0"/>
      <w:marBottom w:val="0"/>
      <w:divBdr>
        <w:top w:val="none" w:sz="0" w:space="0" w:color="auto"/>
        <w:left w:val="none" w:sz="0" w:space="0" w:color="auto"/>
        <w:bottom w:val="none" w:sz="0" w:space="0" w:color="auto"/>
        <w:right w:val="none" w:sz="0" w:space="0" w:color="auto"/>
      </w:divBdr>
    </w:div>
    <w:div w:id="465200838">
      <w:bodyDiv w:val="1"/>
      <w:marLeft w:val="0"/>
      <w:marRight w:val="0"/>
      <w:marTop w:val="0"/>
      <w:marBottom w:val="0"/>
      <w:divBdr>
        <w:top w:val="none" w:sz="0" w:space="0" w:color="auto"/>
        <w:left w:val="none" w:sz="0" w:space="0" w:color="auto"/>
        <w:bottom w:val="none" w:sz="0" w:space="0" w:color="auto"/>
        <w:right w:val="none" w:sz="0" w:space="0" w:color="auto"/>
      </w:divBdr>
    </w:div>
    <w:div w:id="762923380">
      <w:bodyDiv w:val="1"/>
      <w:marLeft w:val="0"/>
      <w:marRight w:val="0"/>
      <w:marTop w:val="0"/>
      <w:marBottom w:val="0"/>
      <w:divBdr>
        <w:top w:val="none" w:sz="0" w:space="0" w:color="auto"/>
        <w:left w:val="none" w:sz="0" w:space="0" w:color="auto"/>
        <w:bottom w:val="none" w:sz="0" w:space="0" w:color="auto"/>
        <w:right w:val="none" w:sz="0" w:space="0" w:color="auto"/>
      </w:divBdr>
    </w:div>
    <w:div w:id="773092442">
      <w:bodyDiv w:val="1"/>
      <w:marLeft w:val="0"/>
      <w:marRight w:val="0"/>
      <w:marTop w:val="0"/>
      <w:marBottom w:val="0"/>
      <w:divBdr>
        <w:top w:val="none" w:sz="0" w:space="0" w:color="auto"/>
        <w:left w:val="none" w:sz="0" w:space="0" w:color="auto"/>
        <w:bottom w:val="none" w:sz="0" w:space="0" w:color="auto"/>
        <w:right w:val="none" w:sz="0" w:space="0" w:color="auto"/>
      </w:divBdr>
    </w:div>
    <w:div w:id="787043673">
      <w:bodyDiv w:val="1"/>
      <w:marLeft w:val="0"/>
      <w:marRight w:val="0"/>
      <w:marTop w:val="0"/>
      <w:marBottom w:val="0"/>
      <w:divBdr>
        <w:top w:val="none" w:sz="0" w:space="0" w:color="auto"/>
        <w:left w:val="none" w:sz="0" w:space="0" w:color="auto"/>
        <w:bottom w:val="none" w:sz="0" w:space="0" w:color="auto"/>
        <w:right w:val="none" w:sz="0" w:space="0" w:color="auto"/>
      </w:divBdr>
    </w:div>
    <w:div w:id="789669718">
      <w:bodyDiv w:val="1"/>
      <w:marLeft w:val="0"/>
      <w:marRight w:val="0"/>
      <w:marTop w:val="0"/>
      <w:marBottom w:val="0"/>
      <w:divBdr>
        <w:top w:val="none" w:sz="0" w:space="0" w:color="auto"/>
        <w:left w:val="none" w:sz="0" w:space="0" w:color="auto"/>
        <w:bottom w:val="none" w:sz="0" w:space="0" w:color="auto"/>
        <w:right w:val="none" w:sz="0" w:space="0" w:color="auto"/>
      </w:divBdr>
    </w:div>
    <w:div w:id="875894568">
      <w:bodyDiv w:val="1"/>
      <w:marLeft w:val="0"/>
      <w:marRight w:val="0"/>
      <w:marTop w:val="0"/>
      <w:marBottom w:val="0"/>
      <w:divBdr>
        <w:top w:val="none" w:sz="0" w:space="0" w:color="auto"/>
        <w:left w:val="none" w:sz="0" w:space="0" w:color="auto"/>
        <w:bottom w:val="none" w:sz="0" w:space="0" w:color="auto"/>
        <w:right w:val="none" w:sz="0" w:space="0" w:color="auto"/>
      </w:divBdr>
    </w:div>
    <w:div w:id="1006907068">
      <w:bodyDiv w:val="1"/>
      <w:marLeft w:val="0"/>
      <w:marRight w:val="0"/>
      <w:marTop w:val="0"/>
      <w:marBottom w:val="0"/>
      <w:divBdr>
        <w:top w:val="none" w:sz="0" w:space="0" w:color="auto"/>
        <w:left w:val="none" w:sz="0" w:space="0" w:color="auto"/>
        <w:bottom w:val="none" w:sz="0" w:space="0" w:color="auto"/>
        <w:right w:val="none" w:sz="0" w:space="0" w:color="auto"/>
      </w:divBdr>
    </w:div>
    <w:div w:id="1056470292">
      <w:bodyDiv w:val="1"/>
      <w:marLeft w:val="0"/>
      <w:marRight w:val="0"/>
      <w:marTop w:val="0"/>
      <w:marBottom w:val="0"/>
      <w:divBdr>
        <w:top w:val="none" w:sz="0" w:space="0" w:color="auto"/>
        <w:left w:val="none" w:sz="0" w:space="0" w:color="auto"/>
        <w:bottom w:val="none" w:sz="0" w:space="0" w:color="auto"/>
        <w:right w:val="none" w:sz="0" w:space="0" w:color="auto"/>
      </w:divBdr>
    </w:div>
    <w:div w:id="1234117653">
      <w:bodyDiv w:val="1"/>
      <w:marLeft w:val="0"/>
      <w:marRight w:val="0"/>
      <w:marTop w:val="0"/>
      <w:marBottom w:val="0"/>
      <w:divBdr>
        <w:top w:val="none" w:sz="0" w:space="0" w:color="auto"/>
        <w:left w:val="none" w:sz="0" w:space="0" w:color="auto"/>
        <w:bottom w:val="none" w:sz="0" w:space="0" w:color="auto"/>
        <w:right w:val="none" w:sz="0" w:space="0" w:color="auto"/>
      </w:divBdr>
    </w:div>
    <w:div w:id="1373114175">
      <w:bodyDiv w:val="1"/>
      <w:marLeft w:val="0"/>
      <w:marRight w:val="0"/>
      <w:marTop w:val="0"/>
      <w:marBottom w:val="0"/>
      <w:divBdr>
        <w:top w:val="none" w:sz="0" w:space="0" w:color="auto"/>
        <w:left w:val="none" w:sz="0" w:space="0" w:color="auto"/>
        <w:bottom w:val="none" w:sz="0" w:space="0" w:color="auto"/>
        <w:right w:val="none" w:sz="0" w:space="0" w:color="auto"/>
      </w:divBdr>
    </w:div>
    <w:div w:id="1446383276">
      <w:bodyDiv w:val="1"/>
      <w:marLeft w:val="0"/>
      <w:marRight w:val="0"/>
      <w:marTop w:val="0"/>
      <w:marBottom w:val="0"/>
      <w:divBdr>
        <w:top w:val="none" w:sz="0" w:space="0" w:color="auto"/>
        <w:left w:val="none" w:sz="0" w:space="0" w:color="auto"/>
        <w:bottom w:val="none" w:sz="0" w:space="0" w:color="auto"/>
        <w:right w:val="none" w:sz="0" w:space="0" w:color="auto"/>
      </w:divBdr>
    </w:div>
    <w:div w:id="1496602465">
      <w:bodyDiv w:val="1"/>
      <w:marLeft w:val="0"/>
      <w:marRight w:val="0"/>
      <w:marTop w:val="0"/>
      <w:marBottom w:val="0"/>
      <w:divBdr>
        <w:top w:val="none" w:sz="0" w:space="0" w:color="auto"/>
        <w:left w:val="none" w:sz="0" w:space="0" w:color="auto"/>
        <w:bottom w:val="none" w:sz="0" w:space="0" w:color="auto"/>
        <w:right w:val="none" w:sz="0" w:space="0" w:color="auto"/>
      </w:divBdr>
    </w:div>
    <w:div w:id="1633439090">
      <w:bodyDiv w:val="1"/>
      <w:marLeft w:val="0"/>
      <w:marRight w:val="0"/>
      <w:marTop w:val="0"/>
      <w:marBottom w:val="0"/>
      <w:divBdr>
        <w:top w:val="none" w:sz="0" w:space="0" w:color="auto"/>
        <w:left w:val="none" w:sz="0" w:space="0" w:color="auto"/>
        <w:bottom w:val="none" w:sz="0" w:space="0" w:color="auto"/>
        <w:right w:val="none" w:sz="0" w:space="0" w:color="auto"/>
      </w:divBdr>
    </w:div>
    <w:div w:id="1668095565">
      <w:bodyDiv w:val="1"/>
      <w:marLeft w:val="0"/>
      <w:marRight w:val="0"/>
      <w:marTop w:val="0"/>
      <w:marBottom w:val="0"/>
      <w:divBdr>
        <w:top w:val="none" w:sz="0" w:space="0" w:color="auto"/>
        <w:left w:val="none" w:sz="0" w:space="0" w:color="auto"/>
        <w:bottom w:val="none" w:sz="0" w:space="0" w:color="auto"/>
        <w:right w:val="none" w:sz="0" w:space="0" w:color="auto"/>
      </w:divBdr>
    </w:div>
    <w:div w:id="1680691119">
      <w:bodyDiv w:val="1"/>
      <w:marLeft w:val="0"/>
      <w:marRight w:val="0"/>
      <w:marTop w:val="0"/>
      <w:marBottom w:val="0"/>
      <w:divBdr>
        <w:top w:val="none" w:sz="0" w:space="0" w:color="auto"/>
        <w:left w:val="none" w:sz="0" w:space="0" w:color="auto"/>
        <w:bottom w:val="none" w:sz="0" w:space="0" w:color="auto"/>
        <w:right w:val="none" w:sz="0" w:space="0" w:color="auto"/>
      </w:divBdr>
    </w:div>
    <w:div w:id="1750420475">
      <w:bodyDiv w:val="1"/>
      <w:marLeft w:val="0"/>
      <w:marRight w:val="0"/>
      <w:marTop w:val="0"/>
      <w:marBottom w:val="0"/>
      <w:divBdr>
        <w:top w:val="none" w:sz="0" w:space="0" w:color="auto"/>
        <w:left w:val="none" w:sz="0" w:space="0" w:color="auto"/>
        <w:bottom w:val="none" w:sz="0" w:space="0" w:color="auto"/>
        <w:right w:val="none" w:sz="0" w:space="0" w:color="auto"/>
      </w:divBdr>
    </w:div>
    <w:div w:id="1751346130">
      <w:bodyDiv w:val="1"/>
      <w:marLeft w:val="0"/>
      <w:marRight w:val="0"/>
      <w:marTop w:val="0"/>
      <w:marBottom w:val="0"/>
      <w:divBdr>
        <w:top w:val="none" w:sz="0" w:space="0" w:color="auto"/>
        <w:left w:val="none" w:sz="0" w:space="0" w:color="auto"/>
        <w:bottom w:val="none" w:sz="0" w:space="0" w:color="auto"/>
        <w:right w:val="none" w:sz="0" w:space="0" w:color="auto"/>
      </w:divBdr>
    </w:div>
    <w:div w:id="1785032425">
      <w:bodyDiv w:val="1"/>
      <w:marLeft w:val="0"/>
      <w:marRight w:val="0"/>
      <w:marTop w:val="0"/>
      <w:marBottom w:val="0"/>
      <w:divBdr>
        <w:top w:val="none" w:sz="0" w:space="0" w:color="auto"/>
        <w:left w:val="none" w:sz="0" w:space="0" w:color="auto"/>
        <w:bottom w:val="none" w:sz="0" w:space="0" w:color="auto"/>
        <w:right w:val="none" w:sz="0" w:space="0" w:color="auto"/>
      </w:divBdr>
    </w:div>
    <w:div w:id="1880318745">
      <w:bodyDiv w:val="1"/>
      <w:marLeft w:val="0"/>
      <w:marRight w:val="0"/>
      <w:marTop w:val="0"/>
      <w:marBottom w:val="0"/>
      <w:divBdr>
        <w:top w:val="none" w:sz="0" w:space="0" w:color="auto"/>
        <w:left w:val="none" w:sz="0" w:space="0" w:color="auto"/>
        <w:bottom w:val="none" w:sz="0" w:space="0" w:color="auto"/>
        <w:right w:val="none" w:sz="0" w:space="0" w:color="auto"/>
      </w:divBdr>
    </w:div>
    <w:div w:id="1924679334">
      <w:bodyDiv w:val="1"/>
      <w:marLeft w:val="0"/>
      <w:marRight w:val="0"/>
      <w:marTop w:val="0"/>
      <w:marBottom w:val="0"/>
      <w:divBdr>
        <w:top w:val="none" w:sz="0" w:space="0" w:color="auto"/>
        <w:left w:val="none" w:sz="0" w:space="0" w:color="auto"/>
        <w:bottom w:val="none" w:sz="0" w:space="0" w:color="auto"/>
        <w:right w:val="none" w:sz="0" w:space="0" w:color="auto"/>
      </w:divBdr>
    </w:div>
    <w:div w:id="2016958980">
      <w:bodyDiv w:val="1"/>
      <w:marLeft w:val="0"/>
      <w:marRight w:val="0"/>
      <w:marTop w:val="0"/>
      <w:marBottom w:val="0"/>
      <w:divBdr>
        <w:top w:val="none" w:sz="0" w:space="0" w:color="auto"/>
        <w:left w:val="none" w:sz="0" w:space="0" w:color="auto"/>
        <w:bottom w:val="none" w:sz="0" w:space="0" w:color="auto"/>
        <w:right w:val="none" w:sz="0" w:space="0" w:color="auto"/>
      </w:divBdr>
    </w:div>
    <w:div w:id="204964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8.xml"/><Relationship Id="rId63" Type="http://schemas.openxmlformats.org/officeDocument/2006/relationships/chart" Target="charts/chart16.xml"/><Relationship Id="rId68" Type="http://schemas.openxmlformats.org/officeDocument/2006/relationships/chart" Target="charts/chart21.xml"/><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5.png"/><Relationship Id="rId11" Type="http://schemas.openxmlformats.org/officeDocument/2006/relationships/hyperlink" Target="https://pl.wikipedia.org/wiki/Sietesz"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chart" Target="charts/chart19.xml"/><Relationship Id="rId74" Type="http://schemas.openxmlformats.org/officeDocument/2006/relationships/diagramLayout" Target="diagrams/layout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diagramData" Target="diagrams/data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microsoft.com/office/2007/relationships/diagramDrawing" Target="diagrams/drawing1.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ros&#322;aw\Desktop\Ka&#324;czuga_ankiety\ankieta%20-%20SM%20i%20WM%20Ka&#324;czug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ros&#322;aw\AppData\Roaming\Skype\My%20Skype%20Received%20Files\ankieta%20-%20obiekty%20sakralne%20Ka&#324;czug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ros&#322;aw\AppData\Roaming\Skype\My%20Skype%20Received%20Files\ankieta%20-%20obiekty%20sakralne%20Ka&#324;czug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aros&#322;aw\Desktop\ankieta%20mieszka&#324;cy%20Ka&#324;czug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aros&#322;aw\Desktop\ankieta%20mieszka&#324;cy%20Ka&#324;czug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aros&#322;aw\Desktop\Ka&#324;czuga_ankiety\ankieta%20-%20przedsi&#281;biorstwa%20Ka&#324;czug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aros&#322;aw\Desktop\Ka&#324;czuga_ankiety\ankieta%20-%20przedsi&#281;biorstwa%20Ka&#324;czug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aros&#322;aw\Desktop\Ka&#324;czuga_ankiety\ankieta%20-%20us&#322;ugi%20Ka&#324;czug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aros&#322;aw\Desktop\Ka&#324;czuga_ankiety\ankieta%20-%20us&#322;ugi%20Ka&#324;czug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oem\Pulpit\KA&#323;CZUGA\ludno&#347;&#263;%20gmina.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aros&#322;aw\Desktop\Ka&#324;czuga_gotowe\ankieta%20mieszka&#324;cy%20Ka&#324;czuga.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aros&#322;aw\Desktop\Ka&#324;czuga_gotowe\ankieta%20mieszka&#324;cy%20Ka&#324;czug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aros&#322;aw\Desktop\Ka&#324;czuga_gotowe\ankieta%20mieszka&#324;cy%20Ka&#324;czug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oem\Pulpit\KA&#323;CZUGA\ludno&#347;&#263;%20gmin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oem\Pulpit\KA&#323;CZUGA\ludno&#347;&#263;%20gmin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ros&#322;aw\Desktop\ankieta%20mieszka&#324;cy%20Ka&#324;czug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ros&#322;aw\Desktop\ankieta%20mieszka&#324;cy%20Ka&#324;czug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ros&#322;aw\Desktop\Ka&#324;czuga_ankiety\ankieta%20-%20ob.%20u&#380;yteczno&#347;ci%20publicznej%20Ka&#324;czug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ros&#322;aw\Desktop\Ka&#324;czuga_ankiety\ankieta%20-%20ob.%20u&#380;yteczno&#347;ci%20publicznej%20Ka&#324;czug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ros&#322;aw\Desktop\Ka&#324;czuga_ankiety\ankieta%20-%20SM%20i%20WM%20Ka&#324;czu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Formy użytkowania tereniu </a:t>
            </a:r>
            <a:br>
              <a:rPr lang="pl-PL"/>
            </a:br>
            <a:r>
              <a:rPr lang="pl-PL"/>
              <a:t>Gminy Kańczuga [ha]</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3.4148007716603743E-2"/>
          <c:y val="0.28969678769198282"/>
          <c:w val="0.64868199372748414"/>
          <c:h val="0.68854868623400478"/>
        </c:manualLayout>
      </c:layout>
      <c:pie3DChart>
        <c:varyColors val="1"/>
        <c:ser>
          <c:idx val="0"/>
          <c:order val="0"/>
          <c:explosion val="25"/>
          <c:dLbls>
            <c:spPr>
              <a:noFill/>
              <a:ln>
                <a:noFill/>
              </a:ln>
              <a:effectLst/>
            </c:spPr>
            <c:txPr>
              <a:bodyPr/>
              <a:lstStyle/>
              <a:p>
                <a:pPr>
                  <a:defRPr sz="1200" b="1"/>
                </a:pPr>
                <a:endParaRPr lang="pl-PL"/>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(Arkusz1!$A$1;Arkusz1!$A$4;Arkusz1!$A$7;Arkusz1!$A$10;Arkusz1!$A$13)</c:f>
              <c:strCache>
                <c:ptCount val="5"/>
                <c:pt idx="0">
                  <c:v>grunty pod wodami </c:v>
                </c:pt>
                <c:pt idx="1">
                  <c:v>użytki rolne </c:v>
                </c:pt>
                <c:pt idx="2">
                  <c:v>grunty leśne oraz zadrzewione i zakrzewione </c:v>
                </c:pt>
                <c:pt idx="3">
                  <c:v>grunty zabudowane i zurbanizowane </c:v>
                </c:pt>
                <c:pt idx="4">
                  <c:v>nieużytki</c:v>
                </c:pt>
              </c:strCache>
            </c:strRef>
          </c:cat>
          <c:val>
            <c:numRef>
              <c:f>(Arkusz1!$B$1;Arkusz1!$B$4;Arkusz1!$B$7;Arkusz1!$B$10;Arkusz1!$B$13)</c:f>
              <c:numCache>
                <c:formatCode>General</c:formatCode>
                <c:ptCount val="5"/>
                <c:pt idx="0">
                  <c:v>47</c:v>
                </c:pt>
                <c:pt idx="1">
                  <c:v>8297</c:v>
                </c:pt>
                <c:pt idx="2">
                  <c:v>1687</c:v>
                </c:pt>
                <c:pt idx="3">
                  <c:v>456</c:v>
                </c:pt>
                <c:pt idx="4">
                  <c:v>16</c:v>
                </c:pt>
              </c:numCache>
            </c:numRef>
          </c:val>
          <c:extLst xmlns:c16r2="http://schemas.microsoft.com/office/drawing/2015/06/chart">
            <c:ext xmlns:c16="http://schemas.microsoft.com/office/drawing/2014/chart" uri="{C3380CC4-5D6E-409C-BE32-E72D297353CC}">
              <c16:uniqueId val="{00000000-B72E-4A6D-BCB9-9DC12B64CC64}"/>
            </c:ext>
          </c:extLst>
        </c:ser>
        <c:dLbls>
          <c:showLegendKey val="0"/>
          <c:showVal val="0"/>
          <c:showCatName val="0"/>
          <c:showSerName val="0"/>
          <c:showPercent val="1"/>
          <c:showBubbleSize val="0"/>
          <c:showLeaderLines val="1"/>
        </c:dLbls>
      </c:pie3DChart>
    </c:plotArea>
    <c:legend>
      <c:legendPos val="r"/>
      <c:layout>
        <c:manualLayout>
          <c:xMode val="edge"/>
          <c:yMode val="edge"/>
          <c:x val="0.67096183539640408"/>
          <c:y val="0.29542277458402488"/>
          <c:w val="0.325541953412254"/>
          <c:h val="0.6373061994011312"/>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przez s</a:t>
            </a:r>
            <a:r>
              <a:rPr lang="pl-PL" sz="1800" b="1"/>
              <a:t>półdzielnie </a:t>
            </a:r>
            <a:br>
              <a:rPr lang="pl-PL" sz="1800" b="1"/>
            </a:br>
            <a:r>
              <a:rPr lang="pl-PL" sz="1800" b="1"/>
              <a:t>i wspólnoty mieszkaniowe</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 w podziale na nośniki energii</a:t>
            </a:r>
            <a:endParaRPr lang="pl-PL"/>
          </a:p>
        </c:rich>
      </c:tx>
      <c:overlay val="0"/>
    </c:title>
    <c:autoTitleDeleted val="0"/>
    <c:view3D>
      <c:rotX val="30"/>
      <c:rotY val="150"/>
      <c:rAngAx val="0"/>
    </c:view3D>
    <c:floor>
      <c:thickness val="0"/>
    </c:floor>
    <c:sideWall>
      <c:thickness val="0"/>
    </c:sideWall>
    <c:backWall>
      <c:thickness val="0"/>
    </c:backWall>
    <c:plotArea>
      <c:layout>
        <c:manualLayout>
          <c:layoutTarget val="inner"/>
          <c:xMode val="edge"/>
          <c:yMode val="edge"/>
          <c:x val="0"/>
          <c:y val="0.37992976877350193"/>
          <c:w val="0.6976111282513987"/>
          <c:h val="0.61103197569780565"/>
        </c:manualLayout>
      </c:layout>
      <c:pie3DChart>
        <c:varyColors val="1"/>
        <c:ser>
          <c:idx val="1"/>
          <c:order val="1"/>
          <c:dPt>
            <c:idx val="0"/>
            <c:bubble3D val="0"/>
            <c:explosion val="33"/>
          </c:dPt>
          <c:dLbls>
            <c:dLbl>
              <c:idx val="0"/>
              <c:numFmt formatCode="0.0%" sourceLinked="0"/>
              <c:spPr/>
              <c:txPr>
                <a:bodyPr/>
                <a:lstStyle/>
                <a:p>
                  <a:pPr>
                    <a:defRPr sz="1400" b="1"/>
                  </a:pPr>
                  <a:endParaRPr lang="pl-PL"/>
                </a:p>
              </c:txPr>
              <c:showLegendKey val="0"/>
              <c:showVal val="0"/>
              <c:showCatName val="0"/>
              <c:showSerName val="0"/>
              <c:showPercent val="1"/>
              <c:showBubbleSize val="0"/>
            </c:dLbl>
            <c:dLbl>
              <c:idx val="1"/>
              <c:layout>
                <c:manualLayout>
                  <c:x val="2.4624518093817958E-2"/>
                  <c:y val="5.5429690937070793E-2"/>
                </c:manualLayout>
              </c:layout>
              <c:tx>
                <c:rich>
                  <a:bodyPr/>
                  <a:lstStyle/>
                  <a:p>
                    <a:r>
                      <a:rPr lang="en-US" sz="1400" b="1"/>
                      <a:t>10 %</a:t>
                    </a:r>
                  </a:p>
                </c:rich>
              </c:tx>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'[ankieta - SM i WM Kańczuga.xlsx]emisja CO2'!$A$25,'[ankieta - SM i WM Kańczuga.xlsx]emisja CO2'!$A$28</c:f>
              <c:strCache>
                <c:ptCount val="2"/>
                <c:pt idx="0">
                  <c:v>gaz ziemny</c:v>
                </c:pt>
                <c:pt idx="1">
                  <c:v>energia elektryczna</c:v>
                </c:pt>
              </c:strCache>
            </c:strRef>
          </c:cat>
          <c:val>
            <c:numRef>
              <c:f>'[ankieta - SM i WM Kańczuga.xlsx]emisja CO2'!$C$25,'[ankieta - SM i WM Kańczuga.xlsx]emisja CO2'!$C$28</c:f>
              <c:numCache>
                <c:formatCode>General</c:formatCode>
                <c:ptCount val="2"/>
                <c:pt idx="0">
                  <c:v>839.66909850375566</c:v>
                </c:pt>
                <c:pt idx="1">
                  <c:v>92.310816425143031</c:v>
                </c:pt>
              </c:numCache>
            </c:numRef>
          </c:val>
        </c:ser>
        <c:ser>
          <c:idx val="0"/>
          <c:order val="0"/>
          <c:explosion val="20"/>
          <c:dLbls>
            <c:numFmt formatCode="#,##0.00" sourceLinked="0"/>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 - SM i WM Kańczuga.xlsx]emisja CO2'!$A$25,'[ankieta - SM i WM Kańczuga.xlsx]emisja CO2'!$A$28</c:f>
              <c:strCache>
                <c:ptCount val="2"/>
                <c:pt idx="0">
                  <c:v>gaz ziemny</c:v>
                </c:pt>
                <c:pt idx="1">
                  <c:v>energia elektryczna</c:v>
                </c:pt>
              </c:strCache>
            </c:strRef>
          </c:cat>
          <c:val>
            <c:numRef>
              <c:f>'[ankieta - SM i WM Kańczuga.xlsx]emisja CO2'!$B$25,'[ankieta - SM i WM Kańczuga.xlsx]emisja CO2'!$B$28</c:f>
              <c:numCache>
                <c:formatCode>General</c:formatCode>
                <c:ptCount val="2"/>
                <c:pt idx="0">
                  <c:v>15042.44175033604</c:v>
                </c:pt>
                <c:pt idx="1">
                  <c:v>399.66582857142902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522858483897563"/>
          <c:y val="0.5053904035372816"/>
          <c:w val="0.22932026379090636"/>
          <c:h val="0.14130727053789632"/>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pl-PL" sz="1800" b="1" i="0" baseline="0"/>
              <a:t>Zużycie energii przez obiekty sakralne</a:t>
            </a:r>
            <a:endParaRPr lang="pl-PL"/>
          </a:p>
          <a:p>
            <a:pPr>
              <a:defRPr/>
            </a:pPr>
            <a:r>
              <a:rPr lang="pl-PL" sz="1800" b="1" i="0" baseline="0"/>
              <a:t> w podziale na nośniki energii</a:t>
            </a:r>
          </a:p>
          <a:p>
            <a:pPr>
              <a:defRPr/>
            </a:pP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'emisja CO2'!$B$19</c:f>
              <c:strCache>
                <c:ptCount val="1"/>
                <c:pt idx="0">
                  <c:v>Zużycie energii  [GJ]</c:v>
                </c:pt>
              </c:strCache>
            </c:strRef>
          </c:tx>
          <c:explosion val="25"/>
          <c:dLbls>
            <c:dLbl>
              <c:idx val="0"/>
              <c:layout>
                <c:manualLayout>
                  <c:x val="-0.14320039106188748"/>
                  <c:y val="-8.324372486749578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4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obiekty sakralne Kańczuga.xlsx]emisja CO2'!$A$22,'[ankieta - obiekty sakralne Kańczuga.xlsx]emisja CO2'!$A$24,'[ankieta - obiekty sakralne Kańczuga.xlsx]emisja CO2'!$A$27</c:f>
              <c:strCache>
                <c:ptCount val="3"/>
                <c:pt idx="0">
                  <c:v>drewno</c:v>
                </c:pt>
                <c:pt idx="1">
                  <c:v>gaz ziemny</c:v>
                </c:pt>
                <c:pt idx="2">
                  <c:v>energia elektryczna</c:v>
                </c:pt>
              </c:strCache>
            </c:strRef>
          </c:cat>
          <c:val>
            <c:numRef>
              <c:f>'[ankieta - obiekty sakralne Kańczuga.xlsx]emisja CO2'!$B$22,'[ankieta - obiekty sakralne Kańczuga.xlsx]emisja CO2'!$B$24,'[ankieta - obiekty sakralne Kańczuga.xlsx]emisja CO2'!$B$27</c:f>
              <c:numCache>
                <c:formatCode>0.00</c:formatCode>
                <c:ptCount val="3"/>
                <c:pt idx="0">
                  <c:v>352.35199999999969</c:v>
                </c:pt>
                <c:pt idx="1">
                  <c:v>139.75156363636322</c:v>
                </c:pt>
                <c:pt idx="2">
                  <c:v>77.061818181818197</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2688202237825361"/>
          <c:y val="0.45781242923305027"/>
          <c:w val="0.22606903894577776"/>
          <c:h val="0.19624866441845554"/>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Emisja CO</a:t>
            </a:r>
            <a:r>
              <a:rPr lang="pl-PL" sz="1800" b="1" i="0" baseline="-25000"/>
              <a:t>2</a:t>
            </a:r>
            <a:r>
              <a:rPr lang="pl-PL" sz="1800" b="1" i="0" baseline="0"/>
              <a:t> przez obiekty sakralne</a:t>
            </a:r>
            <a:endParaRPr lang="pl-PL"/>
          </a:p>
          <a:p>
            <a:pPr>
              <a:defRPr/>
            </a:pPr>
            <a:r>
              <a:rPr lang="pl-PL" sz="1800" b="1" i="0" baseline="0"/>
              <a:t> w podziale na nośniki energii</a:t>
            </a:r>
          </a:p>
          <a:p>
            <a:pPr>
              <a:defRPr/>
            </a:pP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'emisja CO2'!$C$19</c:f>
              <c:strCache>
                <c:ptCount val="1"/>
                <c:pt idx="0">
                  <c:v>Emisja CO2 [Mg CO2]</c:v>
                </c:pt>
              </c:strCache>
            </c:strRef>
          </c:tx>
          <c:explosion val="25"/>
          <c:dLbls>
            <c:dLbl>
              <c:idx val="0"/>
              <c:layout>
                <c:manualLayout>
                  <c:x val="-0.14327010657294181"/>
                  <c:y val="-7.6696392373518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4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obiekty sakralne Kańczuga.xlsx]emisja CO2'!$A$22,'[ankieta - obiekty sakralne Kańczuga.xlsx]emisja CO2'!$A$24,'[ankieta - obiekty sakralne Kańczuga.xlsx]emisja CO2'!$A$27</c:f>
              <c:strCache>
                <c:ptCount val="3"/>
                <c:pt idx="0">
                  <c:v>drewno</c:v>
                </c:pt>
                <c:pt idx="1">
                  <c:v>gaz ziemny</c:v>
                </c:pt>
                <c:pt idx="2">
                  <c:v>energia elektryczna</c:v>
                </c:pt>
              </c:strCache>
            </c:strRef>
          </c:cat>
          <c:val>
            <c:numRef>
              <c:f>'[ankieta - obiekty sakralne Kańczuga.xlsx]emisja CO2'!$C$22,'[ankieta - obiekty sakralne Kańczuga.xlsx]emisja CO2'!$C$24,'[ankieta - obiekty sakralne Kańczuga.xlsx]emisja CO2'!$C$27</c:f>
              <c:numCache>
                <c:formatCode>0.00</c:formatCode>
                <c:ptCount val="3"/>
                <c:pt idx="0">
                  <c:v>38.674155520000063</c:v>
                </c:pt>
                <c:pt idx="1">
                  <c:v>7.8009322821818161</c:v>
                </c:pt>
                <c:pt idx="2">
                  <c:v>17.798968145454602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6169328723528784"/>
          <c:y val="0.47910273605345138"/>
          <c:w val="0.22430233575365235"/>
          <c:h val="0.25928033467939393"/>
        </c:manualLayout>
      </c:layout>
      <c:overlay val="0"/>
      <c:txPr>
        <a:bodyPr/>
        <a:lstStyle/>
        <a:p>
          <a:pPr rtl="0">
            <a:defRPr/>
          </a:pPr>
          <a:endParaRPr lang="pl-PL"/>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333333"/>
                </a:solidFill>
                <a:latin typeface="Calibri"/>
                <a:ea typeface="Calibri"/>
                <a:cs typeface="Calibri"/>
              </a:defRPr>
            </a:pPr>
            <a:r>
              <a:rPr lang="pl-PL" sz="1800" b="1" i="0" baseline="0"/>
              <a:t>Zużycie energii przez transport</a:t>
            </a:r>
            <a:br>
              <a:rPr lang="pl-PL" sz="1800" b="1" i="0" baseline="0"/>
            </a:br>
            <a:r>
              <a:rPr lang="pl-PL" sz="1800" b="1" i="0" baseline="0"/>
              <a:t> w podziale na nośniki energii</a:t>
            </a:r>
          </a:p>
        </c:rich>
      </c:tx>
      <c:overlay val="0"/>
      <c:spPr>
        <a:noFill/>
        <a:ln w="25400">
          <a:noFill/>
        </a:ln>
      </c:spPr>
    </c:title>
    <c:autoTitleDeleted val="0"/>
    <c:view3D>
      <c:rotX val="30"/>
      <c:rotY val="44"/>
      <c:rAngAx val="0"/>
    </c:view3D>
    <c:floor>
      <c:thickness val="0"/>
    </c:floor>
    <c:sideWall>
      <c:thickness val="0"/>
    </c:sideWall>
    <c:backWall>
      <c:thickness val="0"/>
    </c:backWall>
    <c:plotArea>
      <c:layout>
        <c:manualLayout>
          <c:layoutTarget val="inner"/>
          <c:xMode val="edge"/>
          <c:yMode val="edge"/>
          <c:x val="1.0599658090903069E-2"/>
          <c:y val="0.36132682238525327"/>
          <c:w val="0.65729286390724551"/>
          <c:h val="0.60505000796344865"/>
        </c:manualLayout>
      </c:layout>
      <c:pie3DChart>
        <c:varyColors val="1"/>
        <c:ser>
          <c:idx val="0"/>
          <c:order val="0"/>
          <c:tx>
            <c:strRef>
              <c:f>'emisja CO2'!$B$38</c:f>
              <c:strCache>
                <c:ptCount val="1"/>
                <c:pt idx="0">
                  <c:v>Zużycie energii  [GJ]</c:v>
                </c:pt>
              </c:strCache>
            </c:strRef>
          </c:tx>
          <c:explosion val="35"/>
          <c:dLbls>
            <c:numFmt formatCode="0.0%" sourceLinked="0"/>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CO2'!$A$39:$A$41</c:f>
              <c:strCache>
                <c:ptCount val="3"/>
                <c:pt idx="0">
                  <c:v>benzyna </c:v>
                </c:pt>
                <c:pt idx="1">
                  <c:v>olej napędowy </c:v>
                </c:pt>
                <c:pt idx="2">
                  <c:v>LPG</c:v>
                </c:pt>
              </c:strCache>
            </c:strRef>
          </c:cat>
          <c:val>
            <c:numRef>
              <c:f>'emisja CO2'!$B$39:$B$41</c:f>
              <c:numCache>
                <c:formatCode>0.00</c:formatCode>
                <c:ptCount val="3"/>
                <c:pt idx="0">
                  <c:v>55880.638583025822</c:v>
                </c:pt>
                <c:pt idx="1">
                  <c:v>126553.44202654614</c:v>
                </c:pt>
                <c:pt idx="2">
                  <c:v>61641.775690419185</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71981227928950564"/>
          <c:y val="0.47444542051981431"/>
          <c:w val="0.21720551006068906"/>
          <c:h val="0.22868937825381469"/>
        </c:manualLayout>
      </c:layout>
      <c:overlay val="0"/>
      <c:txPr>
        <a:bodyPr/>
        <a:lstStyle/>
        <a:p>
          <a:pPr>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0" b="0" i="0" u="none" strike="noStrike" kern="1200" baseline="0">
                <a:solidFill>
                  <a:srgbClr val="333333"/>
                </a:solidFill>
                <a:latin typeface="Calibri"/>
                <a:ea typeface="Calibri"/>
                <a:cs typeface="Calibri"/>
              </a:defRPr>
            </a:pPr>
            <a:r>
              <a:rPr lang="pl-PL" sz="1800" b="1" i="0" baseline="0"/>
              <a:t>Emisja CO</a:t>
            </a:r>
            <a:r>
              <a:rPr lang="pl-PL" sz="1800" b="1" i="0" baseline="-25000"/>
              <a:t>2</a:t>
            </a:r>
            <a:r>
              <a:rPr lang="pl-PL" sz="1800" b="1" i="0" baseline="0"/>
              <a:t> przez budynki mieszkalne</a:t>
            </a:r>
            <a:br>
              <a:rPr lang="pl-PL" sz="1800" b="1" i="0" baseline="0"/>
            </a:br>
            <a:r>
              <a:rPr lang="pl-PL" sz="1800" b="1" i="0" baseline="0"/>
              <a:t>w podziale na nośniki energii</a:t>
            </a:r>
            <a:endParaRPr lang="pl-PL" sz="1800" b="0" i="0" baseline="0"/>
          </a:p>
          <a:p>
            <a:pPr marL="0" marR="0" indent="0" algn="ctr" defTabSz="914400" rtl="1" eaLnBrk="1" fontAlgn="auto" latinLnBrk="0" hangingPunct="1">
              <a:lnSpc>
                <a:spcPct val="100000"/>
              </a:lnSpc>
              <a:spcBef>
                <a:spcPts val="0"/>
              </a:spcBef>
              <a:spcAft>
                <a:spcPts val="0"/>
              </a:spcAft>
              <a:buClrTx/>
              <a:buSzTx/>
              <a:buFontTx/>
              <a:buNone/>
              <a:tabLst/>
              <a:defRPr sz="1000" b="0" i="0" u="none" strike="noStrike" kern="1200" baseline="0">
                <a:solidFill>
                  <a:srgbClr val="333333"/>
                </a:solidFill>
                <a:latin typeface="Calibri"/>
                <a:ea typeface="Calibri"/>
                <a:cs typeface="Calibri"/>
              </a:defRPr>
            </a:pPr>
            <a:endParaRPr lang="pl-PL" sz="1800" b="1" i="0" strike="noStrike">
              <a:solidFill>
                <a:srgbClr val="333333"/>
              </a:solidFill>
              <a:latin typeface="Calibri"/>
            </a:endParaRPr>
          </a:p>
        </c:rich>
      </c:tx>
      <c:overlay val="0"/>
      <c:spPr>
        <a:noFill/>
        <a:ln w="25400">
          <a:noFill/>
        </a:ln>
      </c:spPr>
    </c:title>
    <c:autoTitleDeleted val="0"/>
    <c:view3D>
      <c:rotX val="30"/>
      <c:rotY val="40"/>
      <c:rAngAx val="0"/>
    </c:view3D>
    <c:floor>
      <c:thickness val="0"/>
    </c:floor>
    <c:sideWall>
      <c:thickness val="0"/>
    </c:sideWall>
    <c:backWall>
      <c:thickness val="0"/>
    </c:backWall>
    <c:plotArea>
      <c:layout/>
      <c:pie3DChart>
        <c:varyColors val="1"/>
        <c:ser>
          <c:idx val="0"/>
          <c:order val="0"/>
          <c:tx>
            <c:strRef>
              <c:f>'emisja CO2'!$C$38</c:f>
              <c:strCache>
                <c:ptCount val="1"/>
                <c:pt idx="0">
                  <c:v>Emisja CO2 [Mg CO2]</c:v>
                </c:pt>
              </c:strCache>
            </c:strRef>
          </c:tx>
          <c:explosion val="25"/>
          <c:dLbls>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CO2'!$A$39:$A$41</c:f>
              <c:strCache>
                <c:ptCount val="3"/>
                <c:pt idx="0">
                  <c:v>benzyna </c:v>
                </c:pt>
                <c:pt idx="1">
                  <c:v>olej napędowy </c:v>
                </c:pt>
                <c:pt idx="2">
                  <c:v>LPG</c:v>
                </c:pt>
              </c:strCache>
            </c:strRef>
          </c:cat>
          <c:val>
            <c:numRef>
              <c:f>'emisja CO2'!$C$39:$C$41</c:f>
              <c:numCache>
                <c:formatCode>0.00</c:formatCode>
                <c:ptCount val="3"/>
                <c:pt idx="0">
                  <c:v>3833.970613181406</c:v>
                </c:pt>
                <c:pt idx="1">
                  <c:v>9280.1639038066278</c:v>
                </c:pt>
                <c:pt idx="2">
                  <c:v>3848.9124741097744</c:v>
                </c:pt>
              </c:numCache>
            </c:numRef>
          </c:val>
        </c:ser>
        <c:dLbls>
          <c:showLegendKey val="0"/>
          <c:showVal val="0"/>
          <c:showCatName val="0"/>
          <c:showSerName val="0"/>
          <c:showPercent val="1"/>
          <c:showBubbleSize val="0"/>
          <c:showLeaderLines val="1"/>
        </c:dLbls>
      </c:pie3DChart>
      <c:spPr>
        <a:noFill/>
        <a:ln w="25400">
          <a:noFill/>
        </a:ln>
      </c:spPr>
    </c:plotArea>
    <c:legend>
      <c:legendPos val="r"/>
      <c:overlay val="0"/>
      <c:txPr>
        <a:bodyPr/>
        <a:lstStyle/>
        <a:p>
          <a:pPr>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przez budynki przedsiębiorstw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30"/>
      <c:rAngAx val="0"/>
    </c:view3D>
    <c:floor>
      <c:thickness val="0"/>
    </c:floor>
    <c:sideWall>
      <c:thickness val="0"/>
    </c:sideWall>
    <c:backWall>
      <c:thickness val="0"/>
    </c:backWall>
    <c:plotArea>
      <c:layout>
        <c:manualLayout>
          <c:layoutTarget val="inner"/>
          <c:xMode val="edge"/>
          <c:yMode val="edge"/>
          <c:x val="1.635927607990192E-3"/>
          <c:y val="0.30368756528045426"/>
          <c:w val="0.74468544842844553"/>
          <c:h val="0.6439990421553986"/>
        </c:manualLayout>
      </c:layout>
      <c:pie3DChart>
        <c:varyColors val="1"/>
        <c:ser>
          <c:idx val="0"/>
          <c:order val="0"/>
          <c:tx>
            <c:strRef>
              <c:f>'emisja CO2'!$B$46</c:f>
              <c:strCache>
                <c:ptCount val="1"/>
                <c:pt idx="0">
                  <c:v>Zużycie</c:v>
                </c:pt>
              </c:strCache>
            </c:strRef>
          </c:tx>
          <c:explosion val="52"/>
          <c:dLbls>
            <c:dLbl>
              <c:idx val="1"/>
              <c:layout>
                <c:manualLayout>
                  <c:x val="7.6829068238506146E-2"/>
                  <c:y val="0.13520072097590988"/>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0119842763057166E-2"/>
                  <c:y val="-7.5967901904730756E-3"/>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CO2'!$A$47:$A$51</c:f>
              <c:strCache>
                <c:ptCount val="5"/>
                <c:pt idx="0">
                  <c:v>węgiel </c:v>
                </c:pt>
                <c:pt idx="1">
                  <c:v>olej opałowy</c:v>
                </c:pt>
                <c:pt idx="2">
                  <c:v>drewno</c:v>
                </c:pt>
                <c:pt idx="3">
                  <c:v>gaz ziemny</c:v>
                </c:pt>
                <c:pt idx="4">
                  <c:v>energia elektryczna</c:v>
                </c:pt>
              </c:strCache>
            </c:strRef>
          </c:cat>
          <c:val>
            <c:numRef>
              <c:f>'emisja CO2'!$B$47:$B$51</c:f>
              <c:numCache>
                <c:formatCode>General</c:formatCode>
                <c:ptCount val="5"/>
                <c:pt idx="0">
                  <c:v>407.34000000000032</c:v>
                </c:pt>
                <c:pt idx="1">
                  <c:v>9.0000000000000024E-2</c:v>
                </c:pt>
                <c:pt idx="2">
                  <c:v>194395.83</c:v>
                </c:pt>
                <c:pt idx="3">
                  <c:v>46723.47</c:v>
                </c:pt>
                <c:pt idx="4">
                  <c:v>610.70000000000005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3820388698567663"/>
          <c:y val="0.52921557013816845"/>
          <c:w val="0.22049594170713918"/>
          <c:h val="0.36408565833563794"/>
        </c:manualLayout>
      </c:layou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przez budynki przedsiębiortw </a:t>
            </a:r>
            <a:br>
              <a:rPr lang="pl-PL" sz="1800" b="1" i="0" baseline="0"/>
            </a:br>
            <a:r>
              <a:rPr lang="pl-PL" sz="1800" b="1" i="0" baseline="0"/>
              <a:t>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30"/>
      <c:rAngAx val="0"/>
    </c:view3D>
    <c:floor>
      <c:thickness val="0"/>
    </c:floor>
    <c:sideWall>
      <c:thickness val="0"/>
    </c:sideWall>
    <c:backWall>
      <c:thickness val="0"/>
    </c:backWall>
    <c:plotArea>
      <c:layout>
        <c:manualLayout>
          <c:layoutTarget val="inner"/>
          <c:xMode val="edge"/>
          <c:yMode val="edge"/>
          <c:x val="2.6729710042223079E-2"/>
          <c:y val="0.31525623049436885"/>
          <c:w val="0.67421619695433177"/>
          <c:h val="0.58165180361062963"/>
        </c:manualLayout>
      </c:layout>
      <c:pie3DChart>
        <c:varyColors val="1"/>
        <c:ser>
          <c:idx val="0"/>
          <c:order val="0"/>
          <c:tx>
            <c:strRef>
              <c:f>'emisja CO2'!$C$46</c:f>
              <c:strCache>
                <c:ptCount val="1"/>
                <c:pt idx="0">
                  <c:v>emisja</c:v>
                </c:pt>
              </c:strCache>
            </c:strRef>
          </c:tx>
          <c:explosion val="44"/>
          <c:dLbls>
            <c:dLbl>
              <c:idx val="0"/>
              <c:layout>
                <c:manualLayout>
                  <c:x val="0.12959535631006924"/>
                  <c:y val="0.15417635042321451"/>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6233075908047643E-2"/>
                  <c:y val="9.963400511909598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CO2'!$A$47:$A$51</c:f>
              <c:strCache>
                <c:ptCount val="5"/>
                <c:pt idx="0">
                  <c:v>węgiel </c:v>
                </c:pt>
                <c:pt idx="1">
                  <c:v>olej opałowy</c:v>
                </c:pt>
                <c:pt idx="2">
                  <c:v>drewno</c:v>
                </c:pt>
                <c:pt idx="3">
                  <c:v>gaz ziemny</c:v>
                </c:pt>
                <c:pt idx="4">
                  <c:v>energia elektryczna</c:v>
                </c:pt>
              </c:strCache>
            </c:strRef>
          </c:cat>
          <c:val>
            <c:numRef>
              <c:f>'emisja CO2'!$C$47:$C$51</c:f>
              <c:numCache>
                <c:formatCode>General</c:formatCode>
                <c:ptCount val="5"/>
                <c:pt idx="0">
                  <c:v>38.590000000000003</c:v>
                </c:pt>
                <c:pt idx="1">
                  <c:v>1.0000000000000005E-2</c:v>
                </c:pt>
                <c:pt idx="2">
                  <c:v>21336.89</c:v>
                </c:pt>
                <c:pt idx="3">
                  <c:v>2608.1</c:v>
                </c:pt>
                <c:pt idx="4">
                  <c:v>141.05000000000001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przez budynki usługowe </a:t>
            </a:r>
            <a:br>
              <a:rPr lang="pl-PL" sz="1800" b="1" i="0" baseline="0"/>
            </a:br>
            <a:r>
              <a:rPr lang="pl-PL" sz="1800" b="1" i="0" baseline="0"/>
              <a:t>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7102369351993902E-2"/>
          <c:y val="0.38978779635538247"/>
          <c:w val="0.6711174689720375"/>
          <c:h val="0.56730047465608091"/>
        </c:manualLayout>
      </c:layout>
      <c:pie3DChart>
        <c:varyColors val="1"/>
        <c:ser>
          <c:idx val="0"/>
          <c:order val="0"/>
          <c:tx>
            <c:strRef>
              <c:f>'emisja CO2'!$B$19</c:f>
              <c:strCache>
                <c:ptCount val="1"/>
                <c:pt idx="0">
                  <c:v>Zużycie energii  [GJ]</c:v>
                </c:pt>
              </c:strCache>
            </c:strRef>
          </c:tx>
          <c:explosion val="25"/>
          <c:dPt>
            <c:idx val="1"/>
            <c:bubble3D val="0"/>
            <c:explosion val="30"/>
          </c:dPt>
          <c:dLbls>
            <c:dLbl>
              <c:idx val="0"/>
              <c:layout>
                <c:manualLayout>
                  <c:x val="-0.13163180074296049"/>
                  <c:y val="3.9932241864791392E-2"/>
                </c:manualLayout>
              </c:layout>
              <c:numFmt formatCode="0.00%" sourceLinked="0"/>
              <c:spPr>
                <a:noFill/>
              </c:spPr>
              <c:txPr>
                <a:bodyPr/>
                <a:lstStyle/>
                <a:p>
                  <a:pPr>
                    <a:defRPr sz="1200" b="1"/>
                  </a:pPr>
                  <a:endParaRPr lang="pl-PL"/>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8.9903650924154394E-2"/>
                  <c:y val="-0.19750745448179663"/>
                </c:manualLayout>
              </c:layout>
              <c:numFmt formatCode="0.00%" sourceLinked="0"/>
              <c:spPr>
                <a:noFill/>
              </c:spPr>
              <c:txPr>
                <a:bodyPr/>
                <a:lstStyle/>
                <a:p>
                  <a:pPr>
                    <a:defRPr sz="1200" b="1"/>
                  </a:pPr>
                  <a:endParaRPr lang="pl-PL"/>
                </a:p>
              </c:txPr>
              <c:showLegendKey val="0"/>
              <c:showVal val="0"/>
              <c:showCatName val="0"/>
              <c:showSerName val="0"/>
              <c:showPercent val="1"/>
              <c:showBubbleSize val="0"/>
              <c:extLst>
                <c:ext xmlns:c15="http://schemas.microsoft.com/office/drawing/2012/chart" uri="{CE6537A1-D6FC-4f65-9D91-7224C49458BB}"/>
              </c:extLst>
            </c:dLbl>
            <c:dLbl>
              <c:idx val="2"/>
              <c:numFmt formatCode="0.00%" sourceLinked="0"/>
              <c:spPr>
                <a:noFill/>
              </c:spPr>
              <c:txPr>
                <a:bodyPr/>
                <a:lstStyle/>
                <a:p>
                  <a:pPr>
                    <a:defRPr sz="1200" b="1"/>
                  </a:pPr>
                  <a:endParaRPr lang="pl-PL"/>
                </a:p>
              </c:txPr>
              <c:showLegendKey val="0"/>
              <c:showVal val="0"/>
              <c:showCatName val="0"/>
              <c:showSerName val="0"/>
              <c:showPercent val="1"/>
              <c:showBubbleSize val="0"/>
            </c:dLbl>
            <c:dLbl>
              <c:idx val="3"/>
              <c:numFmt formatCode="0.00%" sourceLinked="0"/>
              <c:spPr>
                <a:noFill/>
              </c:spPr>
              <c:txPr>
                <a:bodyPr/>
                <a:lstStyle/>
                <a:p>
                  <a:pPr>
                    <a:defRPr sz="1400" b="1"/>
                  </a:pPr>
                  <a:endParaRPr lang="pl-PL"/>
                </a:p>
              </c:txPr>
              <c:showLegendKey val="0"/>
              <c:showVal val="0"/>
              <c:showCatName val="0"/>
              <c:showSerName val="0"/>
              <c:showPercent val="1"/>
              <c:showBubbleSize val="0"/>
            </c:dLbl>
            <c:numFmt formatCode="0.00%" sourceLinked="0"/>
            <c:spPr>
              <a:noFill/>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 - usługi Kańczuga.xlsx]emisja CO2'!$A$20,'[ankieta - usługi Kańczuga.xlsx]emisja CO2'!$A$22,'[ankieta - usługi Kańczuga.xlsx]emisja CO2'!$A$24,'[ankieta - usługi Kańczuga.xlsx]emisja CO2'!$A$27</c:f>
              <c:strCache>
                <c:ptCount val="4"/>
                <c:pt idx="0">
                  <c:v>węgiel </c:v>
                </c:pt>
                <c:pt idx="1">
                  <c:v>drewno</c:v>
                </c:pt>
                <c:pt idx="2">
                  <c:v>gaz ziemny</c:v>
                </c:pt>
                <c:pt idx="3">
                  <c:v>energia elektryczna</c:v>
                </c:pt>
              </c:strCache>
            </c:strRef>
          </c:cat>
          <c:val>
            <c:numRef>
              <c:f>'[ankieta - usługi Kańczuga.xlsx]emisja CO2'!$B$20,'[ankieta - usługi Kańczuga.xlsx]emisja CO2'!$B$22,'[ankieta - usługi Kańczuga.xlsx]emisja CO2'!$B$24,'[ankieta - usługi Kańczuga.xlsx]emisja CO2'!$B$27</c:f>
              <c:numCache>
                <c:formatCode>0.00</c:formatCode>
                <c:ptCount val="4"/>
                <c:pt idx="0">
                  <c:v>5865.413125</c:v>
                </c:pt>
                <c:pt idx="1">
                  <c:v>7422.9869999999992</c:v>
                </c:pt>
                <c:pt idx="2">
                  <c:v>2076.3555813000012</c:v>
                </c:pt>
                <c:pt idx="3">
                  <c:v>1184.0142599999999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Emisja CO</a:t>
            </a:r>
            <a:r>
              <a:rPr lang="pl-PL" sz="1800" b="1" i="0" baseline="-25000"/>
              <a:t>2</a:t>
            </a:r>
            <a:r>
              <a:rPr lang="pl-PL" sz="1800" b="1" i="0" baseline="0"/>
              <a:t> przez budynki usługowe w podziale na nośniki energii</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846209317710338E-2"/>
          <c:y val="0.31314116394516867"/>
          <c:w val="0.60552589937406465"/>
          <c:h val="0.68454113327369193"/>
        </c:manualLayout>
      </c:layout>
      <c:pie3DChart>
        <c:varyColors val="1"/>
        <c:ser>
          <c:idx val="0"/>
          <c:order val="0"/>
          <c:tx>
            <c:strRef>
              <c:f>'emisja CO2'!$C$19</c:f>
              <c:strCache>
                <c:ptCount val="1"/>
                <c:pt idx="0">
                  <c:v>Emisja CO2 [Mg CO2]</c:v>
                </c:pt>
              </c:strCache>
            </c:strRef>
          </c:tx>
          <c:explosion val="25"/>
          <c:dLbls>
            <c:dLbl>
              <c:idx val="0"/>
              <c:layout>
                <c:manualLayout>
                  <c:x val="-0.12147851627759325"/>
                  <c:y val="2.62921210006790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455921880405044E-2"/>
                  <c:y val="-0.237062978200468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0595213086256409E-2"/>
                  <c:y val="-9.969590352154163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 - usługi Kańczuga.xlsx]emisja CO2'!$A$20,'[ankieta - usługi Kańczuga.xlsx]emisja CO2'!$A$22,'[ankieta - usługi Kańczuga.xlsx]emisja CO2'!$A$24,'[ankieta - usługi Kańczuga.xlsx]emisja CO2'!$A$27</c:f>
              <c:strCache>
                <c:ptCount val="4"/>
                <c:pt idx="0">
                  <c:v>węgiel </c:v>
                </c:pt>
                <c:pt idx="1">
                  <c:v>drewno</c:v>
                </c:pt>
                <c:pt idx="2">
                  <c:v>gaz ziemny</c:v>
                </c:pt>
                <c:pt idx="3">
                  <c:v>energia elektryczna</c:v>
                </c:pt>
              </c:strCache>
            </c:strRef>
          </c:cat>
          <c:val>
            <c:numRef>
              <c:f>'[ankieta - usługi Kańczuga.xlsx]emisja CO2'!$C$20,'[ankieta - usługi Kańczuga.xlsx]emisja CO2'!$C$22,'[ankieta - usługi Kańczuga.xlsx]emisja CO2'!$C$24,'[ankieta - usługi Kańczuga.xlsx]emisja CO2'!$C$27</c:f>
              <c:numCache>
                <c:formatCode>0.00</c:formatCode>
                <c:ptCount val="4"/>
                <c:pt idx="0">
                  <c:v>555.63058533125002</c:v>
                </c:pt>
                <c:pt idx="1">
                  <c:v>814.74705311999946</c:v>
                </c:pt>
                <c:pt idx="2">
                  <c:v>115.90216854816597</c:v>
                </c:pt>
                <c:pt idx="3">
                  <c:v>273.47177363219919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Zużycie energii w Gminie Kańczuga w podziale na nośniki energii</a:t>
            </a:r>
          </a:p>
        </c:rich>
      </c:tx>
      <c:overlay val="0"/>
    </c:title>
    <c:autoTitleDeleted val="0"/>
    <c:view3D>
      <c:rotX val="30"/>
      <c:rotY val="287"/>
      <c:rAngAx val="0"/>
    </c:view3D>
    <c:floor>
      <c:thickness val="0"/>
    </c:floor>
    <c:sideWall>
      <c:thickness val="0"/>
    </c:sideWall>
    <c:backWall>
      <c:thickness val="0"/>
    </c:backWall>
    <c:plotArea>
      <c:layout>
        <c:manualLayout>
          <c:layoutTarget val="inner"/>
          <c:xMode val="edge"/>
          <c:yMode val="edge"/>
          <c:x val="5.6022747208055418E-2"/>
          <c:y val="0.21583391682400341"/>
          <c:w val="0.59131210740731099"/>
          <c:h val="0.6959006501589079"/>
        </c:manualLayout>
      </c:layout>
      <c:pie3DChart>
        <c:varyColors val="1"/>
        <c:ser>
          <c:idx val="0"/>
          <c:order val="0"/>
          <c:explosion val="25"/>
          <c:dLbls>
            <c:dLbl>
              <c:idx val="4"/>
              <c:layout>
                <c:manualLayout>
                  <c:x val="-2.2067517422391249E-2"/>
                  <c:y val="6.143208362726233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7998008869580981E-2"/>
                  <c:y val="-0.1347598276929744"/>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0324644764232081E-2"/>
                  <c:y val="-0.120967017165453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Arkusz1!$E$3:$E$11</c:f>
              <c:strCache>
                <c:ptCount val="9"/>
                <c:pt idx="0">
                  <c:v>Gaz ziemny</c:v>
                </c:pt>
                <c:pt idx="1">
                  <c:v>Drewno</c:v>
                </c:pt>
                <c:pt idx="2">
                  <c:v>Węgiel</c:v>
                </c:pt>
                <c:pt idx="3">
                  <c:v>Energia elektryczna</c:v>
                </c:pt>
                <c:pt idx="4">
                  <c:v>Odnawialne źródła energii</c:v>
                </c:pt>
                <c:pt idx="5">
                  <c:v>Benzyna</c:v>
                </c:pt>
                <c:pt idx="6">
                  <c:v>Olej napędowy</c:v>
                </c:pt>
                <c:pt idx="7">
                  <c:v>Gaz LPG</c:v>
                </c:pt>
                <c:pt idx="8">
                  <c:v>Olej opałowy</c:v>
                </c:pt>
              </c:strCache>
            </c:strRef>
          </c:cat>
          <c:val>
            <c:numRef>
              <c:f>Arkusz1!$F$3:$F$11</c:f>
              <c:numCache>
                <c:formatCode>General</c:formatCode>
                <c:ptCount val="9"/>
                <c:pt idx="0">
                  <c:v>85104.590000000011</c:v>
                </c:pt>
                <c:pt idx="1">
                  <c:v>378034.37</c:v>
                </c:pt>
                <c:pt idx="2">
                  <c:v>144352.43000000002</c:v>
                </c:pt>
                <c:pt idx="3">
                  <c:v>30402.289999999997</c:v>
                </c:pt>
                <c:pt idx="4">
                  <c:v>4.0000000000000022E-2</c:v>
                </c:pt>
                <c:pt idx="5">
                  <c:v>55880.639999999999</c:v>
                </c:pt>
                <c:pt idx="6">
                  <c:v>126553.43999999999</c:v>
                </c:pt>
                <c:pt idx="7">
                  <c:v>66241.47</c:v>
                </c:pt>
                <c:pt idx="8">
                  <c:v>8.0000000000000043E-2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034591365734653"/>
          <c:y val="0.24246679987344175"/>
          <c:w val="0.28259437189329534"/>
          <c:h val="0.59360300845683323"/>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pl-PL" sz="1800"/>
              <a:t>Liczba ludności w Gminie Kańczuga </a:t>
            </a:r>
            <a:br>
              <a:rPr lang="pl-PL" sz="1800"/>
            </a:br>
            <a:r>
              <a:rPr lang="pl-PL" sz="1800"/>
              <a:t>w latach 2010-2014 według płci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'[ludność gmina.xls]DATA'!$J$11</c:f>
              <c:strCache>
                <c:ptCount val="1"/>
                <c:pt idx="0">
                  <c:v>ogółem</c:v>
                </c:pt>
              </c:strCache>
            </c:strRef>
          </c:tx>
          <c:spPr>
            <a:solidFill>
              <a:srgbClr val="72A2DC"/>
            </a:solidFill>
          </c:spPr>
          <c:invertIfNegative val="0"/>
          <c:dLbls>
            <c:dLbl>
              <c:idx val="0"/>
              <c:layout>
                <c:manualLayout>
                  <c:x val="4.4099756426975324E-3"/>
                  <c:y val="0.108039229030629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2049878213487293E-3"/>
                  <c:y val="0.105196091424560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4099756426975324E-3"/>
                  <c:y val="0.108039229030629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4.4099756426974421E-3"/>
                  <c:y val="0.110882366636697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6.6149634640462873E-3"/>
                  <c:y val="0.119411779454905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nchor="b" anchorCtr="1"/>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gmina.xls]DATA'!$K$11:$O$11</c:f>
              <c:numCache>
                <c:formatCode>0</c:formatCode>
                <c:ptCount val="5"/>
                <c:pt idx="0">
                  <c:v>12637</c:v>
                </c:pt>
                <c:pt idx="1">
                  <c:v>12625</c:v>
                </c:pt>
                <c:pt idx="2">
                  <c:v>12596</c:v>
                </c:pt>
                <c:pt idx="3">
                  <c:v>12586</c:v>
                </c:pt>
                <c:pt idx="4">
                  <c:v>12551</c:v>
                </c:pt>
              </c:numCache>
            </c:numRef>
          </c:val>
          <c:extLst xmlns:c16r2="http://schemas.microsoft.com/office/drawing/2015/06/chart">
            <c:ext xmlns:c16="http://schemas.microsoft.com/office/drawing/2014/chart" uri="{C3380CC4-5D6E-409C-BE32-E72D297353CC}">
              <c16:uniqueId val="{00000000-627B-4AD2-8A19-E2D1344D24B6}"/>
            </c:ext>
          </c:extLst>
        </c:ser>
        <c:ser>
          <c:idx val="1"/>
          <c:order val="1"/>
          <c:tx>
            <c:strRef>
              <c:f>'[ludność gmina.xls]DATA'!$J$12</c:f>
              <c:strCache>
                <c:ptCount val="1"/>
                <c:pt idx="0">
                  <c:v>mężczyźni</c:v>
                </c:pt>
              </c:strCache>
            </c:strRef>
          </c:tx>
          <c:spPr>
            <a:solidFill>
              <a:schemeClr val="accent6"/>
            </a:solidFill>
          </c:spPr>
          <c:invertIfNegative val="0"/>
          <c:dLbls>
            <c:dLbl>
              <c:idx val="0"/>
              <c:layout>
                <c:manualLayout>
                  <c:x val="0"/>
                  <c:y val="9.11464267405492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0"/>
                  <c:y val="9.38235410002833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9.0980403394214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9.6549646007668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0"/>
                  <c:y val="9.6549646007668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gmina.xls]DATA'!$K$12:$O$12</c:f>
              <c:numCache>
                <c:formatCode>0</c:formatCode>
                <c:ptCount val="5"/>
                <c:pt idx="0">
                  <c:v>6208</c:v>
                </c:pt>
                <c:pt idx="1">
                  <c:v>6211</c:v>
                </c:pt>
                <c:pt idx="2">
                  <c:v>6198</c:v>
                </c:pt>
                <c:pt idx="3">
                  <c:v>6185</c:v>
                </c:pt>
                <c:pt idx="4">
                  <c:v>6197</c:v>
                </c:pt>
              </c:numCache>
            </c:numRef>
          </c:val>
          <c:extLst xmlns:c16r2="http://schemas.microsoft.com/office/drawing/2015/06/chart">
            <c:ext xmlns:c16="http://schemas.microsoft.com/office/drawing/2014/chart" uri="{C3380CC4-5D6E-409C-BE32-E72D297353CC}">
              <c16:uniqueId val="{00000001-627B-4AD2-8A19-E2D1344D24B6}"/>
            </c:ext>
          </c:extLst>
        </c:ser>
        <c:ser>
          <c:idx val="2"/>
          <c:order val="2"/>
          <c:tx>
            <c:strRef>
              <c:f>'[ludność gmina.xls]DATA'!$J$13</c:f>
              <c:strCache>
                <c:ptCount val="1"/>
                <c:pt idx="0">
                  <c:v>kobiety</c:v>
                </c:pt>
              </c:strCache>
            </c:strRef>
          </c:tx>
          <c:invertIfNegative val="0"/>
          <c:dLbls>
            <c:dLbl>
              <c:idx val="0"/>
              <c:layout>
                <c:manualLayout>
                  <c:x val="0"/>
                  <c:y val="0.102401139705103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2049878213487688E-3"/>
                  <c:y val="0.102401139705103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2.2049878213487688E-3"/>
                  <c:y val="0.102401139705103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2.2049878213487688E-3"/>
                  <c:y val="0.105326886553820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4.4099756426975324E-3"/>
                  <c:y val="0.102401139705103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gmina.xls]DATA'!$K$13:$O$13</c:f>
              <c:numCache>
                <c:formatCode>0</c:formatCode>
                <c:ptCount val="5"/>
                <c:pt idx="0">
                  <c:v>6429</c:v>
                </c:pt>
                <c:pt idx="1">
                  <c:v>6414</c:v>
                </c:pt>
                <c:pt idx="2">
                  <c:v>6398</c:v>
                </c:pt>
                <c:pt idx="3">
                  <c:v>6401</c:v>
                </c:pt>
                <c:pt idx="4">
                  <c:v>6354</c:v>
                </c:pt>
              </c:numCache>
            </c:numRef>
          </c:val>
          <c:extLst xmlns:c16r2="http://schemas.microsoft.com/office/drawing/2015/06/chart">
            <c:ext xmlns:c16="http://schemas.microsoft.com/office/drawing/2014/chart" uri="{C3380CC4-5D6E-409C-BE32-E72D297353CC}">
              <c16:uniqueId val="{00000002-627B-4AD2-8A19-E2D1344D24B6}"/>
            </c:ext>
          </c:extLst>
        </c:ser>
        <c:dLbls>
          <c:showLegendKey val="0"/>
          <c:showVal val="1"/>
          <c:showCatName val="0"/>
          <c:showSerName val="0"/>
          <c:showPercent val="0"/>
          <c:showBubbleSize val="0"/>
        </c:dLbls>
        <c:gapWidth val="150"/>
        <c:shape val="box"/>
        <c:axId val="4672496"/>
        <c:axId val="4671712"/>
        <c:axId val="0"/>
      </c:bar3DChart>
      <c:catAx>
        <c:axId val="4672496"/>
        <c:scaling>
          <c:orientation val="minMax"/>
        </c:scaling>
        <c:delete val="0"/>
        <c:axPos val="b"/>
        <c:numFmt formatCode="General" sourceLinked="0"/>
        <c:majorTickMark val="none"/>
        <c:minorTickMark val="none"/>
        <c:tickLblPos val="nextTo"/>
        <c:crossAx val="4671712"/>
        <c:crosses val="autoZero"/>
        <c:auto val="1"/>
        <c:lblAlgn val="ctr"/>
        <c:lblOffset val="100"/>
        <c:noMultiLvlLbl val="0"/>
      </c:catAx>
      <c:valAx>
        <c:axId val="4671712"/>
        <c:scaling>
          <c:orientation val="minMax"/>
        </c:scaling>
        <c:delete val="0"/>
        <c:axPos val="l"/>
        <c:majorGridlines/>
        <c:title>
          <c:tx>
            <c:rich>
              <a:bodyPr/>
              <a:lstStyle/>
              <a:p>
                <a:pPr>
                  <a:defRPr sz="1200"/>
                </a:pPr>
                <a:r>
                  <a:rPr lang="pl-PL" sz="1200"/>
                  <a:t>Liczba</a:t>
                </a:r>
                <a:r>
                  <a:rPr lang="pl-PL" sz="1200" baseline="0"/>
                  <a:t> ludności</a:t>
                </a:r>
                <a:endParaRPr lang="pl-PL" sz="1200"/>
              </a:p>
            </c:rich>
          </c:tx>
          <c:overlay val="0"/>
        </c:title>
        <c:numFmt formatCode="0" sourceLinked="1"/>
        <c:majorTickMark val="out"/>
        <c:minorTickMark val="none"/>
        <c:tickLblPos val="nextTo"/>
        <c:crossAx val="4672496"/>
        <c:crosses val="autoZero"/>
        <c:crossBetween val="between"/>
      </c:valAx>
    </c:plotArea>
    <c:legend>
      <c:legendPos val="b"/>
      <c:overlay val="0"/>
      <c:txPr>
        <a:bodyPr/>
        <a:lstStyle/>
        <a:p>
          <a:pPr>
            <a:defRPr sz="1200"/>
          </a:pPr>
          <a:endParaRPr lang="pl-PL"/>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w Gminie Kańczuga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view3D>
      <c:rotX val="30"/>
      <c:rotY val="197"/>
      <c:rAngAx val="0"/>
    </c:view3D>
    <c:floor>
      <c:thickness val="0"/>
    </c:floor>
    <c:sideWall>
      <c:thickness val="0"/>
    </c:sideWall>
    <c:backWall>
      <c:thickness val="0"/>
    </c:backWall>
    <c:plotArea>
      <c:layout>
        <c:manualLayout>
          <c:layoutTarget val="inner"/>
          <c:xMode val="edge"/>
          <c:yMode val="edge"/>
          <c:x val="1.9434570678665233E-2"/>
          <c:y val="0.30478009686998103"/>
          <c:w val="0.59351293588301268"/>
          <c:h val="0.60674176149499492"/>
        </c:manualLayout>
      </c:layout>
      <c:pie3DChart>
        <c:varyColors val="1"/>
        <c:ser>
          <c:idx val="0"/>
          <c:order val="0"/>
          <c:explosion val="25"/>
          <c:dLbls>
            <c:dLbl>
              <c:idx val="4"/>
              <c:layout>
                <c:manualLayout>
                  <c:x val="1.49175103112111E-2"/>
                  <c:y val="-1.8461541902165056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2305961754780893E-3"/>
                  <c:y val="8.5781034483722582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3498218972628394E-2"/>
                  <c:y val="4.16463759299959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Arkusz1!$E$3:$E$11</c:f>
              <c:strCache>
                <c:ptCount val="9"/>
                <c:pt idx="0">
                  <c:v>Gaz ziemny</c:v>
                </c:pt>
                <c:pt idx="1">
                  <c:v>Drewno</c:v>
                </c:pt>
                <c:pt idx="2">
                  <c:v>Węgiel</c:v>
                </c:pt>
                <c:pt idx="3">
                  <c:v>Energia elektryczna</c:v>
                </c:pt>
                <c:pt idx="4">
                  <c:v>Odnawialne źródła energii</c:v>
                </c:pt>
                <c:pt idx="5">
                  <c:v>Benzyna</c:v>
                </c:pt>
                <c:pt idx="6">
                  <c:v>Olej napędowy</c:v>
                </c:pt>
                <c:pt idx="7">
                  <c:v>Gaz LPG</c:v>
                </c:pt>
                <c:pt idx="8">
                  <c:v>Olej opałowy</c:v>
                </c:pt>
              </c:strCache>
            </c:strRef>
          </c:cat>
          <c:val>
            <c:numRef>
              <c:f>Arkusz1!$G$3:$G$11</c:f>
              <c:numCache>
                <c:formatCode>General</c:formatCode>
                <c:ptCount val="9"/>
                <c:pt idx="0">
                  <c:v>4750.57</c:v>
                </c:pt>
                <c:pt idx="1">
                  <c:v>19603.52</c:v>
                </c:pt>
                <c:pt idx="2">
                  <c:v>13674.5</c:v>
                </c:pt>
                <c:pt idx="3">
                  <c:v>7022.0000000000009</c:v>
                </c:pt>
                <c:pt idx="4">
                  <c:v>0</c:v>
                </c:pt>
                <c:pt idx="5">
                  <c:v>3833.9700000000012</c:v>
                </c:pt>
                <c:pt idx="6">
                  <c:v>9280.16</c:v>
                </c:pt>
                <c:pt idx="7">
                  <c:v>4136.1100000000024</c:v>
                </c:pt>
                <c:pt idx="8">
                  <c:v>1.0000000000000005E-2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78338636112147"/>
          <c:y val="0.29572450764494307"/>
          <c:w val="0.27974780686922668"/>
          <c:h val="0.62486294790888164"/>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w Gminie Kańczuga w podziale na sektory odbiorców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view3D>
      <c:rotX val="30"/>
      <c:rotY val="207"/>
      <c:rAngAx val="0"/>
    </c:view3D>
    <c:floor>
      <c:thickness val="0"/>
    </c:floor>
    <c:sideWall>
      <c:thickness val="0"/>
    </c:sideWall>
    <c:backWall>
      <c:thickness val="0"/>
    </c:backWall>
    <c:plotArea>
      <c:layout>
        <c:manualLayout>
          <c:layoutTarget val="inner"/>
          <c:xMode val="edge"/>
          <c:yMode val="edge"/>
          <c:x val="4.0448105946837273E-2"/>
          <c:y val="0.26746031362557032"/>
          <c:w val="0.5402830927381056"/>
          <c:h val="0.72712379614821165"/>
        </c:manualLayout>
      </c:layout>
      <c:pie3DChart>
        <c:varyColors val="1"/>
        <c:ser>
          <c:idx val="0"/>
          <c:order val="0"/>
          <c:explosion val="15"/>
          <c:dLbls>
            <c:dLbl>
              <c:idx val="0"/>
              <c:layout>
                <c:manualLayout>
                  <c:x val="9.4788106837140992E-2"/>
                  <c:y val="7.870442320325088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Arkusz1!$E$29:$E$36</c:f>
              <c:strCache>
                <c:ptCount val="8"/>
                <c:pt idx="0">
                  <c:v>budynki mieszkalne</c:v>
                </c:pt>
                <c:pt idx="1">
                  <c:v>budynki użyteczności publicznej</c:v>
                </c:pt>
                <c:pt idx="2">
                  <c:v>spółdzielnie mieszkaniowe</c:v>
                </c:pt>
                <c:pt idx="3">
                  <c:v>obiekty sakralne</c:v>
                </c:pt>
                <c:pt idx="4">
                  <c:v>oświetlenie uliczne</c:v>
                </c:pt>
                <c:pt idx="5">
                  <c:v>transport</c:v>
                </c:pt>
                <c:pt idx="6">
                  <c:v>przemysł</c:v>
                </c:pt>
                <c:pt idx="7">
                  <c:v>Budynki usługowe (niekomunalne)</c:v>
                </c:pt>
              </c:strCache>
            </c:strRef>
          </c:cat>
          <c:val>
            <c:numRef>
              <c:f>Arkusz1!$F$29:$F$36</c:f>
              <c:numCache>
                <c:formatCode>General</c:formatCode>
                <c:ptCount val="8"/>
                <c:pt idx="0">
                  <c:v>392927.08</c:v>
                </c:pt>
                <c:pt idx="1">
                  <c:v>3654.44</c:v>
                </c:pt>
                <c:pt idx="2">
                  <c:v>15442.1</c:v>
                </c:pt>
                <c:pt idx="3">
                  <c:v>569.16000000000008</c:v>
                </c:pt>
                <c:pt idx="4">
                  <c:v>1481.62</c:v>
                </c:pt>
                <c:pt idx="5">
                  <c:v>244075.87000000002</c:v>
                </c:pt>
                <c:pt idx="6">
                  <c:v>211870.27000000011</c:v>
                </c:pt>
                <c:pt idx="7">
                  <c:v>16548.77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008589204127421"/>
          <c:y val="0.26039788090456373"/>
          <c:w val="0.32668659473121475"/>
          <c:h val="0.67324801836819204"/>
        </c:manualLayout>
      </c:layout>
      <c:overlay val="0"/>
      <c:txPr>
        <a:bodyPr/>
        <a:lstStyle/>
        <a:p>
          <a:pPr>
            <a:defRPr sz="1200"/>
          </a:pPr>
          <a:endParaRPr lang="pl-PL"/>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w Gminie Kańczuga w podziale na sektory odbiorców</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layout>
        <c:manualLayout>
          <c:xMode val="edge"/>
          <c:yMode val="edge"/>
          <c:x val="0.11734714904718142"/>
          <c:y val="2.0342430920494998E-2"/>
        </c:manualLayout>
      </c:layout>
      <c:overlay val="0"/>
    </c:title>
    <c:autoTitleDeleted val="0"/>
    <c:view3D>
      <c:rotX val="30"/>
      <c:rotY val="270"/>
      <c:rAngAx val="0"/>
    </c:view3D>
    <c:floor>
      <c:thickness val="0"/>
    </c:floor>
    <c:sideWall>
      <c:thickness val="0"/>
    </c:sideWall>
    <c:backWall>
      <c:thickness val="0"/>
    </c:backWall>
    <c:plotArea>
      <c:layout>
        <c:manualLayout>
          <c:layoutTarget val="inner"/>
          <c:xMode val="edge"/>
          <c:yMode val="edge"/>
          <c:x val="3.8957513282552994E-2"/>
          <c:y val="0.33789732761172497"/>
          <c:w val="0.58122784221249013"/>
          <c:h val="0.63920556231297565"/>
        </c:manualLayout>
      </c:layout>
      <c:pie3DChart>
        <c:varyColors val="1"/>
        <c:ser>
          <c:idx val="0"/>
          <c:order val="0"/>
          <c:explosion val="25"/>
          <c:dPt>
            <c:idx val="5"/>
            <c:bubble3D val="0"/>
            <c:explosion val="33"/>
          </c:dPt>
          <c:dLbls>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Arkusz1!$E$29:$E$36</c:f>
              <c:strCache>
                <c:ptCount val="8"/>
                <c:pt idx="0">
                  <c:v>budynki mieszkalne</c:v>
                </c:pt>
                <c:pt idx="1">
                  <c:v>budynki użyteczności publicznej</c:v>
                </c:pt>
                <c:pt idx="2">
                  <c:v>spółdzielnie mieszkaniowe</c:v>
                </c:pt>
                <c:pt idx="3">
                  <c:v>obiekty sakralne</c:v>
                </c:pt>
                <c:pt idx="4">
                  <c:v>oświetlenie uliczne</c:v>
                </c:pt>
                <c:pt idx="5">
                  <c:v>transport</c:v>
                </c:pt>
                <c:pt idx="6">
                  <c:v>przemysł</c:v>
                </c:pt>
                <c:pt idx="7">
                  <c:v>Budynki usługowe (niekomunalne)</c:v>
                </c:pt>
              </c:strCache>
            </c:strRef>
          </c:cat>
          <c:val>
            <c:numRef>
              <c:f>Arkusz1!$H$29:$H$36</c:f>
              <c:numCache>
                <c:formatCode>General</c:formatCode>
                <c:ptCount val="8"/>
                <c:pt idx="0">
                  <c:v>20829.010000000002</c:v>
                </c:pt>
                <c:pt idx="1">
                  <c:v>301.5</c:v>
                </c:pt>
                <c:pt idx="2">
                  <c:v>932</c:v>
                </c:pt>
                <c:pt idx="3">
                  <c:v>64.27</c:v>
                </c:pt>
                <c:pt idx="4">
                  <c:v>342.21</c:v>
                </c:pt>
                <c:pt idx="5">
                  <c:v>16963.04</c:v>
                </c:pt>
                <c:pt idx="6">
                  <c:v>21109.059999999969</c:v>
                </c:pt>
                <c:pt idx="7">
                  <c:v>1759.7500000000002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13816746161929"/>
          <c:y val="0.29310163969081532"/>
          <c:w val="0.32742429619084079"/>
          <c:h val="0.62371189742743982"/>
        </c:manualLayout>
      </c:layou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Wykonane termomodernizacje budynków jednorodzinnych w Gminie Kańczuga</a:t>
            </a:r>
            <a:endParaRPr lang="pl-PL"/>
          </a:p>
        </c:rich>
      </c:tx>
      <c:overlay val="0"/>
    </c:title>
    <c:autoTitleDeleted val="0"/>
    <c:plotArea>
      <c:layout>
        <c:manualLayout>
          <c:layoutTarget val="inner"/>
          <c:xMode val="edge"/>
          <c:yMode val="edge"/>
          <c:x val="9.6198926788261765E-2"/>
          <c:y val="0.2438877806940799"/>
          <c:w val="0.45170649627361981"/>
          <c:h val="0.7561122193059201"/>
        </c:manualLayout>
      </c:layout>
      <c:doughnutChart>
        <c:varyColors val="1"/>
        <c:ser>
          <c:idx val="0"/>
          <c:order val="0"/>
          <c:explosion val="25"/>
          <c:dLbls>
            <c:dLbl>
              <c:idx val="0"/>
              <c:layout>
                <c:manualLayout>
                  <c:x val="1.0810810810810825E-2"/>
                  <c:y val="2.3085986079332141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8.6741014416356604E-3"/>
                  <c:y val="-0.10370370370370394"/>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2.4361111448816752E-2"/>
                  <c:y val="-0.104530766987460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CO2'!$A$84:$I$84</c:f>
              <c:strCache>
                <c:ptCount val="9"/>
                <c:pt idx="0">
                  <c:v>wymiana okien</c:v>
                </c:pt>
                <c:pt idx="1">
                  <c:v>ocieplenie ścian zewnętrznych</c:v>
                </c:pt>
                <c:pt idx="2">
                  <c:v>ocieplenie stropu w piwnicy</c:v>
                </c:pt>
                <c:pt idx="3">
                  <c:v>ocieplenie poddasza / dachu</c:v>
                </c:pt>
                <c:pt idx="4">
                  <c:v>wymiana źródła ciepła (kotła)</c:v>
                </c:pt>
                <c:pt idx="5">
                  <c:v>modernizacja instalacji grzewczej</c:v>
                </c:pt>
                <c:pt idx="6">
                  <c:v>modernizacjia instalacji c.w.u.</c:v>
                </c:pt>
                <c:pt idx="7">
                  <c:v>montaż pompy ciepła</c:v>
                </c:pt>
                <c:pt idx="8">
                  <c:v>montaż kolektorów słonecznych</c:v>
                </c:pt>
              </c:strCache>
            </c:strRef>
          </c:cat>
          <c:val>
            <c:numRef>
              <c:f>'emisja CO2'!$A$85:$I$85</c:f>
              <c:numCache>
                <c:formatCode>General</c:formatCode>
                <c:ptCount val="9"/>
                <c:pt idx="0">
                  <c:v>163</c:v>
                </c:pt>
                <c:pt idx="1">
                  <c:v>111</c:v>
                </c:pt>
                <c:pt idx="2">
                  <c:v>50</c:v>
                </c:pt>
                <c:pt idx="3">
                  <c:v>62</c:v>
                </c:pt>
                <c:pt idx="4">
                  <c:v>82</c:v>
                </c:pt>
                <c:pt idx="5">
                  <c:v>46</c:v>
                </c:pt>
                <c:pt idx="6">
                  <c:v>23</c:v>
                </c:pt>
                <c:pt idx="7">
                  <c:v>3</c:v>
                </c:pt>
                <c:pt idx="8">
                  <c:v>4</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7800082588373844"/>
          <c:y val="0.23067226596675386"/>
          <c:w val="0.31159025238629995"/>
          <c:h val="0.66887769028871635"/>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Planowane termomodernizacje budynków jednorodzinnych w Gminie Kańczuga</a:t>
            </a:r>
          </a:p>
        </c:rich>
      </c:tx>
      <c:overlay val="0"/>
    </c:title>
    <c:autoTitleDeleted val="0"/>
    <c:plotArea>
      <c:layout>
        <c:manualLayout>
          <c:layoutTarget val="inner"/>
          <c:xMode val="edge"/>
          <c:yMode val="edge"/>
          <c:x val="0.11468143409469925"/>
          <c:y val="0.228715328294086"/>
          <c:w val="0.43772717524324867"/>
          <c:h val="0.73940050105744759"/>
        </c:manualLayout>
      </c:layout>
      <c:doughnutChart>
        <c:varyColors val="1"/>
        <c:ser>
          <c:idx val="0"/>
          <c:order val="0"/>
          <c:explosion val="25"/>
          <c:dLbls>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mieszkańcy!$CF$280:$CN$280</c:f>
              <c:strCache>
                <c:ptCount val="9"/>
                <c:pt idx="0">
                  <c:v>wymiana okien</c:v>
                </c:pt>
                <c:pt idx="1">
                  <c:v>ocieplenie ścian zewnętrznych</c:v>
                </c:pt>
                <c:pt idx="2">
                  <c:v>ocieplenie stropu w piwnicy</c:v>
                </c:pt>
                <c:pt idx="3">
                  <c:v>ocieplenie poddasza / dachu</c:v>
                </c:pt>
                <c:pt idx="4">
                  <c:v>wymiana źródła ciepła (kotła)</c:v>
                </c:pt>
                <c:pt idx="5">
                  <c:v>modernizacja instalacji grzewczej</c:v>
                </c:pt>
                <c:pt idx="6">
                  <c:v>modernizacjia instalacji c.w.u.</c:v>
                </c:pt>
                <c:pt idx="7">
                  <c:v>montaż pompy ciepła</c:v>
                </c:pt>
                <c:pt idx="8">
                  <c:v>montaż kolektorów słonecznych</c:v>
                </c:pt>
              </c:strCache>
            </c:strRef>
          </c:cat>
          <c:val>
            <c:numRef>
              <c:f>mieszkańcy!$CF$281:$CN$281</c:f>
              <c:numCache>
                <c:formatCode>General</c:formatCode>
                <c:ptCount val="9"/>
                <c:pt idx="0">
                  <c:v>28</c:v>
                </c:pt>
                <c:pt idx="1">
                  <c:v>32</c:v>
                </c:pt>
                <c:pt idx="2">
                  <c:v>19</c:v>
                </c:pt>
                <c:pt idx="3">
                  <c:v>38</c:v>
                </c:pt>
                <c:pt idx="4">
                  <c:v>25</c:v>
                </c:pt>
                <c:pt idx="5">
                  <c:v>30</c:v>
                </c:pt>
                <c:pt idx="6">
                  <c:v>7</c:v>
                </c:pt>
                <c:pt idx="7">
                  <c:v>6</c:v>
                </c:pt>
                <c:pt idx="8">
                  <c:v>37</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7671051415309758"/>
          <c:y val="0.23942576743124533"/>
          <c:w val="0.31164707293391097"/>
          <c:h val="0.66303252310852601"/>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Zainteresowanie mieszkańców Miasta i Gminy Kańczuga dofinansowaniem na zmianę sposobu ogrzewania</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460897712536861"/>
          <c:y val="0.2273343463900854"/>
          <c:w val="0.58538168840006055"/>
          <c:h val="0.74332640368112968"/>
        </c:manualLayout>
      </c:layout>
      <c:bar3DChart>
        <c:barDir val="col"/>
        <c:grouping val="clustered"/>
        <c:varyColors val="0"/>
        <c:ser>
          <c:idx val="0"/>
          <c:order val="0"/>
          <c:tx>
            <c:v>Mieszkańcy zainteresowani dofinansowaniem</c:v>
          </c:tx>
          <c:invertIfNegative val="0"/>
          <c:dLbls>
            <c:dLbl>
              <c:idx val="0"/>
              <c:layout>
                <c:manualLayout>
                  <c:x val="2.2037718509618651E-2"/>
                  <c:y val="0.14798424525433981"/>
                </c:manualLayout>
              </c:layout>
              <c:tx>
                <c:rich>
                  <a:bodyPr/>
                  <a:lstStyle/>
                  <a:p>
                    <a:r>
                      <a:rPr lang="en-US" sz="1400" b="1"/>
                      <a:t>75%</a:t>
                    </a:r>
                    <a:endParaRPr lang="en-US"/>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mieszkańcy!$CQ$284</c:f>
              <c:numCache>
                <c:formatCode>General</c:formatCode>
                <c:ptCount val="1"/>
                <c:pt idx="0">
                  <c:v>75</c:v>
                </c:pt>
              </c:numCache>
            </c:numRef>
          </c:val>
        </c:ser>
        <c:ser>
          <c:idx val="1"/>
          <c:order val="1"/>
          <c:tx>
            <c:v>Mieszkańcy nie zainteresowani dofinansowaniem</c:v>
          </c:tx>
          <c:invertIfNegative val="0"/>
          <c:dLbls>
            <c:dLbl>
              <c:idx val="0"/>
              <c:layout>
                <c:manualLayout>
                  <c:x val="2.4241490360580448E-2"/>
                  <c:y val="0.10570303232452828"/>
                </c:manualLayout>
              </c:layout>
              <c:tx>
                <c:rich>
                  <a:bodyPr/>
                  <a:lstStyle/>
                  <a:p>
                    <a:r>
                      <a:rPr lang="en-US" sz="1400" b="1"/>
                      <a:t>25%</a:t>
                    </a:r>
                    <a:endParaRPr lang="en-US"/>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25</c:v>
              </c:pt>
            </c:numLit>
          </c:val>
        </c:ser>
        <c:dLbls>
          <c:showLegendKey val="0"/>
          <c:showVal val="1"/>
          <c:showCatName val="0"/>
          <c:showSerName val="0"/>
          <c:showPercent val="0"/>
          <c:showBubbleSize val="0"/>
        </c:dLbls>
        <c:gapWidth val="150"/>
        <c:shape val="cylinder"/>
        <c:axId val="229287656"/>
        <c:axId val="229460512"/>
        <c:axId val="0"/>
      </c:bar3DChart>
      <c:catAx>
        <c:axId val="229287656"/>
        <c:scaling>
          <c:orientation val="minMax"/>
        </c:scaling>
        <c:delete val="1"/>
        <c:axPos val="b"/>
        <c:majorTickMark val="none"/>
        <c:minorTickMark val="none"/>
        <c:tickLblPos val="none"/>
        <c:crossAx val="229460512"/>
        <c:crosses val="autoZero"/>
        <c:auto val="1"/>
        <c:lblAlgn val="ctr"/>
        <c:lblOffset val="100"/>
        <c:noMultiLvlLbl val="0"/>
      </c:catAx>
      <c:valAx>
        <c:axId val="229460512"/>
        <c:scaling>
          <c:orientation val="minMax"/>
        </c:scaling>
        <c:delete val="0"/>
        <c:axPos val="l"/>
        <c:majorGridlines/>
        <c:title>
          <c:tx>
            <c:rich>
              <a:bodyPr/>
              <a:lstStyle/>
              <a:p>
                <a:pPr>
                  <a:defRPr/>
                </a:pPr>
                <a:r>
                  <a:rPr lang="pl-PL" sz="1400"/>
                  <a:t>Procent</a:t>
                </a:r>
                <a:r>
                  <a:rPr lang="pl-PL" sz="1400" baseline="0"/>
                  <a:t> [%]</a:t>
                </a:r>
              </a:p>
            </c:rich>
          </c:tx>
          <c:overlay val="0"/>
        </c:title>
        <c:numFmt formatCode="General" sourceLinked="1"/>
        <c:majorTickMark val="out"/>
        <c:minorTickMark val="none"/>
        <c:tickLblPos val="nextTo"/>
        <c:crossAx val="229287656"/>
        <c:crosses val="autoZero"/>
        <c:crossBetween val="between"/>
      </c:valAx>
    </c:plotArea>
    <c:legend>
      <c:legendPos val="r"/>
      <c:layout>
        <c:manualLayout>
          <c:xMode val="edge"/>
          <c:yMode val="edge"/>
          <c:x val="0.69978266605563189"/>
          <c:y val="0.47773754727765827"/>
          <c:w val="0.28700276096172639"/>
          <c:h val="0.24251979382914879"/>
        </c:manualLayout>
      </c:layout>
      <c:overlay val="0"/>
      <c:txPr>
        <a:bodyPr/>
        <a:lstStyle/>
        <a:p>
          <a:pPr>
            <a:defRPr sz="11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pl-PL" sz="1800"/>
              <a:t>Liczba ludności w Mieście Kańczuga </a:t>
            </a:r>
            <a:br>
              <a:rPr lang="pl-PL" sz="1800"/>
            </a:br>
            <a:r>
              <a:rPr lang="pl-PL" sz="1800"/>
              <a:t>w latach 2010-2014 według płci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'[ludność gmina.xls]DATA'!$J$21</c:f>
              <c:strCache>
                <c:ptCount val="1"/>
                <c:pt idx="0">
                  <c:v>ogółem</c:v>
                </c:pt>
              </c:strCache>
            </c:strRef>
          </c:tx>
          <c:spPr>
            <a:solidFill>
              <a:srgbClr val="72A2DC"/>
            </a:solidFill>
          </c:spPr>
          <c:invertIfNegative val="0"/>
          <c:dLbls>
            <c:dLbl>
              <c:idx val="0"/>
              <c:layout>
                <c:manualLayout>
                  <c:x val="6.6115702479338893E-3"/>
                  <c:y val="0.107579462102689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115702479338893E-3"/>
                  <c:y val="0.10431947840260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6115702479338893E-3"/>
                  <c:y val="0.107579462102689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6.6115702479338893E-3"/>
                  <c:y val="0.107579462102689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6.6115702479338893E-3"/>
                  <c:y val="0.110839445802770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gmina.xls]DATA'!$K$21:$O$21</c:f>
              <c:numCache>
                <c:formatCode>0</c:formatCode>
                <c:ptCount val="5"/>
                <c:pt idx="0">
                  <c:v>3231</c:v>
                </c:pt>
                <c:pt idx="1">
                  <c:v>3230</c:v>
                </c:pt>
                <c:pt idx="2">
                  <c:v>3242</c:v>
                </c:pt>
                <c:pt idx="3">
                  <c:v>3236</c:v>
                </c:pt>
                <c:pt idx="4">
                  <c:v>3237</c:v>
                </c:pt>
              </c:numCache>
            </c:numRef>
          </c:val>
          <c:extLst xmlns:c16r2="http://schemas.microsoft.com/office/drawing/2015/06/chart">
            <c:ext xmlns:c16="http://schemas.microsoft.com/office/drawing/2014/chart" uri="{C3380CC4-5D6E-409C-BE32-E72D297353CC}">
              <c16:uniqueId val="{00000000-79B2-468F-91DE-2A9DDF312D9F}"/>
            </c:ext>
          </c:extLst>
        </c:ser>
        <c:ser>
          <c:idx val="1"/>
          <c:order val="1"/>
          <c:tx>
            <c:strRef>
              <c:f>'[ludność gmina.xls]DATA'!$J$22</c:f>
              <c:strCache>
                <c:ptCount val="1"/>
                <c:pt idx="0">
                  <c:v>mężczyźni</c:v>
                </c:pt>
              </c:strCache>
            </c:strRef>
          </c:tx>
          <c:spPr>
            <a:solidFill>
              <a:schemeClr val="accent6"/>
            </a:solidFill>
          </c:spPr>
          <c:invertIfNegative val="0"/>
          <c:dLbls>
            <c:dLbl>
              <c:idx val="0"/>
              <c:layout>
                <c:manualLayout>
                  <c:x val="4.407713498622614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1157024793388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61157024793388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6.61157024793388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6.6115702479338893E-3"/>
                  <c:y val="9.45395273023637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gmina.xls]DATA'!$K$22:$O$22</c:f>
              <c:numCache>
                <c:formatCode>0</c:formatCode>
                <c:ptCount val="5"/>
                <c:pt idx="0">
                  <c:v>1575</c:v>
                </c:pt>
                <c:pt idx="1">
                  <c:v>1575</c:v>
                </c:pt>
                <c:pt idx="2">
                  <c:v>1585</c:v>
                </c:pt>
                <c:pt idx="3">
                  <c:v>1581</c:v>
                </c:pt>
                <c:pt idx="4">
                  <c:v>1581</c:v>
                </c:pt>
              </c:numCache>
            </c:numRef>
          </c:val>
          <c:extLst xmlns:c16r2="http://schemas.microsoft.com/office/drawing/2015/06/chart">
            <c:ext xmlns:c16="http://schemas.microsoft.com/office/drawing/2014/chart" uri="{C3380CC4-5D6E-409C-BE32-E72D297353CC}">
              <c16:uniqueId val="{00000001-79B2-468F-91DE-2A9DDF312D9F}"/>
            </c:ext>
          </c:extLst>
        </c:ser>
        <c:ser>
          <c:idx val="2"/>
          <c:order val="2"/>
          <c:tx>
            <c:strRef>
              <c:f>'[ludność gmina.xls]DATA'!$J$23</c:f>
              <c:strCache>
                <c:ptCount val="1"/>
                <c:pt idx="0">
                  <c:v>kobiety</c:v>
                </c:pt>
              </c:strCache>
            </c:strRef>
          </c:tx>
          <c:invertIfNegative val="0"/>
          <c:dLbls>
            <c:dLbl>
              <c:idx val="0"/>
              <c:layout>
                <c:manualLayout>
                  <c:x val="6.61157024793388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1157024793388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4077134986226993E-3"/>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6.6115702479338035E-3"/>
                  <c:y val="0.101059494702526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6.6115702479338893E-3"/>
                  <c:y val="9.45395273023637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5400000" vert="horz"/>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gmina.xls]DATA'!$K$9:$O$9</c:f>
              <c:strCache>
                <c:ptCount val="5"/>
                <c:pt idx="0">
                  <c:v>2010</c:v>
                </c:pt>
                <c:pt idx="1">
                  <c:v>2011</c:v>
                </c:pt>
                <c:pt idx="2">
                  <c:v>2012</c:v>
                </c:pt>
                <c:pt idx="3">
                  <c:v>2013</c:v>
                </c:pt>
                <c:pt idx="4">
                  <c:v>2014</c:v>
                </c:pt>
              </c:strCache>
            </c:strRef>
          </c:cat>
          <c:val>
            <c:numRef>
              <c:f>'[ludność gmina.xls]DATA'!$K$23:$O$23</c:f>
              <c:numCache>
                <c:formatCode>0</c:formatCode>
                <c:ptCount val="5"/>
                <c:pt idx="0">
                  <c:v>1656</c:v>
                </c:pt>
                <c:pt idx="1">
                  <c:v>1655</c:v>
                </c:pt>
                <c:pt idx="2">
                  <c:v>1657</c:v>
                </c:pt>
                <c:pt idx="3">
                  <c:v>1655</c:v>
                </c:pt>
                <c:pt idx="4">
                  <c:v>1656</c:v>
                </c:pt>
              </c:numCache>
            </c:numRef>
          </c:val>
          <c:extLst xmlns:c16r2="http://schemas.microsoft.com/office/drawing/2015/06/chart">
            <c:ext xmlns:c16="http://schemas.microsoft.com/office/drawing/2014/chart" uri="{C3380CC4-5D6E-409C-BE32-E72D297353CC}">
              <c16:uniqueId val="{00000002-79B2-468F-91DE-2A9DDF312D9F}"/>
            </c:ext>
          </c:extLst>
        </c:ser>
        <c:dLbls>
          <c:showLegendKey val="0"/>
          <c:showVal val="1"/>
          <c:showCatName val="0"/>
          <c:showSerName val="0"/>
          <c:showPercent val="0"/>
          <c:showBubbleSize val="0"/>
        </c:dLbls>
        <c:gapWidth val="150"/>
        <c:shape val="cylinder"/>
        <c:axId val="4672104"/>
        <c:axId val="4673672"/>
        <c:axId val="0"/>
      </c:bar3DChart>
      <c:catAx>
        <c:axId val="4672104"/>
        <c:scaling>
          <c:orientation val="minMax"/>
        </c:scaling>
        <c:delete val="0"/>
        <c:axPos val="b"/>
        <c:numFmt formatCode="General" sourceLinked="0"/>
        <c:majorTickMark val="none"/>
        <c:minorTickMark val="none"/>
        <c:tickLblPos val="nextTo"/>
        <c:crossAx val="4673672"/>
        <c:crosses val="autoZero"/>
        <c:auto val="1"/>
        <c:lblAlgn val="ctr"/>
        <c:lblOffset val="100"/>
        <c:noMultiLvlLbl val="0"/>
      </c:catAx>
      <c:valAx>
        <c:axId val="4673672"/>
        <c:scaling>
          <c:orientation val="minMax"/>
        </c:scaling>
        <c:delete val="0"/>
        <c:axPos val="l"/>
        <c:majorGridlines/>
        <c:title>
          <c:tx>
            <c:rich>
              <a:bodyPr/>
              <a:lstStyle/>
              <a:p>
                <a:pPr>
                  <a:defRPr sz="1100"/>
                </a:pPr>
                <a:r>
                  <a:rPr lang="pl-PL" sz="1100"/>
                  <a:t>Liczba ludności</a:t>
                </a:r>
              </a:p>
            </c:rich>
          </c:tx>
          <c:overlay val="0"/>
        </c:title>
        <c:numFmt formatCode="0" sourceLinked="1"/>
        <c:majorTickMark val="out"/>
        <c:minorTickMark val="none"/>
        <c:tickLblPos val="nextTo"/>
        <c:crossAx val="4672104"/>
        <c:crosses val="autoZero"/>
        <c:crossBetween val="between"/>
      </c:valAx>
    </c:plotArea>
    <c:legend>
      <c:legendPos val="b"/>
      <c:overlay val="0"/>
      <c:txPr>
        <a:bodyPr/>
        <a:lstStyle/>
        <a:p>
          <a:pPr>
            <a:defRPr sz="11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Struktura</a:t>
            </a:r>
            <a:r>
              <a:rPr lang="pl-PL" baseline="0"/>
              <a:t> wieku i płci w Gminie Kańczuga </a:t>
            </a:r>
            <a:br>
              <a:rPr lang="pl-PL" baseline="0"/>
            </a:br>
            <a:r>
              <a:rPr lang="pl-PL" baseline="0"/>
              <a:t>w 2014 r.</a:t>
            </a:r>
            <a:endParaRPr lang="pl-PL"/>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'[ludność gmina.xls]DATA'!$Q$152</c:f>
              <c:strCache>
                <c:ptCount val="1"/>
                <c:pt idx="0">
                  <c:v>mężczyźni</c:v>
                </c:pt>
              </c:strCache>
            </c:strRef>
          </c:tx>
          <c:invertIfNegative val="0"/>
          <c:dLbls>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gmina.xls]DATA'!$P$153:$P$160</c:f>
              <c:strCache>
                <c:ptCount val="8"/>
                <c:pt idx="0">
                  <c:v>0-9 lat</c:v>
                </c:pt>
                <c:pt idx="1">
                  <c:v>10-19 lat</c:v>
                </c:pt>
                <c:pt idx="2">
                  <c:v>20-29 lat</c:v>
                </c:pt>
                <c:pt idx="3">
                  <c:v>30-39 lat</c:v>
                </c:pt>
                <c:pt idx="4">
                  <c:v>40-49 lat</c:v>
                </c:pt>
                <c:pt idx="5">
                  <c:v>50-59 lat</c:v>
                </c:pt>
                <c:pt idx="6">
                  <c:v>60-69 lat</c:v>
                </c:pt>
                <c:pt idx="7">
                  <c:v>70 i więcej</c:v>
                </c:pt>
              </c:strCache>
            </c:strRef>
          </c:cat>
          <c:val>
            <c:numRef>
              <c:f>'[ludność gmina.xls]DATA'!$Q$153:$Q$160</c:f>
              <c:numCache>
                <c:formatCode>0</c:formatCode>
                <c:ptCount val="8"/>
                <c:pt idx="0">
                  <c:v>-681</c:v>
                </c:pt>
                <c:pt idx="1">
                  <c:v>-703</c:v>
                </c:pt>
                <c:pt idx="2">
                  <c:v>-1049</c:v>
                </c:pt>
                <c:pt idx="3">
                  <c:v>-996</c:v>
                </c:pt>
                <c:pt idx="4">
                  <c:v>-803</c:v>
                </c:pt>
                <c:pt idx="5">
                  <c:v>-857</c:v>
                </c:pt>
                <c:pt idx="6">
                  <c:v>-601</c:v>
                </c:pt>
                <c:pt idx="7">
                  <c:v>-507</c:v>
                </c:pt>
              </c:numCache>
            </c:numRef>
          </c:val>
          <c:extLst xmlns:c16r2="http://schemas.microsoft.com/office/drawing/2015/06/chart">
            <c:ext xmlns:c16="http://schemas.microsoft.com/office/drawing/2014/chart" uri="{C3380CC4-5D6E-409C-BE32-E72D297353CC}">
              <c16:uniqueId val="{00000000-A39E-4204-A0FE-052624DB939B}"/>
            </c:ext>
          </c:extLst>
        </c:ser>
        <c:ser>
          <c:idx val="1"/>
          <c:order val="1"/>
          <c:tx>
            <c:strRef>
              <c:f>'[ludność gmina.xls]DATA'!$R$152</c:f>
              <c:strCache>
                <c:ptCount val="1"/>
                <c:pt idx="0">
                  <c:v>kobiety</c:v>
                </c:pt>
              </c:strCache>
            </c:strRef>
          </c:tx>
          <c:invertIfNegative val="0"/>
          <c:dLbls>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gmina.xls]DATA'!$P$153:$P$160</c:f>
              <c:strCache>
                <c:ptCount val="8"/>
                <c:pt idx="0">
                  <c:v>0-9 lat</c:v>
                </c:pt>
                <c:pt idx="1">
                  <c:v>10-19 lat</c:v>
                </c:pt>
                <c:pt idx="2">
                  <c:v>20-29 lat</c:v>
                </c:pt>
                <c:pt idx="3">
                  <c:v>30-39 lat</c:v>
                </c:pt>
                <c:pt idx="4">
                  <c:v>40-49 lat</c:v>
                </c:pt>
                <c:pt idx="5">
                  <c:v>50-59 lat</c:v>
                </c:pt>
                <c:pt idx="6">
                  <c:v>60-69 lat</c:v>
                </c:pt>
                <c:pt idx="7">
                  <c:v>70 i więcej</c:v>
                </c:pt>
              </c:strCache>
            </c:strRef>
          </c:cat>
          <c:val>
            <c:numRef>
              <c:f>'[ludność gmina.xls]DATA'!$R$153:$R$160</c:f>
              <c:numCache>
                <c:formatCode>0</c:formatCode>
                <c:ptCount val="8"/>
                <c:pt idx="0">
                  <c:v>638</c:v>
                </c:pt>
                <c:pt idx="1">
                  <c:v>679</c:v>
                </c:pt>
                <c:pt idx="2">
                  <c:v>959</c:v>
                </c:pt>
                <c:pt idx="3">
                  <c:v>935</c:v>
                </c:pt>
                <c:pt idx="4">
                  <c:v>758</c:v>
                </c:pt>
                <c:pt idx="5">
                  <c:v>845</c:v>
                </c:pt>
                <c:pt idx="6">
                  <c:v>669</c:v>
                </c:pt>
                <c:pt idx="7">
                  <c:v>871</c:v>
                </c:pt>
              </c:numCache>
            </c:numRef>
          </c:val>
          <c:extLst xmlns:c16r2="http://schemas.microsoft.com/office/drawing/2015/06/chart">
            <c:ext xmlns:c16="http://schemas.microsoft.com/office/drawing/2014/chart" uri="{C3380CC4-5D6E-409C-BE32-E72D297353CC}">
              <c16:uniqueId val="{00000001-A39E-4204-A0FE-052624DB939B}"/>
            </c:ext>
          </c:extLst>
        </c:ser>
        <c:dLbls>
          <c:showLegendKey val="0"/>
          <c:showVal val="1"/>
          <c:showCatName val="0"/>
          <c:showSerName val="0"/>
          <c:showPercent val="0"/>
          <c:showBubbleSize val="0"/>
        </c:dLbls>
        <c:gapWidth val="75"/>
        <c:shape val="box"/>
        <c:axId val="4673280"/>
        <c:axId val="228994648"/>
        <c:axId val="0"/>
      </c:bar3DChart>
      <c:catAx>
        <c:axId val="4673280"/>
        <c:scaling>
          <c:orientation val="maxMin"/>
        </c:scaling>
        <c:delete val="0"/>
        <c:axPos val="l"/>
        <c:majorGridlines/>
        <c:numFmt formatCode="General" sourceLinked="0"/>
        <c:majorTickMark val="none"/>
        <c:minorTickMark val="none"/>
        <c:tickLblPos val="low"/>
        <c:txPr>
          <a:bodyPr/>
          <a:lstStyle/>
          <a:p>
            <a:pPr>
              <a:defRPr b="1"/>
            </a:pPr>
            <a:endParaRPr lang="pl-PL"/>
          </a:p>
        </c:txPr>
        <c:crossAx val="228994648"/>
        <c:crosses val="autoZero"/>
        <c:auto val="0"/>
        <c:lblAlgn val="ctr"/>
        <c:lblOffset val="100"/>
        <c:noMultiLvlLbl val="0"/>
      </c:catAx>
      <c:valAx>
        <c:axId val="228994648"/>
        <c:scaling>
          <c:orientation val="minMax"/>
          <c:min val="-1000"/>
        </c:scaling>
        <c:delete val="0"/>
        <c:axPos val="t"/>
        <c:numFmt formatCode="0" sourceLinked="1"/>
        <c:majorTickMark val="none"/>
        <c:minorTickMark val="none"/>
        <c:tickLblPos val="nextTo"/>
        <c:crossAx val="4673280"/>
        <c:crosses val="autoZero"/>
        <c:crossBetween val="between"/>
      </c:valAx>
    </c:plotArea>
    <c:legend>
      <c:legendPos val="b"/>
      <c:layout>
        <c:manualLayout>
          <c:xMode val="edge"/>
          <c:yMode val="edge"/>
          <c:x val="0.39645040237739038"/>
          <c:y val="0.91787168711889378"/>
          <c:w val="0.24676844320079899"/>
          <c:h val="6.2140595827583404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333333"/>
                </a:solidFill>
                <a:latin typeface="Calibri"/>
                <a:ea typeface="Calibri"/>
                <a:cs typeface="Calibri"/>
              </a:defRPr>
            </a:pPr>
            <a:r>
              <a:rPr lang="pl-PL" sz="1800" b="1" i="0" baseline="0"/>
              <a:t>Zużycie energii przez budynki mieszkalne</a:t>
            </a:r>
            <a:br>
              <a:rPr lang="pl-PL" sz="1800" b="1" i="0" baseline="0"/>
            </a:br>
            <a:r>
              <a:rPr lang="pl-PL" sz="1800" b="1" i="0" baseline="0"/>
              <a:t> w podziale na nośniki energii</a:t>
            </a:r>
            <a:endParaRPr lang="pl-PL"/>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333333"/>
                </a:solidFill>
                <a:latin typeface="Calibri"/>
                <a:ea typeface="Calibri"/>
                <a:cs typeface="Calibri"/>
              </a:defRPr>
            </a:pPr>
            <a:endParaRPr lang="en-US"/>
          </a:p>
        </c:rich>
      </c:tx>
      <c:overlay val="0"/>
      <c:spPr>
        <a:noFill/>
        <a:ln w="25400">
          <a:noFill/>
        </a:ln>
      </c:spPr>
    </c:title>
    <c:autoTitleDeleted val="0"/>
    <c:view3D>
      <c:rotX val="30"/>
      <c:rotY val="30"/>
      <c:rAngAx val="0"/>
    </c:view3D>
    <c:floor>
      <c:thickness val="0"/>
    </c:floor>
    <c:sideWall>
      <c:thickness val="0"/>
    </c:sideWall>
    <c:backWall>
      <c:thickness val="0"/>
    </c:backWall>
    <c:plotArea>
      <c:layout>
        <c:manualLayout>
          <c:layoutTarget val="inner"/>
          <c:xMode val="edge"/>
          <c:yMode val="edge"/>
          <c:x val="2.1964303682833621E-2"/>
          <c:y val="0.29612162099224915"/>
          <c:w val="0.62151809971825256"/>
          <c:h val="0.70387837900775152"/>
        </c:manualLayout>
      </c:layout>
      <c:pie3DChart>
        <c:varyColors val="1"/>
        <c:ser>
          <c:idx val="0"/>
          <c:order val="0"/>
          <c:tx>
            <c:strRef>
              <c:f>'emisja CO2'!$B$27</c:f>
              <c:strCache>
                <c:ptCount val="1"/>
                <c:pt idx="0">
                  <c:v>Zużycie energii  [GJ]</c:v>
                </c:pt>
              </c:strCache>
            </c:strRef>
          </c:tx>
          <c:explosion val="25"/>
          <c:dPt>
            <c:idx val="1"/>
            <c:bubble3D val="0"/>
            <c:explosion val="9"/>
          </c:dPt>
          <c:dLbls>
            <c:dLbl>
              <c:idx val="0"/>
              <c:tx>
                <c:rich>
                  <a:bodyPr/>
                  <a:lstStyle/>
                  <a:p>
                    <a:r>
                      <a:rPr lang="en-US"/>
                      <a:t>35 %</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50,</a:t>
                    </a:r>
                    <a:r>
                      <a:rPr lang="pl-PL"/>
                      <a:t>7</a:t>
                    </a:r>
                    <a:r>
                      <a:rPr lang="en-US"/>
                      <a:t>%</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6,</a:t>
                    </a:r>
                    <a:r>
                      <a:rPr lang="pl-PL"/>
                      <a:t>0</a:t>
                    </a:r>
                    <a:r>
                      <a:rPr lang="en-US"/>
                      <a:t>%</a:t>
                    </a:r>
                  </a:p>
                </c:rich>
              </c:tx>
              <c:showLegendKey val="0"/>
              <c:showVal val="0"/>
              <c:showCatName val="0"/>
              <c:showSerName val="0"/>
              <c:showPercent val="1"/>
              <c:showBubbleSize val="0"/>
              <c:extLst>
                <c:ext xmlns:c15="http://schemas.microsoft.com/office/drawing/2012/chart" uri="{CE6537A1-D6FC-4f65-9D91-7224C49458BB}"/>
              </c:extLst>
            </c:dLbl>
            <c:dLbl>
              <c:idx val="7"/>
              <c:layout>
                <c:manualLayout>
                  <c:x val="2.9182052955984448E-2"/>
                  <c:y val="3.8943919604511562E-3"/>
                </c:manualLayout>
              </c:layout>
              <c:tx>
                <c:rich>
                  <a:bodyPr/>
                  <a:lstStyle/>
                  <a:p>
                    <a:r>
                      <a:rPr lang="en-US"/>
                      <a:t>0,</a:t>
                    </a:r>
                    <a:r>
                      <a:rPr lang="pl-PL"/>
                      <a:t>2</a:t>
                    </a:r>
                    <a:r>
                      <a:rPr lang="en-US"/>
                      <a:t>%</a:t>
                    </a:r>
                  </a:p>
                </c:rich>
              </c:tx>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 mieszkańcy Kańczuga.xls]emisja CO2'!$A$28:$A$33,'[ankieta mieszkańcy Kańczuga.xls]emisja CO2'!$A$35:$A$36</c:f>
              <c:strCache>
                <c:ptCount val="8"/>
                <c:pt idx="0">
                  <c:v>węgiel </c:v>
                </c:pt>
                <c:pt idx="1">
                  <c:v>olej opałowy</c:v>
                </c:pt>
                <c:pt idx="2">
                  <c:v>drewno</c:v>
                </c:pt>
                <c:pt idx="3">
                  <c:v>brykiet/pellet</c:v>
                </c:pt>
                <c:pt idx="4">
                  <c:v>gaz ziemny</c:v>
                </c:pt>
                <c:pt idx="5">
                  <c:v>gaz płynny (LPG)</c:v>
                </c:pt>
                <c:pt idx="6">
                  <c:v>energia elektryczna</c:v>
                </c:pt>
                <c:pt idx="7">
                  <c:v>odnawialne źródła energii</c:v>
                </c:pt>
              </c:strCache>
            </c:strRef>
          </c:cat>
          <c:val>
            <c:numRef>
              <c:f>'[ankieta mieszkańcy Kańczuga.xls]emisja CO2'!$B$28:$B$33,'[ankieta mieszkańcy Kańczuga.xls]emisja CO2'!$B$35:$B$36</c:f>
              <c:numCache>
                <c:formatCode>0.00</c:formatCode>
                <c:ptCount val="8"/>
                <c:pt idx="0">
                  <c:v>138130.59730627306</c:v>
                </c:pt>
                <c:pt idx="1">
                  <c:v>12.159684708487111</c:v>
                </c:pt>
                <c:pt idx="2">
                  <c:v>200162.67119557195</c:v>
                </c:pt>
                <c:pt idx="3">
                  <c:v>731.76088560885773</c:v>
                </c:pt>
                <c:pt idx="4">
                  <c:v>23865.284400917149</c:v>
                </c:pt>
                <c:pt idx="5">
                  <c:v>4599.6831085133654</c:v>
                </c:pt>
                <c:pt idx="6">
                  <c:v>26168.84864226502</c:v>
                </c:pt>
                <c:pt idx="7">
                  <c:v>0.97099040590405905</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7637901866573003"/>
          <c:y val="0.32592821487498769"/>
          <c:w val="0.28568263860937831"/>
          <c:h val="0.53730259195280927"/>
        </c:manualLayout>
      </c:layout>
      <c:overlay val="0"/>
      <c:txPr>
        <a:bodyPr/>
        <a:lstStyle/>
        <a:p>
          <a:pPr>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0" b="0" i="0" u="none" strike="noStrike" kern="1200" baseline="0">
                <a:solidFill>
                  <a:srgbClr val="333333"/>
                </a:solidFill>
                <a:latin typeface="Calibri"/>
                <a:ea typeface="Calibri"/>
                <a:cs typeface="Calibri"/>
              </a:defRPr>
            </a:pPr>
            <a:r>
              <a:rPr lang="pl-PL" sz="1800" b="1" i="0" baseline="0"/>
              <a:t>Emisja CO</a:t>
            </a:r>
            <a:r>
              <a:rPr lang="pl-PL" sz="1800" b="1" i="0" baseline="-25000"/>
              <a:t>2</a:t>
            </a:r>
            <a:r>
              <a:rPr lang="pl-PL" sz="1800" b="1" i="0" baseline="0"/>
              <a:t> przez budynki mieszkalne</a:t>
            </a:r>
            <a:br>
              <a:rPr lang="pl-PL" sz="1800" b="1" i="0" baseline="0"/>
            </a:br>
            <a:r>
              <a:rPr lang="pl-PL" sz="1800" b="1" i="0" baseline="0"/>
              <a:t>w podziale na nośniki energii</a:t>
            </a:r>
            <a:endParaRPr lang="pl-PL"/>
          </a:p>
          <a:p>
            <a:pPr marL="0" marR="0" indent="0" algn="ctr" defTabSz="914400" rtl="1" eaLnBrk="1" fontAlgn="auto" latinLnBrk="0" hangingPunct="1">
              <a:lnSpc>
                <a:spcPct val="100000"/>
              </a:lnSpc>
              <a:spcBef>
                <a:spcPts val="0"/>
              </a:spcBef>
              <a:spcAft>
                <a:spcPts val="0"/>
              </a:spcAft>
              <a:buClrTx/>
              <a:buSzTx/>
              <a:buFontTx/>
              <a:buNone/>
              <a:tabLst/>
              <a:defRPr sz="1000" b="0" i="0" u="none" strike="noStrike" kern="1200" baseline="0">
                <a:solidFill>
                  <a:srgbClr val="333333"/>
                </a:solidFill>
                <a:latin typeface="Calibri"/>
                <a:ea typeface="Calibri"/>
                <a:cs typeface="Calibri"/>
              </a:defRPr>
            </a:pPr>
            <a:endParaRPr lang="pl-PL" sz="1800" b="1" i="0" strike="noStrike">
              <a:solidFill>
                <a:srgbClr val="333333"/>
              </a:solidFill>
              <a:latin typeface="Calibri"/>
            </a:endParaRPr>
          </a:p>
        </c:rich>
      </c:tx>
      <c:overlay val="0"/>
      <c:spPr>
        <a:noFill/>
        <a:ln w="25400">
          <a:noFill/>
        </a:ln>
      </c:spPr>
    </c:title>
    <c:autoTitleDeleted val="0"/>
    <c:view3D>
      <c:rotX val="30"/>
      <c:rotY val="35"/>
      <c:rAngAx val="0"/>
    </c:view3D>
    <c:floor>
      <c:thickness val="0"/>
    </c:floor>
    <c:sideWall>
      <c:thickness val="0"/>
    </c:sideWall>
    <c:backWall>
      <c:thickness val="0"/>
    </c:backWall>
    <c:plotArea>
      <c:layout>
        <c:manualLayout>
          <c:layoutTarget val="inner"/>
          <c:xMode val="edge"/>
          <c:yMode val="edge"/>
          <c:x val="0"/>
          <c:y val="0.37029924489093574"/>
          <c:w val="0.71131850214577175"/>
          <c:h val="0.62539251636463422"/>
        </c:manualLayout>
      </c:layout>
      <c:pie3DChart>
        <c:varyColors val="1"/>
        <c:ser>
          <c:idx val="0"/>
          <c:order val="0"/>
          <c:explosion val="40"/>
          <c:dPt>
            <c:idx val="3"/>
            <c:bubble3D val="0"/>
            <c:explosion val="31"/>
          </c:dPt>
          <c:dLbls>
            <c:dLbl>
              <c:idx val="1"/>
              <c:layout>
                <c:manualLayout>
                  <c:x val="-0.12344613117274418"/>
                  <c:y val="-9.126154821390461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4725489836345263E-2"/>
                  <c:y val="-0.13093436816023199"/>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mieszkańcy Kańczuga.xls]emisja CO2'!$A$27:$A$33,'[ankieta mieszkańcy Kańczuga.xls]emisja CO2'!$A$35</c:f>
              <c:strCache>
                <c:ptCount val="8"/>
                <c:pt idx="0">
                  <c:v>Nośniki energii</c:v>
                </c:pt>
                <c:pt idx="1">
                  <c:v>węgiel </c:v>
                </c:pt>
                <c:pt idx="2">
                  <c:v>olej opałowy</c:v>
                </c:pt>
                <c:pt idx="3">
                  <c:v>drewno</c:v>
                </c:pt>
                <c:pt idx="4">
                  <c:v>brykiet/pellet</c:v>
                </c:pt>
                <c:pt idx="5">
                  <c:v>gaz ziemny</c:v>
                </c:pt>
                <c:pt idx="6">
                  <c:v>gaz płynny (LPG)</c:v>
                </c:pt>
                <c:pt idx="7">
                  <c:v>energia elektryczna</c:v>
                </c:pt>
              </c:strCache>
            </c:strRef>
          </c:cat>
          <c:val>
            <c:numRef>
              <c:f>'[ankieta mieszkańcy Kańczuga.xls]emisja CO2'!$B$27:$B$33,'[ankieta mieszkańcy Kańczuga.xls]emisja CO2'!$B$35</c:f>
              <c:numCache>
                <c:formatCode>0.00</c:formatCode>
                <c:ptCount val="8"/>
                <c:pt idx="0" formatCode="General">
                  <c:v>0</c:v>
                </c:pt>
                <c:pt idx="1">
                  <c:v>138130.59730627306</c:v>
                </c:pt>
                <c:pt idx="2">
                  <c:v>12.159684708487111</c:v>
                </c:pt>
                <c:pt idx="3">
                  <c:v>200162.67119557195</c:v>
                </c:pt>
                <c:pt idx="4">
                  <c:v>731.76088560885773</c:v>
                </c:pt>
                <c:pt idx="5">
                  <c:v>23865.284400917149</c:v>
                </c:pt>
                <c:pt idx="6">
                  <c:v>4599.6831085133654</c:v>
                </c:pt>
                <c:pt idx="7">
                  <c:v>26168.84864226502</c:v>
                </c:pt>
              </c:numCache>
            </c:numRef>
          </c:val>
        </c:ser>
        <c:ser>
          <c:idx val="1"/>
          <c:order val="1"/>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'[ankieta mieszkańcy Kańczuga.xls]emisja CO2'!$A$27:$A$33,'[ankieta mieszkańcy Kańczuga.xls]emisja CO2'!$A$35</c:f>
              <c:strCache>
                <c:ptCount val="8"/>
                <c:pt idx="0">
                  <c:v>Nośniki energii</c:v>
                </c:pt>
                <c:pt idx="1">
                  <c:v>węgiel </c:v>
                </c:pt>
                <c:pt idx="2">
                  <c:v>olej opałowy</c:v>
                </c:pt>
                <c:pt idx="3">
                  <c:v>drewno</c:v>
                </c:pt>
                <c:pt idx="4">
                  <c:v>brykiet/pellet</c:v>
                </c:pt>
                <c:pt idx="5">
                  <c:v>gaz ziemny</c:v>
                </c:pt>
                <c:pt idx="6">
                  <c:v>gaz płynny (LPG)</c:v>
                </c:pt>
                <c:pt idx="7">
                  <c:v>energia elektryczna</c:v>
                </c:pt>
              </c:strCache>
            </c:strRef>
          </c:cat>
          <c:val>
            <c:numRef>
              <c:f>'[ankieta mieszkańcy Kańczuga.xls]emisja CO2'!$C$27:$C$33,'[ankieta mieszkańcy Kańczuga.xls]emisja CO2'!$C$35</c:f>
              <c:numCache>
                <c:formatCode>0.00</c:formatCode>
                <c:ptCount val="8"/>
                <c:pt idx="0" formatCode="General">
                  <c:v>0</c:v>
                </c:pt>
                <c:pt idx="1">
                  <c:v>13085.111482823258</c:v>
                </c:pt>
                <c:pt idx="2">
                  <c:v>0.93131025182302596</c:v>
                </c:pt>
                <c:pt idx="3">
                  <c:v>21969.854790425983</c:v>
                </c:pt>
                <c:pt idx="4">
                  <c:v>80.318074804427809</c:v>
                </c:pt>
                <c:pt idx="5">
                  <c:v>1332.1601752591948</c:v>
                </c:pt>
                <c:pt idx="6">
                  <c:v>287.20421329557399</c:v>
                </c:pt>
                <c:pt idx="7">
                  <c:v>6044.2189709039494</c:v>
                </c:pt>
              </c:numCache>
            </c:numRef>
          </c:val>
        </c:ser>
        <c:dLbls>
          <c:showLegendKey val="0"/>
          <c:showVal val="0"/>
          <c:showCatName val="0"/>
          <c:showSerName val="0"/>
          <c:showPercent val="1"/>
          <c:showBubbleSize val="0"/>
          <c:showLeaderLines val="0"/>
        </c:dLbls>
      </c:pie3DChart>
      <c:spPr>
        <a:noFill/>
        <a:ln w="25400">
          <a:noFill/>
        </a:ln>
      </c:spPr>
    </c:plotArea>
    <c:legend>
      <c:legendPos val="r"/>
      <c:layout>
        <c:manualLayout>
          <c:xMode val="edge"/>
          <c:yMode val="edge"/>
          <c:x val="0.75247133626954554"/>
          <c:y val="0.36597068167455127"/>
          <c:w val="0.22473115365718721"/>
          <c:h val="0.53844469999568789"/>
        </c:manualLayout>
      </c:layout>
      <c:overlay val="0"/>
      <c:txPr>
        <a:bodyPr/>
        <a:lstStyle/>
        <a:p>
          <a:pPr rtl="0">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a:t>Zużycie energii przez budynki użyteczności publicznej w podziale na nośniki energii</a:t>
            </a:r>
          </a:p>
          <a:p>
            <a:pPr>
              <a:defRPr/>
            </a:pPr>
            <a:endParaRPr lang="en-US"/>
          </a:p>
        </c:rich>
      </c:tx>
      <c:overlay val="0"/>
    </c:title>
    <c:autoTitleDeleted val="0"/>
    <c:view3D>
      <c:rotX val="30"/>
      <c:rotY val="325"/>
      <c:rAngAx val="0"/>
    </c:view3D>
    <c:floor>
      <c:thickness val="0"/>
    </c:floor>
    <c:sideWall>
      <c:thickness val="0"/>
    </c:sideWall>
    <c:backWall>
      <c:thickness val="0"/>
    </c:backWall>
    <c:plotArea>
      <c:layout>
        <c:manualLayout>
          <c:layoutTarget val="inner"/>
          <c:xMode val="edge"/>
          <c:yMode val="edge"/>
          <c:x val="2.1708544087906879E-2"/>
          <c:y val="0.38057711468552852"/>
          <c:w val="0.64091523069933942"/>
          <c:h val="0.61832386293572461"/>
        </c:manualLayout>
      </c:layout>
      <c:pie3DChart>
        <c:varyColors val="1"/>
        <c:ser>
          <c:idx val="0"/>
          <c:order val="0"/>
          <c:explosion val="60"/>
          <c:dPt>
            <c:idx val="0"/>
            <c:bubble3D val="0"/>
            <c:explosion val="31"/>
          </c:dPt>
          <c:dLbls>
            <c:dLbl>
              <c:idx val="0"/>
              <c:layout>
                <c:manualLayout>
                  <c:x val="-0.12856880487912381"/>
                  <c:y val="-7.447641525720533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0148016944439798E-2"/>
                  <c:y val="-1.26863867966873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 użyteczności publicznej Kańczuga.xlsx]emisja CO2'!$A$20,'[ankieta - ob. użyteczności publicznej Kańczuga.xlsx]emisja CO2'!$A$23,'[ankieta - ob. użyteczności publicznej Kańczuga.xlsx]emisja CO2'!$A$24</c:f>
              <c:strCache>
                <c:ptCount val="3"/>
                <c:pt idx="0">
                  <c:v>gaz ziemny</c:v>
                </c:pt>
                <c:pt idx="1">
                  <c:v>energia elektryczna</c:v>
                </c:pt>
                <c:pt idx="2">
                  <c:v>odnawialne źródła energii</c:v>
                </c:pt>
              </c:strCache>
            </c:strRef>
          </c:cat>
          <c:val>
            <c:numRef>
              <c:f>'[ankieta - ob. użyteczności publicznej Kańczuga.xlsx]emisja CO2'!$B$20,'[ankieta - ob. użyteczności publicznej Kańczuga.xlsx]emisja CO2'!$B$23,'[ankieta - ob. użyteczności publicznej Kańczuga.xlsx]emisja CO2'!$B$24</c:f>
              <c:numCache>
                <c:formatCode>0.00</c:formatCode>
                <c:ptCount val="3"/>
                <c:pt idx="0">
                  <c:v>3097.755781848</c:v>
                </c:pt>
                <c:pt idx="1">
                  <c:v>556.67592000000002</c:v>
                </c:pt>
                <c:pt idx="2">
                  <c:v>3.6000000000000011E-2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przez budynki użyteczności publicznej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explosion val="10"/>
          </c:dPt>
          <c:dLbls>
            <c:dLbl>
              <c:idx val="0"/>
              <c:layout>
                <c:manualLayout>
                  <c:x val="-0.16016592043168787"/>
                  <c:y val="-5.87890419947506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685269353757286"/>
                  <c:y val="3.070603674540682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 użyteczności publicznej Kańczuga.xlsx]emisja CO2'!$A$20,'[ankieta - ob. użyteczności publicznej Kańczuga.xlsx]emisja CO2'!$A$23</c:f>
              <c:strCache>
                <c:ptCount val="2"/>
                <c:pt idx="0">
                  <c:v>gaz ziemny</c:v>
                </c:pt>
                <c:pt idx="1">
                  <c:v>energia elektryczna</c:v>
                </c:pt>
              </c:strCache>
            </c:strRef>
          </c:cat>
          <c:val>
            <c:numRef>
              <c:f>'[ankieta - ob. użyteczności publicznej Kańczuga.xlsx]emisja CO2'!$C$20,'[ankieta - ob. użyteczności publicznej Kańczuga.xlsx]emisja CO2'!$C$23</c:f>
              <c:numCache>
                <c:formatCode>0.00</c:formatCode>
                <c:ptCount val="2"/>
                <c:pt idx="0">
                  <c:v>172.91672774275537</c:v>
                </c:pt>
                <c:pt idx="1">
                  <c:v>128.57543724240028</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1573685465986003"/>
          <c:y val="0.53908169291338726"/>
          <c:w val="0.24588361957811131"/>
          <c:h val="0.18402427821522321"/>
        </c:manualLayout>
      </c:layout>
      <c:overlay val="0"/>
      <c:txPr>
        <a:bodyPr/>
        <a:lstStyle/>
        <a:p>
          <a:pPr rtl="0">
            <a:defRPr/>
          </a:pPr>
          <a:endParaRPr lang="pl-PL"/>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przez s</a:t>
            </a:r>
            <a:r>
              <a:rPr lang="pl-PL" sz="1800" b="1"/>
              <a:t>półdzielnie</a:t>
            </a:r>
            <a:br>
              <a:rPr lang="pl-PL" sz="1800" b="1"/>
            </a:br>
            <a:r>
              <a:rPr lang="pl-PL" sz="1800" b="1"/>
              <a:t> i wspólnoty mieszkaniowe</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 w podziale na nośniki energii</a:t>
            </a:r>
            <a:endParaRPr lang="pl-PL"/>
          </a:p>
        </c:rich>
      </c:tx>
      <c:overlay val="0"/>
    </c:title>
    <c:autoTitleDeleted val="0"/>
    <c:view3D>
      <c:rotX val="30"/>
      <c:rotY val="140"/>
      <c:rAngAx val="0"/>
    </c:view3D>
    <c:floor>
      <c:thickness val="0"/>
    </c:floor>
    <c:sideWall>
      <c:thickness val="0"/>
    </c:sideWall>
    <c:backWall>
      <c:thickness val="0"/>
    </c:backWall>
    <c:plotArea>
      <c:layout/>
      <c:pie3DChart>
        <c:varyColors val="1"/>
        <c:ser>
          <c:idx val="0"/>
          <c:order val="0"/>
          <c:explosion val="20"/>
          <c:dLbls>
            <c:numFmt formatCode="0.0%" sourceLinked="0"/>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 - SM i WM Kańczuga.xlsx]emisja CO2'!$A$25,'[ankieta - SM i WM Kańczuga.xlsx]emisja CO2'!$A$28</c:f>
              <c:strCache>
                <c:ptCount val="2"/>
                <c:pt idx="0">
                  <c:v>gaz ziemny</c:v>
                </c:pt>
                <c:pt idx="1">
                  <c:v>energia elektryczna</c:v>
                </c:pt>
              </c:strCache>
            </c:strRef>
          </c:cat>
          <c:val>
            <c:numRef>
              <c:f>'[ankieta - SM i WM Kańczuga.xlsx]emisja CO2'!$B$25,'[ankieta - SM i WM Kańczuga.xlsx]emisja CO2'!$B$28</c:f>
              <c:numCache>
                <c:formatCode>General</c:formatCode>
                <c:ptCount val="2"/>
                <c:pt idx="0">
                  <c:v>15042.441750336035</c:v>
                </c:pt>
                <c:pt idx="1">
                  <c:v>399.66582857142902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592885-283F-406D-9D73-5767B1180DE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pl-PL"/>
        </a:p>
      </dgm:t>
    </dgm:pt>
    <dgm:pt modelId="{35DABA65-01FB-4783-B8FE-77AA74E39A35}">
      <dgm:prSet phldrT="[Tekst]" custT="1"/>
      <dgm:spPr/>
      <dgm:t>
        <a:bodyPr/>
        <a:lstStyle/>
        <a:p>
          <a:pPr algn="ctr"/>
          <a:r>
            <a:rPr lang="pl-PL" sz="2200" b="1"/>
            <a:t>Burmistrz Miasta i Gminy Kańczuga</a:t>
          </a:r>
        </a:p>
      </dgm:t>
    </dgm:pt>
    <dgm:pt modelId="{342D4861-CBD8-4C19-B2EB-EFEC7B8ABA9C}" type="parTrans" cxnId="{347CC1B3-01C3-4E31-9A38-DC40CA8FA0F9}">
      <dgm:prSet/>
      <dgm:spPr/>
      <dgm:t>
        <a:bodyPr/>
        <a:lstStyle/>
        <a:p>
          <a:endParaRPr lang="pl-PL"/>
        </a:p>
      </dgm:t>
    </dgm:pt>
    <dgm:pt modelId="{64FEFBF3-655F-4270-B86E-3CED259F9E77}" type="sibTrans" cxnId="{347CC1B3-01C3-4E31-9A38-DC40CA8FA0F9}">
      <dgm:prSet/>
      <dgm:spPr/>
      <dgm:t>
        <a:bodyPr/>
        <a:lstStyle/>
        <a:p>
          <a:endParaRPr lang="pl-PL"/>
        </a:p>
      </dgm:t>
    </dgm:pt>
    <dgm:pt modelId="{661B3149-DF03-4D6C-80E4-BBB9F371E2A6}">
      <dgm:prSet phldrT="[Tekst]" custT="1"/>
      <dgm:spPr/>
      <dgm:t>
        <a:bodyPr/>
        <a:lstStyle/>
        <a:p>
          <a:pPr algn="ctr"/>
          <a:r>
            <a:rPr lang="pl-PL" sz="2200" b="1"/>
            <a:t>Koordynator monitoringu</a:t>
          </a:r>
        </a:p>
      </dgm:t>
    </dgm:pt>
    <dgm:pt modelId="{EAF3608A-7219-40B6-9136-9CF22B609EFA}" type="parTrans" cxnId="{2B76D374-58F2-4F30-B91D-8385E5F3ADF4}">
      <dgm:prSet/>
      <dgm:spPr/>
      <dgm:t>
        <a:bodyPr/>
        <a:lstStyle/>
        <a:p>
          <a:endParaRPr lang="pl-PL"/>
        </a:p>
      </dgm:t>
    </dgm:pt>
    <dgm:pt modelId="{C9D0E6A3-4335-4A26-BD7D-FACAD6EDD26A}" type="sibTrans" cxnId="{2B76D374-58F2-4F30-B91D-8385E5F3ADF4}">
      <dgm:prSet/>
      <dgm:spPr/>
      <dgm:t>
        <a:bodyPr/>
        <a:lstStyle/>
        <a:p>
          <a:endParaRPr lang="pl-PL"/>
        </a:p>
      </dgm:t>
    </dgm:pt>
    <dgm:pt modelId="{46FD338D-7DB7-45E0-A2AC-C2673A198291}">
      <dgm:prSet phldrT="[Tekst]" custT="1"/>
      <dgm:spPr/>
      <dgm:t>
        <a:bodyPr/>
        <a:lstStyle/>
        <a:p>
          <a:pPr algn="ctr"/>
          <a:r>
            <a:rPr lang="pl-PL" sz="2200" b="1"/>
            <a:t>Inwentaryzacja</a:t>
          </a:r>
        </a:p>
      </dgm:t>
    </dgm:pt>
    <dgm:pt modelId="{FCAB6849-EB31-488D-A62D-EB77E5762D99}" type="parTrans" cxnId="{4B976634-E62D-40EF-A758-3E473A3A6138}">
      <dgm:prSet/>
      <dgm:spPr/>
      <dgm:t>
        <a:bodyPr/>
        <a:lstStyle/>
        <a:p>
          <a:endParaRPr lang="pl-PL"/>
        </a:p>
      </dgm:t>
    </dgm:pt>
    <dgm:pt modelId="{EEF5597D-C942-499A-9156-3E0B28A6723C}" type="sibTrans" cxnId="{4B976634-E62D-40EF-A758-3E473A3A6138}">
      <dgm:prSet/>
      <dgm:spPr/>
      <dgm:t>
        <a:bodyPr/>
        <a:lstStyle/>
        <a:p>
          <a:endParaRPr lang="pl-PL"/>
        </a:p>
      </dgm:t>
    </dgm:pt>
    <dgm:pt modelId="{78BD5409-94CC-4940-A472-51EC841C2104}">
      <dgm:prSet phldrT="[Tekst]" custT="1"/>
      <dgm:spPr/>
      <dgm:t>
        <a:bodyPr/>
        <a:lstStyle/>
        <a:p>
          <a:pPr algn="ctr"/>
          <a:r>
            <a:rPr lang="pl-PL" sz="1600" b="0"/>
            <a:t>Zbieranie danych</a:t>
          </a:r>
        </a:p>
      </dgm:t>
    </dgm:pt>
    <dgm:pt modelId="{B4678578-2358-485B-8ED3-EBBE82790D08}" type="parTrans" cxnId="{786D5104-FCCB-4908-823F-6C6BEAAA7E8D}">
      <dgm:prSet/>
      <dgm:spPr/>
      <dgm:t>
        <a:bodyPr/>
        <a:lstStyle/>
        <a:p>
          <a:endParaRPr lang="pl-PL"/>
        </a:p>
      </dgm:t>
    </dgm:pt>
    <dgm:pt modelId="{092B3133-EB2C-46FE-9A79-0CDDE4BA6CCF}" type="sibTrans" cxnId="{786D5104-FCCB-4908-823F-6C6BEAAA7E8D}">
      <dgm:prSet/>
      <dgm:spPr/>
      <dgm:t>
        <a:bodyPr/>
        <a:lstStyle/>
        <a:p>
          <a:endParaRPr lang="pl-PL"/>
        </a:p>
      </dgm:t>
    </dgm:pt>
    <dgm:pt modelId="{901DD0DD-A38C-4FF6-83CA-10C04774247E}">
      <dgm:prSet custT="1"/>
      <dgm:spPr/>
      <dgm:t>
        <a:bodyPr/>
        <a:lstStyle/>
        <a:p>
          <a:pPr algn="ctr"/>
          <a:r>
            <a:rPr lang="pl-PL" sz="2200" b="1"/>
            <a:t>Monitoring</a:t>
          </a:r>
        </a:p>
      </dgm:t>
    </dgm:pt>
    <dgm:pt modelId="{88B3AFFA-9AC3-440F-81C2-BD95E82F64CB}" type="parTrans" cxnId="{D3B1A5C6-3ECF-4791-AA67-58632DCCEDE6}">
      <dgm:prSet/>
      <dgm:spPr/>
      <dgm:t>
        <a:bodyPr/>
        <a:lstStyle/>
        <a:p>
          <a:endParaRPr lang="pl-PL"/>
        </a:p>
      </dgm:t>
    </dgm:pt>
    <dgm:pt modelId="{DD5E84A0-3238-4113-BE7F-C3DE2BE66D15}" type="sibTrans" cxnId="{D3B1A5C6-3ECF-4791-AA67-58632DCCEDE6}">
      <dgm:prSet/>
      <dgm:spPr/>
      <dgm:t>
        <a:bodyPr/>
        <a:lstStyle/>
        <a:p>
          <a:endParaRPr lang="pl-PL"/>
        </a:p>
      </dgm:t>
    </dgm:pt>
    <dgm:pt modelId="{B541AB61-B0C8-4167-8878-637AE5B84348}">
      <dgm:prSet/>
      <dgm:spPr/>
      <dgm:t>
        <a:bodyPr/>
        <a:lstStyle/>
        <a:p>
          <a:pPr algn="ctr"/>
          <a:r>
            <a:rPr lang="pl-PL" sz="1600" b="0"/>
            <a:t>Weryfikacja danych</a:t>
          </a:r>
        </a:p>
      </dgm:t>
    </dgm:pt>
    <dgm:pt modelId="{FAC6E22E-B3C7-4045-A032-CB8AF17C4A49}" type="parTrans" cxnId="{947196A9-425D-4CFB-940D-C9F8BE32DBC2}">
      <dgm:prSet/>
      <dgm:spPr/>
      <dgm:t>
        <a:bodyPr/>
        <a:lstStyle/>
        <a:p>
          <a:endParaRPr lang="pl-PL"/>
        </a:p>
      </dgm:t>
    </dgm:pt>
    <dgm:pt modelId="{8E89C845-4D52-4DEC-BD59-F13A37F22F23}" type="sibTrans" cxnId="{947196A9-425D-4CFB-940D-C9F8BE32DBC2}">
      <dgm:prSet/>
      <dgm:spPr/>
      <dgm:t>
        <a:bodyPr/>
        <a:lstStyle/>
        <a:p>
          <a:endParaRPr lang="pl-PL"/>
        </a:p>
      </dgm:t>
    </dgm:pt>
    <dgm:pt modelId="{E2994DD2-F5D8-4192-94D5-0F8D954B7B74}">
      <dgm:prSet/>
      <dgm:spPr/>
      <dgm:t>
        <a:bodyPr/>
        <a:lstStyle/>
        <a:p>
          <a:pPr algn="ctr"/>
          <a:r>
            <a:rPr lang="pl-PL" sz="1600" b="0"/>
            <a:t>Analiza projektu</a:t>
          </a:r>
        </a:p>
      </dgm:t>
    </dgm:pt>
    <dgm:pt modelId="{DE9E3272-D0DD-4A49-ADC8-B2B2D48C7780}" type="parTrans" cxnId="{30A31CA2-2A56-421A-BCEC-DA1DE75F957C}">
      <dgm:prSet/>
      <dgm:spPr/>
      <dgm:t>
        <a:bodyPr/>
        <a:lstStyle/>
        <a:p>
          <a:endParaRPr lang="pl-PL"/>
        </a:p>
      </dgm:t>
    </dgm:pt>
    <dgm:pt modelId="{DD276900-70F4-483A-8678-FBB40605DA6A}" type="sibTrans" cxnId="{30A31CA2-2A56-421A-BCEC-DA1DE75F957C}">
      <dgm:prSet/>
      <dgm:spPr/>
      <dgm:t>
        <a:bodyPr/>
        <a:lstStyle/>
        <a:p>
          <a:endParaRPr lang="pl-PL"/>
        </a:p>
      </dgm:t>
    </dgm:pt>
    <dgm:pt modelId="{91262CC7-96B5-4A7F-A37E-3561C260FAED}">
      <dgm:prSet custT="1"/>
      <dgm:spPr/>
      <dgm:t>
        <a:bodyPr/>
        <a:lstStyle/>
        <a:p>
          <a:pPr algn="ctr"/>
          <a:r>
            <a:rPr lang="pl-PL" sz="2200" b="1"/>
            <a:t>Aktualizacja Planu</a:t>
          </a:r>
        </a:p>
      </dgm:t>
    </dgm:pt>
    <dgm:pt modelId="{0E3A5B68-438B-4BF6-8B0E-5129159D5956}" type="parTrans" cxnId="{DC947729-2DA5-4C96-95C0-9766D701F66B}">
      <dgm:prSet/>
      <dgm:spPr/>
      <dgm:t>
        <a:bodyPr/>
        <a:lstStyle/>
        <a:p>
          <a:endParaRPr lang="pl-PL"/>
        </a:p>
      </dgm:t>
    </dgm:pt>
    <dgm:pt modelId="{88AEF5A0-5D0A-4AB0-B636-57DE81692197}" type="sibTrans" cxnId="{DC947729-2DA5-4C96-95C0-9766D701F66B}">
      <dgm:prSet/>
      <dgm:spPr/>
      <dgm:t>
        <a:bodyPr/>
        <a:lstStyle/>
        <a:p>
          <a:endParaRPr lang="pl-PL"/>
        </a:p>
      </dgm:t>
    </dgm:pt>
    <dgm:pt modelId="{8817BC22-1806-4ACD-9BF1-6D750234AFF0}" type="pres">
      <dgm:prSet presAssocID="{92592885-283F-406D-9D73-5767B1180DEA}" presName="outerComposite" presStyleCnt="0">
        <dgm:presLayoutVars>
          <dgm:chMax val="5"/>
          <dgm:dir/>
          <dgm:resizeHandles val="exact"/>
        </dgm:presLayoutVars>
      </dgm:prSet>
      <dgm:spPr/>
      <dgm:t>
        <a:bodyPr/>
        <a:lstStyle/>
        <a:p>
          <a:endParaRPr lang="pl-PL"/>
        </a:p>
      </dgm:t>
    </dgm:pt>
    <dgm:pt modelId="{5331EE87-EAE2-44E1-953A-0A97631F81CE}" type="pres">
      <dgm:prSet presAssocID="{92592885-283F-406D-9D73-5767B1180DEA}" presName="dummyMaxCanvas" presStyleCnt="0">
        <dgm:presLayoutVars/>
      </dgm:prSet>
      <dgm:spPr/>
    </dgm:pt>
    <dgm:pt modelId="{35DE5209-4DDA-4BE9-BE1C-5A0331EE42C1}" type="pres">
      <dgm:prSet presAssocID="{92592885-283F-406D-9D73-5767B1180DEA}" presName="FiveNodes_1" presStyleLbl="node1" presStyleIdx="0" presStyleCnt="5">
        <dgm:presLayoutVars>
          <dgm:bulletEnabled val="1"/>
        </dgm:presLayoutVars>
      </dgm:prSet>
      <dgm:spPr/>
      <dgm:t>
        <a:bodyPr/>
        <a:lstStyle/>
        <a:p>
          <a:endParaRPr lang="pl-PL"/>
        </a:p>
      </dgm:t>
    </dgm:pt>
    <dgm:pt modelId="{58F7FAB4-F21B-4B2F-81DF-4877AADAEDC4}" type="pres">
      <dgm:prSet presAssocID="{92592885-283F-406D-9D73-5767B1180DEA}" presName="FiveNodes_2" presStyleLbl="node1" presStyleIdx="1" presStyleCnt="5">
        <dgm:presLayoutVars>
          <dgm:bulletEnabled val="1"/>
        </dgm:presLayoutVars>
      </dgm:prSet>
      <dgm:spPr/>
      <dgm:t>
        <a:bodyPr/>
        <a:lstStyle/>
        <a:p>
          <a:endParaRPr lang="pl-PL"/>
        </a:p>
      </dgm:t>
    </dgm:pt>
    <dgm:pt modelId="{80C43BE2-CF88-42E1-B92C-6CE5BA11016F}" type="pres">
      <dgm:prSet presAssocID="{92592885-283F-406D-9D73-5767B1180DEA}" presName="FiveNodes_3" presStyleLbl="node1" presStyleIdx="2" presStyleCnt="5">
        <dgm:presLayoutVars>
          <dgm:bulletEnabled val="1"/>
        </dgm:presLayoutVars>
      </dgm:prSet>
      <dgm:spPr/>
      <dgm:t>
        <a:bodyPr/>
        <a:lstStyle/>
        <a:p>
          <a:endParaRPr lang="pl-PL"/>
        </a:p>
      </dgm:t>
    </dgm:pt>
    <dgm:pt modelId="{B77A33D3-64AE-41B0-ADA8-5621E8915911}" type="pres">
      <dgm:prSet presAssocID="{92592885-283F-406D-9D73-5767B1180DEA}" presName="FiveNodes_4" presStyleLbl="node1" presStyleIdx="3" presStyleCnt="5">
        <dgm:presLayoutVars>
          <dgm:bulletEnabled val="1"/>
        </dgm:presLayoutVars>
      </dgm:prSet>
      <dgm:spPr/>
      <dgm:t>
        <a:bodyPr/>
        <a:lstStyle/>
        <a:p>
          <a:endParaRPr lang="pl-PL"/>
        </a:p>
      </dgm:t>
    </dgm:pt>
    <dgm:pt modelId="{62BA4EC3-21B4-4034-A13F-5B176E5B5100}" type="pres">
      <dgm:prSet presAssocID="{92592885-283F-406D-9D73-5767B1180DEA}" presName="FiveNodes_5" presStyleLbl="node1" presStyleIdx="4" presStyleCnt="5">
        <dgm:presLayoutVars>
          <dgm:bulletEnabled val="1"/>
        </dgm:presLayoutVars>
      </dgm:prSet>
      <dgm:spPr/>
      <dgm:t>
        <a:bodyPr/>
        <a:lstStyle/>
        <a:p>
          <a:endParaRPr lang="pl-PL"/>
        </a:p>
      </dgm:t>
    </dgm:pt>
    <dgm:pt modelId="{962B217C-4BC2-4272-B23A-41463D39C006}" type="pres">
      <dgm:prSet presAssocID="{92592885-283F-406D-9D73-5767B1180DEA}" presName="FiveConn_1-2" presStyleLbl="fgAccFollowNode1" presStyleIdx="0" presStyleCnt="4">
        <dgm:presLayoutVars>
          <dgm:bulletEnabled val="1"/>
        </dgm:presLayoutVars>
      </dgm:prSet>
      <dgm:spPr/>
      <dgm:t>
        <a:bodyPr/>
        <a:lstStyle/>
        <a:p>
          <a:endParaRPr lang="pl-PL"/>
        </a:p>
      </dgm:t>
    </dgm:pt>
    <dgm:pt modelId="{E68257ED-FD11-4672-A17A-7EA0FE66930B}" type="pres">
      <dgm:prSet presAssocID="{92592885-283F-406D-9D73-5767B1180DEA}" presName="FiveConn_2-3" presStyleLbl="fgAccFollowNode1" presStyleIdx="1" presStyleCnt="4">
        <dgm:presLayoutVars>
          <dgm:bulletEnabled val="1"/>
        </dgm:presLayoutVars>
      </dgm:prSet>
      <dgm:spPr/>
      <dgm:t>
        <a:bodyPr/>
        <a:lstStyle/>
        <a:p>
          <a:endParaRPr lang="pl-PL"/>
        </a:p>
      </dgm:t>
    </dgm:pt>
    <dgm:pt modelId="{CE271027-80A2-4DE9-9573-EBF1C46335E5}" type="pres">
      <dgm:prSet presAssocID="{92592885-283F-406D-9D73-5767B1180DEA}" presName="FiveConn_3-4" presStyleLbl="fgAccFollowNode1" presStyleIdx="2" presStyleCnt="4">
        <dgm:presLayoutVars>
          <dgm:bulletEnabled val="1"/>
        </dgm:presLayoutVars>
      </dgm:prSet>
      <dgm:spPr/>
      <dgm:t>
        <a:bodyPr/>
        <a:lstStyle/>
        <a:p>
          <a:endParaRPr lang="pl-PL"/>
        </a:p>
      </dgm:t>
    </dgm:pt>
    <dgm:pt modelId="{6D591144-FEF1-44C8-B760-BDD2B8A06A0A}" type="pres">
      <dgm:prSet presAssocID="{92592885-283F-406D-9D73-5767B1180DEA}" presName="FiveConn_4-5" presStyleLbl="fgAccFollowNode1" presStyleIdx="3" presStyleCnt="4">
        <dgm:presLayoutVars>
          <dgm:bulletEnabled val="1"/>
        </dgm:presLayoutVars>
      </dgm:prSet>
      <dgm:spPr/>
      <dgm:t>
        <a:bodyPr/>
        <a:lstStyle/>
        <a:p>
          <a:endParaRPr lang="pl-PL"/>
        </a:p>
      </dgm:t>
    </dgm:pt>
    <dgm:pt modelId="{014A8110-1C27-4155-8812-17B99A17A83A}" type="pres">
      <dgm:prSet presAssocID="{92592885-283F-406D-9D73-5767B1180DEA}" presName="FiveNodes_1_text" presStyleLbl="node1" presStyleIdx="4" presStyleCnt="5">
        <dgm:presLayoutVars>
          <dgm:bulletEnabled val="1"/>
        </dgm:presLayoutVars>
      </dgm:prSet>
      <dgm:spPr/>
      <dgm:t>
        <a:bodyPr/>
        <a:lstStyle/>
        <a:p>
          <a:endParaRPr lang="pl-PL"/>
        </a:p>
      </dgm:t>
    </dgm:pt>
    <dgm:pt modelId="{21D152C0-E182-4D00-831C-E6FA9262230D}" type="pres">
      <dgm:prSet presAssocID="{92592885-283F-406D-9D73-5767B1180DEA}" presName="FiveNodes_2_text" presStyleLbl="node1" presStyleIdx="4" presStyleCnt="5">
        <dgm:presLayoutVars>
          <dgm:bulletEnabled val="1"/>
        </dgm:presLayoutVars>
      </dgm:prSet>
      <dgm:spPr/>
      <dgm:t>
        <a:bodyPr/>
        <a:lstStyle/>
        <a:p>
          <a:endParaRPr lang="pl-PL"/>
        </a:p>
      </dgm:t>
    </dgm:pt>
    <dgm:pt modelId="{B2CEF5F1-2C76-4607-82B3-81521C5A79BC}" type="pres">
      <dgm:prSet presAssocID="{92592885-283F-406D-9D73-5767B1180DEA}" presName="FiveNodes_3_text" presStyleLbl="node1" presStyleIdx="4" presStyleCnt="5">
        <dgm:presLayoutVars>
          <dgm:bulletEnabled val="1"/>
        </dgm:presLayoutVars>
      </dgm:prSet>
      <dgm:spPr/>
      <dgm:t>
        <a:bodyPr/>
        <a:lstStyle/>
        <a:p>
          <a:endParaRPr lang="pl-PL"/>
        </a:p>
      </dgm:t>
    </dgm:pt>
    <dgm:pt modelId="{21722A3C-8EA3-4EC1-A76A-463866B37507}" type="pres">
      <dgm:prSet presAssocID="{92592885-283F-406D-9D73-5767B1180DEA}" presName="FiveNodes_4_text" presStyleLbl="node1" presStyleIdx="4" presStyleCnt="5">
        <dgm:presLayoutVars>
          <dgm:bulletEnabled val="1"/>
        </dgm:presLayoutVars>
      </dgm:prSet>
      <dgm:spPr/>
      <dgm:t>
        <a:bodyPr/>
        <a:lstStyle/>
        <a:p>
          <a:endParaRPr lang="pl-PL"/>
        </a:p>
      </dgm:t>
    </dgm:pt>
    <dgm:pt modelId="{9B06879E-FCB2-4581-A4AE-52BC532DED17}" type="pres">
      <dgm:prSet presAssocID="{92592885-283F-406D-9D73-5767B1180DEA}" presName="FiveNodes_5_text" presStyleLbl="node1" presStyleIdx="4" presStyleCnt="5">
        <dgm:presLayoutVars>
          <dgm:bulletEnabled val="1"/>
        </dgm:presLayoutVars>
      </dgm:prSet>
      <dgm:spPr/>
      <dgm:t>
        <a:bodyPr/>
        <a:lstStyle/>
        <a:p>
          <a:endParaRPr lang="pl-PL"/>
        </a:p>
      </dgm:t>
    </dgm:pt>
  </dgm:ptLst>
  <dgm:cxnLst>
    <dgm:cxn modelId="{64A847E9-779C-4EF6-A427-A7F54279FE1A}" type="presOf" srcId="{E2994DD2-F5D8-4192-94D5-0F8D954B7B74}" destId="{21722A3C-8EA3-4EC1-A76A-463866B37507}" srcOrd="1" destOrd="2" presId="urn:microsoft.com/office/officeart/2005/8/layout/vProcess5"/>
    <dgm:cxn modelId="{79F6B8F1-82A5-472C-BA82-04CEEEF3CC4A}" type="presOf" srcId="{35DABA65-01FB-4783-B8FE-77AA74E39A35}" destId="{35DE5209-4DDA-4BE9-BE1C-5A0331EE42C1}" srcOrd="0" destOrd="0" presId="urn:microsoft.com/office/officeart/2005/8/layout/vProcess5"/>
    <dgm:cxn modelId="{7AC257FB-5C77-4772-A127-2E21414053CD}" type="presOf" srcId="{901DD0DD-A38C-4FF6-83CA-10C04774247E}" destId="{21722A3C-8EA3-4EC1-A76A-463866B37507}" srcOrd="1" destOrd="0" presId="urn:microsoft.com/office/officeart/2005/8/layout/vProcess5"/>
    <dgm:cxn modelId="{B38D72CB-2085-487D-B6C8-571DC33C8CCF}" type="presOf" srcId="{B541AB61-B0C8-4167-8878-637AE5B84348}" destId="{21722A3C-8EA3-4EC1-A76A-463866B37507}" srcOrd="1" destOrd="1" presId="urn:microsoft.com/office/officeart/2005/8/layout/vProcess5"/>
    <dgm:cxn modelId="{347CC1B3-01C3-4E31-9A38-DC40CA8FA0F9}" srcId="{92592885-283F-406D-9D73-5767B1180DEA}" destId="{35DABA65-01FB-4783-B8FE-77AA74E39A35}" srcOrd="0" destOrd="0" parTransId="{342D4861-CBD8-4C19-B2EB-EFEC7B8ABA9C}" sibTransId="{64FEFBF3-655F-4270-B86E-3CED259F9E77}"/>
    <dgm:cxn modelId="{D34C58A0-6C17-4A6D-BA53-B18A6E28C83B}" type="presOf" srcId="{78BD5409-94CC-4940-A472-51EC841C2104}" destId="{B2CEF5F1-2C76-4607-82B3-81521C5A79BC}" srcOrd="1" destOrd="1" presId="urn:microsoft.com/office/officeart/2005/8/layout/vProcess5"/>
    <dgm:cxn modelId="{4B976634-E62D-40EF-A758-3E473A3A6138}" srcId="{92592885-283F-406D-9D73-5767B1180DEA}" destId="{46FD338D-7DB7-45E0-A2AC-C2673A198291}" srcOrd="2" destOrd="0" parTransId="{FCAB6849-EB31-488D-A62D-EB77E5762D99}" sibTransId="{EEF5597D-C942-499A-9156-3E0B28A6723C}"/>
    <dgm:cxn modelId="{EFE068F8-2D09-4C52-BDC0-23D72461340D}" type="presOf" srcId="{DD5E84A0-3238-4113-BE7F-C3DE2BE66D15}" destId="{6D591144-FEF1-44C8-B760-BDD2B8A06A0A}" srcOrd="0" destOrd="0" presId="urn:microsoft.com/office/officeart/2005/8/layout/vProcess5"/>
    <dgm:cxn modelId="{0EAF3793-63E1-447B-A6CC-C02B0CFCCBF3}" type="presOf" srcId="{35DABA65-01FB-4783-B8FE-77AA74E39A35}" destId="{014A8110-1C27-4155-8812-17B99A17A83A}" srcOrd="1" destOrd="0" presId="urn:microsoft.com/office/officeart/2005/8/layout/vProcess5"/>
    <dgm:cxn modelId="{30A31CA2-2A56-421A-BCEC-DA1DE75F957C}" srcId="{901DD0DD-A38C-4FF6-83CA-10C04774247E}" destId="{E2994DD2-F5D8-4192-94D5-0F8D954B7B74}" srcOrd="1" destOrd="0" parTransId="{DE9E3272-D0DD-4A49-ADC8-B2B2D48C7780}" sibTransId="{DD276900-70F4-483A-8678-FBB40605DA6A}"/>
    <dgm:cxn modelId="{AB2A5946-4316-4D12-8D2B-72BB06A76747}" type="presOf" srcId="{92592885-283F-406D-9D73-5767B1180DEA}" destId="{8817BC22-1806-4ACD-9BF1-6D750234AFF0}" srcOrd="0" destOrd="0" presId="urn:microsoft.com/office/officeart/2005/8/layout/vProcess5"/>
    <dgm:cxn modelId="{BA71760D-5505-4EC5-8B1C-A26425F068CE}" type="presOf" srcId="{E2994DD2-F5D8-4192-94D5-0F8D954B7B74}" destId="{B77A33D3-64AE-41B0-ADA8-5621E8915911}" srcOrd="0" destOrd="2" presId="urn:microsoft.com/office/officeart/2005/8/layout/vProcess5"/>
    <dgm:cxn modelId="{227DCD9E-A9B0-427B-AEBF-B6F6202783A4}" type="presOf" srcId="{EEF5597D-C942-499A-9156-3E0B28A6723C}" destId="{CE271027-80A2-4DE9-9573-EBF1C46335E5}" srcOrd="0" destOrd="0" presId="urn:microsoft.com/office/officeart/2005/8/layout/vProcess5"/>
    <dgm:cxn modelId="{233423F5-A186-4EAC-9E75-5866C68160F8}" type="presOf" srcId="{91262CC7-96B5-4A7F-A37E-3561C260FAED}" destId="{9B06879E-FCB2-4581-A4AE-52BC532DED17}" srcOrd="1" destOrd="0" presId="urn:microsoft.com/office/officeart/2005/8/layout/vProcess5"/>
    <dgm:cxn modelId="{8E05F84A-A6F1-4296-9DD1-125A5EA72C53}" type="presOf" srcId="{C9D0E6A3-4335-4A26-BD7D-FACAD6EDD26A}" destId="{E68257ED-FD11-4672-A17A-7EA0FE66930B}" srcOrd="0" destOrd="0" presId="urn:microsoft.com/office/officeart/2005/8/layout/vProcess5"/>
    <dgm:cxn modelId="{65FC4C5C-4C26-438A-AE18-72C2F2C244C4}" type="presOf" srcId="{661B3149-DF03-4D6C-80E4-BBB9F371E2A6}" destId="{58F7FAB4-F21B-4B2F-81DF-4877AADAEDC4}" srcOrd="0" destOrd="0" presId="urn:microsoft.com/office/officeart/2005/8/layout/vProcess5"/>
    <dgm:cxn modelId="{2E8C750B-9A08-4621-9120-EDA7F87BC4CA}" type="presOf" srcId="{91262CC7-96B5-4A7F-A37E-3561C260FAED}" destId="{62BA4EC3-21B4-4034-A13F-5B176E5B5100}" srcOrd="0" destOrd="0" presId="urn:microsoft.com/office/officeart/2005/8/layout/vProcess5"/>
    <dgm:cxn modelId="{1C3E8759-C718-4187-9B95-901F1E3042BD}" type="presOf" srcId="{901DD0DD-A38C-4FF6-83CA-10C04774247E}" destId="{B77A33D3-64AE-41B0-ADA8-5621E8915911}" srcOrd="0" destOrd="0" presId="urn:microsoft.com/office/officeart/2005/8/layout/vProcess5"/>
    <dgm:cxn modelId="{2B76D374-58F2-4F30-B91D-8385E5F3ADF4}" srcId="{92592885-283F-406D-9D73-5767B1180DEA}" destId="{661B3149-DF03-4D6C-80E4-BBB9F371E2A6}" srcOrd="1" destOrd="0" parTransId="{EAF3608A-7219-40B6-9136-9CF22B609EFA}" sibTransId="{C9D0E6A3-4335-4A26-BD7D-FACAD6EDD26A}"/>
    <dgm:cxn modelId="{D3B1A5C6-3ECF-4791-AA67-58632DCCEDE6}" srcId="{92592885-283F-406D-9D73-5767B1180DEA}" destId="{901DD0DD-A38C-4FF6-83CA-10C04774247E}" srcOrd="3" destOrd="0" parTransId="{88B3AFFA-9AC3-440F-81C2-BD95E82F64CB}" sibTransId="{DD5E84A0-3238-4113-BE7F-C3DE2BE66D15}"/>
    <dgm:cxn modelId="{DC947729-2DA5-4C96-95C0-9766D701F66B}" srcId="{92592885-283F-406D-9D73-5767B1180DEA}" destId="{91262CC7-96B5-4A7F-A37E-3561C260FAED}" srcOrd="4" destOrd="0" parTransId="{0E3A5B68-438B-4BF6-8B0E-5129159D5956}" sibTransId="{88AEF5A0-5D0A-4AB0-B636-57DE81692197}"/>
    <dgm:cxn modelId="{CECBB28E-EB48-4A3A-B838-D57B54F831DE}" type="presOf" srcId="{B541AB61-B0C8-4167-8878-637AE5B84348}" destId="{B77A33D3-64AE-41B0-ADA8-5621E8915911}" srcOrd="0" destOrd="1" presId="urn:microsoft.com/office/officeart/2005/8/layout/vProcess5"/>
    <dgm:cxn modelId="{74545B15-356C-44E9-B23D-15B9743CE741}" type="presOf" srcId="{46FD338D-7DB7-45E0-A2AC-C2673A198291}" destId="{B2CEF5F1-2C76-4607-82B3-81521C5A79BC}" srcOrd="1" destOrd="0" presId="urn:microsoft.com/office/officeart/2005/8/layout/vProcess5"/>
    <dgm:cxn modelId="{786D5104-FCCB-4908-823F-6C6BEAAA7E8D}" srcId="{46FD338D-7DB7-45E0-A2AC-C2673A198291}" destId="{78BD5409-94CC-4940-A472-51EC841C2104}" srcOrd="0" destOrd="0" parTransId="{B4678578-2358-485B-8ED3-EBBE82790D08}" sibTransId="{092B3133-EB2C-46FE-9A79-0CDDE4BA6CCF}"/>
    <dgm:cxn modelId="{0BF0E77F-E023-4CA0-A242-46E7C4629A3E}" type="presOf" srcId="{661B3149-DF03-4D6C-80E4-BBB9F371E2A6}" destId="{21D152C0-E182-4D00-831C-E6FA9262230D}" srcOrd="1" destOrd="0" presId="urn:microsoft.com/office/officeart/2005/8/layout/vProcess5"/>
    <dgm:cxn modelId="{63DE7915-4515-493B-97C2-E084EFA38C05}" type="presOf" srcId="{64FEFBF3-655F-4270-B86E-3CED259F9E77}" destId="{962B217C-4BC2-4272-B23A-41463D39C006}" srcOrd="0" destOrd="0" presId="urn:microsoft.com/office/officeart/2005/8/layout/vProcess5"/>
    <dgm:cxn modelId="{947196A9-425D-4CFB-940D-C9F8BE32DBC2}" srcId="{901DD0DD-A38C-4FF6-83CA-10C04774247E}" destId="{B541AB61-B0C8-4167-8878-637AE5B84348}" srcOrd="0" destOrd="0" parTransId="{FAC6E22E-B3C7-4045-A032-CB8AF17C4A49}" sibTransId="{8E89C845-4D52-4DEC-BD59-F13A37F22F23}"/>
    <dgm:cxn modelId="{F706B93E-D55C-404A-878D-DD2C9456DB8F}" type="presOf" srcId="{78BD5409-94CC-4940-A472-51EC841C2104}" destId="{80C43BE2-CF88-42E1-B92C-6CE5BA11016F}" srcOrd="0" destOrd="1" presId="urn:microsoft.com/office/officeart/2005/8/layout/vProcess5"/>
    <dgm:cxn modelId="{3F13505A-31ED-47DE-BCDF-FE0D1CE0B50C}" type="presOf" srcId="{46FD338D-7DB7-45E0-A2AC-C2673A198291}" destId="{80C43BE2-CF88-42E1-B92C-6CE5BA11016F}" srcOrd="0" destOrd="0" presId="urn:microsoft.com/office/officeart/2005/8/layout/vProcess5"/>
    <dgm:cxn modelId="{454FC35C-36BA-4430-99F0-6AF4EE79118E}" type="presParOf" srcId="{8817BC22-1806-4ACD-9BF1-6D750234AFF0}" destId="{5331EE87-EAE2-44E1-953A-0A97631F81CE}" srcOrd="0" destOrd="0" presId="urn:microsoft.com/office/officeart/2005/8/layout/vProcess5"/>
    <dgm:cxn modelId="{83560EB3-D8F4-4BA2-A216-57A7BE62E615}" type="presParOf" srcId="{8817BC22-1806-4ACD-9BF1-6D750234AFF0}" destId="{35DE5209-4DDA-4BE9-BE1C-5A0331EE42C1}" srcOrd="1" destOrd="0" presId="urn:microsoft.com/office/officeart/2005/8/layout/vProcess5"/>
    <dgm:cxn modelId="{488526D3-5467-40D5-BB97-F1C75A3CBA31}" type="presParOf" srcId="{8817BC22-1806-4ACD-9BF1-6D750234AFF0}" destId="{58F7FAB4-F21B-4B2F-81DF-4877AADAEDC4}" srcOrd="2" destOrd="0" presId="urn:microsoft.com/office/officeart/2005/8/layout/vProcess5"/>
    <dgm:cxn modelId="{8C982DA1-B10F-40DB-B3A1-142160C2515E}" type="presParOf" srcId="{8817BC22-1806-4ACD-9BF1-6D750234AFF0}" destId="{80C43BE2-CF88-42E1-B92C-6CE5BA11016F}" srcOrd="3" destOrd="0" presId="urn:microsoft.com/office/officeart/2005/8/layout/vProcess5"/>
    <dgm:cxn modelId="{E9B035EA-980E-4C3F-9EA1-52CA5727F4E1}" type="presParOf" srcId="{8817BC22-1806-4ACD-9BF1-6D750234AFF0}" destId="{B77A33D3-64AE-41B0-ADA8-5621E8915911}" srcOrd="4" destOrd="0" presId="urn:microsoft.com/office/officeart/2005/8/layout/vProcess5"/>
    <dgm:cxn modelId="{12794EA8-A4D8-42FF-A606-10C49BE492CF}" type="presParOf" srcId="{8817BC22-1806-4ACD-9BF1-6D750234AFF0}" destId="{62BA4EC3-21B4-4034-A13F-5B176E5B5100}" srcOrd="5" destOrd="0" presId="urn:microsoft.com/office/officeart/2005/8/layout/vProcess5"/>
    <dgm:cxn modelId="{536A843D-D295-4368-8AC2-C1410EB73A52}" type="presParOf" srcId="{8817BC22-1806-4ACD-9BF1-6D750234AFF0}" destId="{962B217C-4BC2-4272-B23A-41463D39C006}" srcOrd="6" destOrd="0" presId="urn:microsoft.com/office/officeart/2005/8/layout/vProcess5"/>
    <dgm:cxn modelId="{89DE262B-8D47-4E4E-8527-06099AD71BD0}" type="presParOf" srcId="{8817BC22-1806-4ACD-9BF1-6D750234AFF0}" destId="{E68257ED-FD11-4672-A17A-7EA0FE66930B}" srcOrd="7" destOrd="0" presId="urn:microsoft.com/office/officeart/2005/8/layout/vProcess5"/>
    <dgm:cxn modelId="{8E7CEE92-8A76-497B-B981-1699B5EB1E91}" type="presParOf" srcId="{8817BC22-1806-4ACD-9BF1-6D750234AFF0}" destId="{CE271027-80A2-4DE9-9573-EBF1C46335E5}" srcOrd="8" destOrd="0" presId="urn:microsoft.com/office/officeart/2005/8/layout/vProcess5"/>
    <dgm:cxn modelId="{96478631-7A34-4A67-AE80-18E60355C33F}" type="presParOf" srcId="{8817BC22-1806-4ACD-9BF1-6D750234AFF0}" destId="{6D591144-FEF1-44C8-B760-BDD2B8A06A0A}" srcOrd="9" destOrd="0" presId="urn:microsoft.com/office/officeart/2005/8/layout/vProcess5"/>
    <dgm:cxn modelId="{9D84D2DC-95B3-430E-A118-D96200064C10}" type="presParOf" srcId="{8817BC22-1806-4ACD-9BF1-6D750234AFF0}" destId="{014A8110-1C27-4155-8812-17B99A17A83A}" srcOrd="10" destOrd="0" presId="urn:microsoft.com/office/officeart/2005/8/layout/vProcess5"/>
    <dgm:cxn modelId="{484C009F-0C2D-4474-A7FA-BC0A8127855D}" type="presParOf" srcId="{8817BC22-1806-4ACD-9BF1-6D750234AFF0}" destId="{21D152C0-E182-4D00-831C-E6FA9262230D}" srcOrd="11" destOrd="0" presId="urn:microsoft.com/office/officeart/2005/8/layout/vProcess5"/>
    <dgm:cxn modelId="{258C02C1-9227-4B96-8091-69633825D89D}" type="presParOf" srcId="{8817BC22-1806-4ACD-9BF1-6D750234AFF0}" destId="{B2CEF5F1-2C76-4607-82B3-81521C5A79BC}" srcOrd="12" destOrd="0" presId="urn:microsoft.com/office/officeart/2005/8/layout/vProcess5"/>
    <dgm:cxn modelId="{19817678-7791-4E90-B530-F56352E9ADEB}" type="presParOf" srcId="{8817BC22-1806-4ACD-9BF1-6D750234AFF0}" destId="{21722A3C-8EA3-4EC1-A76A-463866B37507}" srcOrd="13" destOrd="0" presId="urn:microsoft.com/office/officeart/2005/8/layout/vProcess5"/>
    <dgm:cxn modelId="{3D89FBDE-1743-4DB0-BDA2-C36403C3BB75}" type="presParOf" srcId="{8817BC22-1806-4ACD-9BF1-6D750234AFF0}" destId="{9B06879E-FCB2-4581-A4AE-52BC532DED17}" srcOrd="14" destOrd="0" presId="urn:microsoft.com/office/officeart/2005/8/layout/vProcess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E5209-4DDA-4BE9-BE1C-5A0331EE42C1}">
      <dsp:nvSpPr>
        <dsp:cNvPr id="0" name=""/>
        <dsp:cNvSpPr/>
      </dsp:nvSpPr>
      <dsp:spPr>
        <a:xfrm>
          <a:off x="0" y="0"/>
          <a:ext cx="4435754" cy="1130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Burmistrz Miasta i Gminy Kańczuga</a:t>
          </a:r>
        </a:p>
      </dsp:txBody>
      <dsp:txXfrm>
        <a:off x="33116" y="33116"/>
        <a:ext cx="3083401" cy="1064423"/>
      </dsp:txXfrm>
    </dsp:sp>
    <dsp:sp modelId="{58F7FAB4-F21B-4B2F-81DF-4877AADAEDC4}">
      <dsp:nvSpPr>
        <dsp:cNvPr id="0" name=""/>
        <dsp:cNvSpPr/>
      </dsp:nvSpPr>
      <dsp:spPr>
        <a:xfrm>
          <a:off x="331241" y="1287691"/>
          <a:ext cx="4435754" cy="1130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Koordynator monitoringu</a:t>
          </a:r>
        </a:p>
      </dsp:txBody>
      <dsp:txXfrm>
        <a:off x="364357" y="1320807"/>
        <a:ext cx="3303354" cy="1064423"/>
      </dsp:txXfrm>
    </dsp:sp>
    <dsp:sp modelId="{80C43BE2-CF88-42E1-B92C-6CE5BA11016F}">
      <dsp:nvSpPr>
        <dsp:cNvPr id="0" name=""/>
        <dsp:cNvSpPr/>
      </dsp:nvSpPr>
      <dsp:spPr>
        <a:xfrm>
          <a:off x="662482" y="2575382"/>
          <a:ext cx="4435754" cy="1130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Inwentaryzacja</a:t>
          </a:r>
        </a:p>
        <a:p>
          <a:pPr marL="171450" lvl="1" indent="-171450" algn="ctr" defTabSz="711200">
            <a:lnSpc>
              <a:spcPct val="90000"/>
            </a:lnSpc>
            <a:spcBef>
              <a:spcPct val="0"/>
            </a:spcBef>
            <a:spcAft>
              <a:spcPct val="15000"/>
            </a:spcAft>
            <a:buChar char="••"/>
          </a:pPr>
          <a:r>
            <a:rPr lang="pl-PL" sz="1600" b="0" kern="1200"/>
            <a:t>Zbieranie danych</a:t>
          </a:r>
        </a:p>
      </dsp:txBody>
      <dsp:txXfrm>
        <a:off x="695598" y="2608498"/>
        <a:ext cx="3303354" cy="1064423"/>
      </dsp:txXfrm>
    </dsp:sp>
    <dsp:sp modelId="{B77A33D3-64AE-41B0-ADA8-5621E8915911}">
      <dsp:nvSpPr>
        <dsp:cNvPr id="0" name=""/>
        <dsp:cNvSpPr/>
      </dsp:nvSpPr>
      <dsp:spPr>
        <a:xfrm>
          <a:off x="993724" y="3863073"/>
          <a:ext cx="4435754" cy="1130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Monitoring</a:t>
          </a:r>
        </a:p>
        <a:p>
          <a:pPr marL="171450" lvl="1" indent="-171450" algn="ctr" defTabSz="711200">
            <a:lnSpc>
              <a:spcPct val="90000"/>
            </a:lnSpc>
            <a:spcBef>
              <a:spcPct val="0"/>
            </a:spcBef>
            <a:spcAft>
              <a:spcPct val="15000"/>
            </a:spcAft>
            <a:buChar char="••"/>
          </a:pPr>
          <a:r>
            <a:rPr lang="pl-PL" sz="1600" b="0" kern="1200"/>
            <a:t>Weryfikacja danych</a:t>
          </a:r>
        </a:p>
        <a:p>
          <a:pPr marL="171450" lvl="1" indent="-171450" algn="ctr" defTabSz="711200">
            <a:lnSpc>
              <a:spcPct val="90000"/>
            </a:lnSpc>
            <a:spcBef>
              <a:spcPct val="0"/>
            </a:spcBef>
            <a:spcAft>
              <a:spcPct val="15000"/>
            </a:spcAft>
            <a:buChar char="••"/>
          </a:pPr>
          <a:r>
            <a:rPr lang="pl-PL" sz="1600" b="0" kern="1200"/>
            <a:t>Analiza projektu</a:t>
          </a:r>
        </a:p>
      </dsp:txBody>
      <dsp:txXfrm>
        <a:off x="1026840" y="3896189"/>
        <a:ext cx="3303354" cy="1064423"/>
      </dsp:txXfrm>
    </dsp:sp>
    <dsp:sp modelId="{62BA4EC3-21B4-4034-A13F-5B176E5B5100}">
      <dsp:nvSpPr>
        <dsp:cNvPr id="0" name=""/>
        <dsp:cNvSpPr/>
      </dsp:nvSpPr>
      <dsp:spPr>
        <a:xfrm>
          <a:off x="1324965" y="5150764"/>
          <a:ext cx="4435754" cy="1130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Aktualizacja Planu</a:t>
          </a:r>
        </a:p>
      </dsp:txBody>
      <dsp:txXfrm>
        <a:off x="1358081" y="5183880"/>
        <a:ext cx="3303354" cy="1064423"/>
      </dsp:txXfrm>
    </dsp:sp>
    <dsp:sp modelId="{962B217C-4BC2-4272-B23A-41463D39C006}">
      <dsp:nvSpPr>
        <dsp:cNvPr id="0" name=""/>
        <dsp:cNvSpPr/>
      </dsp:nvSpPr>
      <dsp:spPr>
        <a:xfrm>
          <a:off x="3700828" y="826006"/>
          <a:ext cx="734926" cy="734926"/>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3866186" y="826006"/>
        <a:ext cx="404210" cy="553032"/>
      </dsp:txXfrm>
    </dsp:sp>
    <dsp:sp modelId="{E68257ED-FD11-4672-A17A-7EA0FE66930B}">
      <dsp:nvSpPr>
        <dsp:cNvPr id="0" name=""/>
        <dsp:cNvSpPr/>
      </dsp:nvSpPr>
      <dsp:spPr>
        <a:xfrm>
          <a:off x="4032069" y="2113697"/>
          <a:ext cx="734926" cy="734926"/>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197427" y="2113697"/>
        <a:ext cx="404210" cy="553032"/>
      </dsp:txXfrm>
    </dsp:sp>
    <dsp:sp modelId="{CE271027-80A2-4DE9-9573-EBF1C46335E5}">
      <dsp:nvSpPr>
        <dsp:cNvPr id="0" name=""/>
        <dsp:cNvSpPr/>
      </dsp:nvSpPr>
      <dsp:spPr>
        <a:xfrm>
          <a:off x="4363311" y="3382544"/>
          <a:ext cx="734926" cy="734926"/>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528669" y="3382544"/>
        <a:ext cx="404210" cy="553032"/>
      </dsp:txXfrm>
    </dsp:sp>
    <dsp:sp modelId="{6D591144-FEF1-44C8-B760-BDD2B8A06A0A}">
      <dsp:nvSpPr>
        <dsp:cNvPr id="0" name=""/>
        <dsp:cNvSpPr/>
      </dsp:nvSpPr>
      <dsp:spPr>
        <a:xfrm>
          <a:off x="4694552" y="4682798"/>
          <a:ext cx="734926" cy="734926"/>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859910" y="4682798"/>
        <a:ext cx="404210" cy="55303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34A0-069C-4A76-A2AA-4E3052FC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27671</Words>
  <Characters>166028</Characters>
  <Application>Microsoft Office Word</Application>
  <DocSecurity>0</DocSecurity>
  <Lines>1383</Lines>
  <Paragraphs>386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193313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Edyta Szewczyk</cp:lastModifiedBy>
  <cp:revision>6</cp:revision>
  <cp:lastPrinted>2016-05-05T10:05:00Z</cp:lastPrinted>
  <dcterms:created xsi:type="dcterms:W3CDTF">2016-05-09T10:37:00Z</dcterms:created>
  <dcterms:modified xsi:type="dcterms:W3CDTF">2016-05-11T11:32:00Z</dcterms:modified>
</cp:coreProperties>
</file>