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6E" w:rsidRPr="001A7F6E" w:rsidRDefault="001A7F6E" w:rsidP="001A7F6E">
      <w:pPr>
        <w:pStyle w:val="Tytuaktu"/>
        <w:rPr>
          <w:szCs w:val="24"/>
        </w:rPr>
      </w:pPr>
      <w:r w:rsidRPr="001A7F6E">
        <w:rPr>
          <w:szCs w:val="24"/>
        </w:rPr>
        <w:t>UCHWAŁA NR XXIII/166/12</w:t>
      </w:r>
    </w:p>
    <w:p w:rsidR="001A7F6E" w:rsidRPr="001A7F6E" w:rsidRDefault="001A7F6E" w:rsidP="001A7F6E">
      <w:pPr>
        <w:pStyle w:val="Tytuaktu"/>
        <w:rPr>
          <w:szCs w:val="24"/>
        </w:rPr>
      </w:pPr>
      <w:r w:rsidRPr="001A7F6E">
        <w:rPr>
          <w:szCs w:val="24"/>
        </w:rPr>
        <w:t>Rady Miejskiej w Czyżewie</w:t>
      </w:r>
    </w:p>
    <w:p w:rsidR="001A7F6E" w:rsidRDefault="001A7F6E" w:rsidP="001A7F6E">
      <w:pPr>
        <w:pStyle w:val="zdnia"/>
      </w:pPr>
      <w:r>
        <w:t>23 listopada 2012 r.</w:t>
      </w:r>
    </w:p>
    <w:p w:rsidR="001A7F6E" w:rsidRDefault="001A7F6E" w:rsidP="001A7F6E">
      <w:pPr>
        <w:rPr>
          <w:b/>
          <w:sz w:val="28"/>
          <w:szCs w:val="28"/>
        </w:rPr>
      </w:pPr>
    </w:p>
    <w:p w:rsidR="001A7F6E" w:rsidRDefault="001A7F6E" w:rsidP="001A7F6E">
      <w:pPr>
        <w:pStyle w:val="wsprawie"/>
      </w:pPr>
      <w:proofErr w:type="gramStart"/>
      <w:r>
        <w:t>w</w:t>
      </w:r>
      <w:proofErr w:type="gramEnd"/>
      <w:r>
        <w:t xml:space="preserve"> sprawie skarg na Burmistrza Czyżewa</w:t>
      </w:r>
    </w:p>
    <w:p w:rsidR="001A7F6E" w:rsidRDefault="001A7F6E" w:rsidP="001A7F6E">
      <w:pPr>
        <w:rPr>
          <w:b/>
        </w:rPr>
      </w:pPr>
    </w:p>
    <w:p w:rsidR="001A7F6E" w:rsidRDefault="001A7F6E" w:rsidP="001A7F6E">
      <w:pPr>
        <w:pStyle w:val="podstawa"/>
      </w:pPr>
      <w:r>
        <w:t xml:space="preserve">    Na podstawie art.18 ust.1 ustawy z dnia 8 marca 1990r. o samorządzie gminnym (</w:t>
      </w:r>
      <w:r w:rsidRPr="000D6141">
        <w:t xml:space="preserve">Dz.U. </w:t>
      </w:r>
      <w:proofErr w:type="gramStart"/>
      <w:r w:rsidRPr="000D6141">
        <w:t>z</w:t>
      </w:r>
      <w:proofErr w:type="gramEnd"/>
      <w:r w:rsidRPr="000D6141">
        <w:t xml:space="preserve"> 2001 r. Nr 142, poz.1591</w:t>
      </w:r>
      <w:r w:rsidRPr="000577C9">
        <w:t xml:space="preserve"> </w:t>
      </w:r>
      <w:r w:rsidRPr="008F65B1">
        <w:t>z późn. zm.</w:t>
      </w:r>
      <w:r>
        <w:rPr>
          <w:rStyle w:val="Odwoanieprzypisudolnego"/>
        </w:rPr>
        <w:footnoteReference w:id="1"/>
      </w:r>
      <w:r>
        <w:t>) oraz  § 4 ust. 6 uchwały</w:t>
      </w:r>
      <w:r w:rsidRPr="00DE2DEF">
        <w:t xml:space="preserve"> </w:t>
      </w:r>
      <w:r>
        <w:t>Rady Gminy Czyżew-Osada Nr XIII/69/08  z dnia 16 stycznia 2008r.</w:t>
      </w:r>
      <w:r w:rsidRPr="000577C9">
        <w:t xml:space="preserve"> </w:t>
      </w:r>
      <w:r>
        <w:t xml:space="preserve">w sprawie organizacji przyjmowania i załatwiania skarg i wniosków przez radę gminy (zmiany: Nr XIV/86/08 ) </w:t>
      </w:r>
    </w:p>
    <w:p w:rsidR="001A7F6E" w:rsidRDefault="001A7F6E" w:rsidP="001A7F6E">
      <w:pPr>
        <w:pStyle w:val="podstawa"/>
      </w:pPr>
      <w:r>
        <w:t>Rada Miejska uchwala, co następuje:</w:t>
      </w:r>
    </w:p>
    <w:p w:rsidR="001A7F6E" w:rsidRDefault="001A7F6E" w:rsidP="001A7F6E"/>
    <w:p w:rsidR="001A7F6E" w:rsidRDefault="001A7F6E" w:rsidP="001A7F6E"/>
    <w:p w:rsidR="001A7F6E" w:rsidRPr="001A7F6E" w:rsidRDefault="001A7F6E" w:rsidP="001A7F6E">
      <w:pPr>
        <w:pStyle w:val="paragraf"/>
        <w:rPr>
          <w:bCs/>
        </w:rPr>
      </w:pPr>
      <w:r>
        <w:t xml:space="preserve">Po  rozpatrzeniu dwóch  skarg  na  Burmistrza  </w:t>
      </w:r>
      <w:r w:rsidRPr="00C86BFB">
        <w:t>Czyżewa</w:t>
      </w:r>
      <w:r>
        <w:t xml:space="preserve">  złożonych  przez  </w:t>
      </w:r>
      <w:r w:rsidRPr="007D5604">
        <w:rPr>
          <w:bCs/>
        </w:rPr>
        <w:t xml:space="preserve">Wikar </w:t>
      </w:r>
      <w:r w:rsidRPr="001A7F6E">
        <w:rPr>
          <w:bCs/>
        </w:rPr>
        <w:t>sp. z o.</w:t>
      </w:r>
      <w:proofErr w:type="gramStart"/>
      <w:r w:rsidRPr="001A7F6E">
        <w:rPr>
          <w:bCs/>
        </w:rPr>
        <w:t>o</w:t>
      </w:r>
      <w:proofErr w:type="gramEnd"/>
      <w:r w:rsidRPr="001A7F6E">
        <w:rPr>
          <w:bCs/>
        </w:rPr>
        <w:t>. z siedzibą w Warszawie ul.</w:t>
      </w:r>
      <w:r w:rsidRPr="007D5604">
        <w:t xml:space="preserve"> Nagodziców 16/8  </w:t>
      </w:r>
      <w:r>
        <w:t>postanawia się obie skargi  odrzucić.</w:t>
      </w:r>
    </w:p>
    <w:p w:rsidR="001A7F6E" w:rsidRDefault="001A7F6E" w:rsidP="001A7F6E">
      <w:pPr>
        <w:pStyle w:val="paragraf"/>
      </w:pPr>
      <w:r>
        <w:t>Uzasadnienie stanowiska Rady Miejskiej w sprawie, o której mowa w § 1 jest zgodne z opinią Komisji Rewizyjnej Rady Miejskiej w Czyżewie stanowiącą załącznik do niniejszej uchwały.</w:t>
      </w:r>
    </w:p>
    <w:p w:rsidR="001A7F6E" w:rsidRDefault="001A7F6E" w:rsidP="001A7F6E">
      <w:pPr>
        <w:pStyle w:val="paragraf"/>
      </w:pPr>
      <w:r>
        <w:t xml:space="preserve">Uchwałę przesłać osobie prawnej będącej stroną w przedmiotowej sprawie za potwierdzeniem odbioru w ciągu 14 dni od dnia podjęcia oraz do wiadomości Podlaskiego Urzędu Wojewódzkiego w Białymstoku. </w:t>
      </w:r>
    </w:p>
    <w:p w:rsidR="001A7F6E" w:rsidRDefault="001A7F6E" w:rsidP="001A7F6E">
      <w:pPr>
        <w:pStyle w:val="paragraf"/>
      </w:pPr>
      <w:r>
        <w:t>Wykonanie uchwały powierza się Przewodniczącemu Rady Miejskiej w Czyżewie.</w:t>
      </w:r>
    </w:p>
    <w:p w:rsidR="001A7F6E" w:rsidRDefault="001A7F6E" w:rsidP="001A7F6E">
      <w:pPr>
        <w:pStyle w:val="paragraf"/>
      </w:pPr>
      <w:r>
        <w:t>Uchwała wchodzi w życie z dniem podjęcia.</w:t>
      </w:r>
    </w:p>
    <w:p w:rsidR="001A7F6E" w:rsidRDefault="001A7F6E" w:rsidP="001A7F6E">
      <w:pPr>
        <w:pStyle w:val="paragraf"/>
        <w:numPr>
          <w:ilvl w:val="0"/>
          <w:numId w:val="0"/>
        </w:numPr>
      </w:pPr>
    </w:p>
    <w:p w:rsidR="001A7F6E" w:rsidRDefault="001A7F6E" w:rsidP="001A7F6E">
      <w:pPr>
        <w:pStyle w:val="Podpis"/>
      </w:pPr>
      <w:r>
        <w:t>Przewodniczący Rady Miejskiej</w:t>
      </w:r>
    </w:p>
    <w:p w:rsidR="001A7F6E" w:rsidRDefault="001A7F6E" w:rsidP="001A7F6E">
      <w:pPr>
        <w:pStyle w:val="Podpis"/>
      </w:pPr>
      <w:r>
        <w:t>Witold Sienicki</w:t>
      </w:r>
    </w:p>
    <w:p w:rsidR="001A7F6E" w:rsidRDefault="001A7F6E" w:rsidP="001A7F6E"/>
    <w:p w:rsidR="001A7F6E" w:rsidRDefault="001A7F6E" w:rsidP="001A7F6E"/>
    <w:p w:rsidR="001A7F6E" w:rsidRDefault="001A7F6E" w:rsidP="001A7F6E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A7F6E" w:rsidRDefault="001A7F6E" w:rsidP="001A7F6E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A7F6E" w:rsidRDefault="001A7F6E" w:rsidP="001A7F6E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A7F6E" w:rsidRDefault="001A7F6E" w:rsidP="001A7F6E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A7F6E" w:rsidRDefault="001A7F6E" w:rsidP="001A7F6E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A7F6E" w:rsidRPr="001A7F6E" w:rsidRDefault="001A7F6E" w:rsidP="001A7F6E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1A7F6E" w:rsidRPr="001A7F6E" w:rsidRDefault="001A7F6E" w:rsidP="001A7F6E">
      <w:pPr>
        <w:pStyle w:val="za"/>
        <w:rPr>
          <w:b w:val="0"/>
        </w:rPr>
      </w:pPr>
      <w:r>
        <w:rPr>
          <w:b w:val="0"/>
        </w:rPr>
        <w:t xml:space="preserve">do </w:t>
      </w:r>
      <w:proofErr w:type="gramStart"/>
      <w:r>
        <w:rPr>
          <w:b w:val="0"/>
        </w:rPr>
        <w:t>U</w:t>
      </w:r>
      <w:r w:rsidRPr="001A7F6E">
        <w:rPr>
          <w:b w:val="0"/>
        </w:rPr>
        <w:t>chwały  Nr</w:t>
      </w:r>
      <w:proofErr w:type="gramEnd"/>
      <w:r w:rsidRPr="001A7F6E">
        <w:rPr>
          <w:b w:val="0"/>
        </w:rPr>
        <w:t xml:space="preserve"> XXIII/166/12</w:t>
      </w:r>
    </w:p>
    <w:p w:rsidR="001A7F6E" w:rsidRPr="001A7F6E" w:rsidRDefault="001A7F6E" w:rsidP="001A7F6E">
      <w:pPr>
        <w:ind w:left="4248" w:firstLine="708"/>
        <w:jc w:val="right"/>
      </w:pPr>
      <w:r w:rsidRPr="001A7F6E">
        <w:t xml:space="preserve">Rady Miejskiej w Czyżewie </w:t>
      </w:r>
    </w:p>
    <w:p w:rsidR="001A7F6E" w:rsidRPr="001A7F6E" w:rsidRDefault="001A7F6E" w:rsidP="001A7F6E">
      <w:pPr>
        <w:ind w:left="4248" w:firstLine="708"/>
        <w:jc w:val="right"/>
      </w:pPr>
      <w:proofErr w:type="gramStart"/>
      <w:r w:rsidRPr="001A7F6E">
        <w:t>z</w:t>
      </w:r>
      <w:proofErr w:type="gramEnd"/>
      <w:r w:rsidRPr="001A7F6E">
        <w:t xml:space="preserve"> dnia 23 listopada 2012 roku</w:t>
      </w:r>
    </w:p>
    <w:p w:rsidR="001A7F6E" w:rsidRPr="00DA5C2E" w:rsidRDefault="001A7F6E" w:rsidP="001A7F6E">
      <w:pPr>
        <w:jc w:val="right"/>
        <w:outlineLvl w:val="0"/>
        <w:rPr>
          <w:sz w:val="28"/>
          <w:szCs w:val="28"/>
        </w:rPr>
      </w:pPr>
      <w:r w:rsidRPr="00DA5C2E">
        <w:rPr>
          <w:sz w:val="28"/>
          <w:szCs w:val="28"/>
        </w:rPr>
        <w:t xml:space="preserve">                                                                             </w:t>
      </w:r>
    </w:p>
    <w:p w:rsidR="001A7F6E" w:rsidRDefault="001A7F6E" w:rsidP="001A7F6E">
      <w:pPr>
        <w:jc w:val="right"/>
        <w:outlineLvl w:val="0"/>
      </w:pPr>
    </w:p>
    <w:p w:rsidR="001A7F6E" w:rsidRDefault="001A7F6E" w:rsidP="001A7F6E">
      <w:pPr>
        <w:jc w:val="right"/>
        <w:outlineLvl w:val="0"/>
      </w:pPr>
    </w:p>
    <w:p w:rsidR="001A7F6E" w:rsidRDefault="001A7F6E" w:rsidP="001A7F6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P I N I A</w:t>
      </w:r>
    </w:p>
    <w:p w:rsidR="001A7F6E" w:rsidRDefault="001A7F6E" w:rsidP="001A7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Komisji Rewizyjnej Rady Miejskiej w Czyżewie</w:t>
      </w:r>
    </w:p>
    <w:p w:rsidR="001A7F6E" w:rsidRDefault="001A7F6E" w:rsidP="001A7F6E">
      <w:pPr>
        <w:rPr>
          <w:b/>
        </w:rPr>
      </w:pPr>
    </w:p>
    <w:p w:rsidR="001A7F6E" w:rsidRDefault="001A7F6E" w:rsidP="001A7F6E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zasadności skarg </w:t>
      </w:r>
      <w:proofErr w:type="spellStart"/>
      <w:r>
        <w:rPr>
          <w:b/>
          <w:bCs/>
        </w:rPr>
        <w:t>Wikar</w:t>
      </w:r>
      <w:proofErr w:type="spellEnd"/>
      <w:r>
        <w:rPr>
          <w:b/>
          <w:bCs/>
        </w:rPr>
        <w:t xml:space="preserve"> S</w:t>
      </w:r>
      <w:r w:rsidRPr="007D5604">
        <w:rPr>
          <w:b/>
          <w:bCs/>
        </w:rPr>
        <w:t>p. z o.</w:t>
      </w:r>
      <w:proofErr w:type="gramStart"/>
      <w:r w:rsidRPr="007D5604">
        <w:rPr>
          <w:b/>
          <w:bCs/>
        </w:rPr>
        <w:t>o</w:t>
      </w:r>
      <w:proofErr w:type="gramEnd"/>
      <w:r w:rsidRPr="007D5604">
        <w:rPr>
          <w:b/>
          <w:bCs/>
        </w:rPr>
        <w:t>.</w:t>
      </w:r>
    </w:p>
    <w:p w:rsidR="001A7F6E" w:rsidRDefault="001A7F6E" w:rsidP="001A7F6E">
      <w:pPr>
        <w:jc w:val="center"/>
        <w:rPr>
          <w:b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Burmistrza Czyżewa</w:t>
      </w:r>
    </w:p>
    <w:p w:rsidR="001A7F6E" w:rsidRDefault="001A7F6E" w:rsidP="001A7F6E">
      <w:pPr>
        <w:rPr>
          <w:b/>
        </w:rPr>
      </w:pPr>
    </w:p>
    <w:p w:rsidR="001A7F6E" w:rsidRDefault="001A7F6E" w:rsidP="001A7F6E">
      <w:r>
        <w:t>Komisja w składzie:</w:t>
      </w:r>
    </w:p>
    <w:p w:rsidR="001A7F6E" w:rsidRDefault="001A7F6E" w:rsidP="001A7F6E"/>
    <w:p w:rsidR="001A7F6E" w:rsidRPr="003B1258" w:rsidRDefault="001A7F6E" w:rsidP="007639CE">
      <w:pPr>
        <w:numPr>
          <w:ilvl w:val="0"/>
          <w:numId w:val="19"/>
        </w:numPr>
      </w:pPr>
      <w:r w:rsidRPr="003B1258">
        <w:t>Wojtczuk Irena – przewodnicząca komisji,</w:t>
      </w:r>
    </w:p>
    <w:p w:rsidR="001A7F6E" w:rsidRPr="003B1258" w:rsidRDefault="001A7F6E" w:rsidP="007639CE">
      <w:pPr>
        <w:numPr>
          <w:ilvl w:val="0"/>
          <w:numId w:val="19"/>
        </w:numPr>
      </w:pPr>
      <w:r w:rsidRPr="003B1258">
        <w:t xml:space="preserve">Dąbrowska Bożena – </w:t>
      </w:r>
      <w:r>
        <w:t>zastępca przewodniczącej</w:t>
      </w:r>
      <w:r w:rsidRPr="003B1258">
        <w:t xml:space="preserve"> komisji,</w:t>
      </w:r>
    </w:p>
    <w:p w:rsidR="001A7F6E" w:rsidRPr="003B1258" w:rsidRDefault="001A7F6E" w:rsidP="007639CE">
      <w:pPr>
        <w:numPr>
          <w:ilvl w:val="0"/>
          <w:numId w:val="19"/>
        </w:numPr>
      </w:pPr>
      <w:proofErr w:type="spellStart"/>
      <w:r>
        <w:t>Sienicka</w:t>
      </w:r>
      <w:proofErr w:type="spellEnd"/>
      <w:r>
        <w:t xml:space="preserve"> Barbara </w:t>
      </w:r>
      <w:r w:rsidRPr="003B1258">
        <w:t>– członek komisji</w:t>
      </w:r>
      <w:r>
        <w:t>,</w:t>
      </w:r>
      <w:r w:rsidRPr="003B1258">
        <w:t xml:space="preserve"> </w:t>
      </w:r>
    </w:p>
    <w:p w:rsidR="001A7F6E" w:rsidRDefault="001A7F6E" w:rsidP="001A7F6E"/>
    <w:p w:rsidR="001A7F6E" w:rsidRDefault="001A7F6E" w:rsidP="001A7F6E">
      <w:pPr>
        <w:pStyle w:val="Nagwek"/>
        <w:tabs>
          <w:tab w:val="clear" w:pos="4536"/>
          <w:tab w:val="clear" w:pos="9072"/>
        </w:tabs>
        <w:jc w:val="both"/>
      </w:pPr>
      <w:proofErr w:type="gramStart"/>
      <w:r w:rsidRPr="007D5604">
        <w:t>działając</w:t>
      </w:r>
      <w:proofErr w:type="gramEnd"/>
      <w:r w:rsidRPr="007D5604">
        <w:t xml:space="preserve"> na podstawie § 4 ust. 4 uchwały Nr XIII/69/08 z dnia 16 stycznia 2008</w:t>
      </w:r>
      <w:r>
        <w:t xml:space="preserve"> </w:t>
      </w:r>
      <w:r w:rsidRPr="007D5604">
        <w:t xml:space="preserve">r. w sprawie organizacji przyjmowania i załatwiania skarg i wniosków przez radę gminy, po rozpatrzeniu </w:t>
      </w:r>
      <w:r>
        <w:t xml:space="preserve">2 </w:t>
      </w:r>
      <w:r w:rsidRPr="007D5604">
        <w:t>skarg na Burmistrza Czyżewa złożon</w:t>
      </w:r>
      <w:r>
        <w:t>ych</w:t>
      </w:r>
      <w:r w:rsidRPr="007D5604">
        <w:t xml:space="preserve"> przez </w:t>
      </w:r>
      <w:proofErr w:type="spellStart"/>
      <w:r>
        <w:rPr>
          <w:bCs/>
        </w:rPr>
        <w:t>Wikar</w:t>
      </w:r>
      <w:proofErr w:type="spellEnd"/>
      <w:r>
        <w:rPr>
          <w:bCs/>
        </w:rPr>
        <w:t xml:space="preserve"> S</w:t>
      </w:r>
      <w:r w:rsidRPr="007D5604">
        <w:rPr>
          <w:bCs/>
        </w:rPr>
        <w:t>p. z o.</w:t>
      </w:r>
      <w:proofErr w:type="gramStart"/>
      <w:r w:rsidRPr="007D5604">
        <w:rPr>
          <w:bCs/>
        </w:rPr>
        <w:t>o</w:t>
      </w:r>
      <w:proofErr w:type="gramEnd"/>
      <w:r w:rsidRPr="007D5604">
        <w:rPr>
          <w:bCs/>
        </w:rPr>
        <w:t>.</w:t>
      </w:r>
      <w:r>
        <w:rPr>
          <w:b/>
          <w:bCs/>
          <w:sz w:val="28"/>
          <w:szCs w:val="28"/>
        </w:rPr>
        <w:t xml:space="preserve"> </w:t>
      </w:r>
      <w:r w:rsidRPr="007D5604">
        <w:rPr>
          <w:bCs/>
        </w:rPr>
        <w:t>ul.</w:t>
      </w:r>
      <w:r w:rsidRPr="007D5604">
        <w:t xml:space="preserve"> </w:t>
      </w:r>
      <w:proofErr w:type="spellStart"/>
      <w:proofErr w:type="gramStart"/>
      <w:r w:rsidRPr="007D5604">
        <w:t>Nagodziców</w:t>
      </w:r>
      <w:proofErr w:type="spellEnd"/>
      <w:r w:rsidRPr="007D5604">
        <w:t xml:space="preserve"> 16/8                          03-188 Warszawa</w:t>
      </w:r>
      <w:proofErr w:type="gramEnd"/>
      <w:r>
        <w:t xml:space="preserve"> postanawia zaopiniować  obie złożone skargi  jako bezzasadne.</w:t>
      </w:r>
    </w:p>
    <w:p w:rsidR="001A7F6E" w:rsidRDefault="001A7F6E" w:rsidP="001A7F6E"/>
    <w:p w:rsidR="001A7F6E" w:rsidRDefault="001A7F6E" w:rsidP="001A7F6E">
      <w:pPr>
        <w:jc w:val="center"/>
        <w:rPr>
          <w:b/>
        </w:rPr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 z a s a d n i e n i e</w:t>
      </w:r>
    </w:p>
    <w:p w:rsidR="001A7F6E" w:rsidRDefault="001A7F6E" w:rsidP="001A7F6E">
      <w:pPr>
        <w:rPr>
          <w:b/>
        </w:rPr>
      </w:pPr>
    </w:p>
    <w:p w:rsidR="001A7F6E" w:rsidRDefault="001A7F6E" w:rsidP="001A7F6E">
      <w:pPr>
        <w:jc w:val="both"/>
      </w:pPr>
      <w:r>
        <w:t xml:space="preserve">     </w:t>
      </w:r>
      <w:proofErr w:type="spellStart"/>
      <w:r>
        <w:rPr>
          <w:bCs/>
        </w:rPr>
        <w:t>Wikar</w:t>
      </w:r>
      <w:proofErr w:type="spellEnd"/>
      <w:r>
        <w:rPr>
          <w:bCs/>
        </w:rPr>
        <w:t xml:space="preserve"> S</w:t>
      </w:r>
      <w:r w:rsidRPr="007D5604">
        <w:rPr>
          <w:bCs/>
        </w:rPr>
        <w:t>p. z o.</w:t>
      </w:r>
      <w:proofErr w:type="gramStart"/>
      <w:r w:rsidRPr="007D5604">
        <w:rPr>
          <w:bCs/>
        </w:rPr>
        <w:t>o</w:t>
      </w:r>
      <w:proofErr w:type="gramEnd"/>
      <w:r w:rsidRPr="007D5604">
        <w:rPr>
          <w:bCs/>
        </w:rPr>
        <w:t>.</w:t>
      </w:r>
      <w:r>
        <w:rPr>
          <w:b/>
          <w:bCs/>
          <w:sz w:val="28"/>
          <w:szCs w:val="28"/>
        </w:rPr>
        <w:t xml:space="preserve"> </w:t>
      </w:r>
      <w:r>
        <w:t xml:space="preserve">złożyła 2 skargi na Burmistrza </w:t>
      </w:r>
      <w:r w:rsidRPr="00EE48A3">
        <w:t>Czyżewa</w:t>
      </w:r>
      <w:r>
        <w:t xml:space="preserve"> do Przewodniczącej Komisji Rewizyjnej Rady Miejskiej </w:t>
      </w:r>
      <w:proofErr w:type="gramStart"/>
      <w:r>
        <w:t>w  Czyżewie</w:t>
      </w:r>
      <w:proofErr w:type="gramEnd"/>
      <w:r>
        <w:t>. Pierwsza skarga wpłynęła do Urzędu Miejskiego w Czyżewie w dniu 30 października 2012 r. Druga skarga wpłynęła do Urzędu Miejskiego w Czyżewie w dniu 2 listopada 2012 r.</w:t>
      </w:r>
    </w:p>
    <w:p w:rsidR="001A7F6E" w:rsidRDefault="001A7F6E" w:rsidP="001A7F6E">
      <w:pPr>
        <w:jc w:val="both"/>
      </w:pPr>
      <w:r>
        <w:t xml:space="preserve">     Obie skargi zostały rozpatrzone przez Komisję Rewizyjną na posiedzeniu w dniu 20 listopada 2012 r.</w:t>
      </w:r>
    </w:p>
    <w:p w:rsidR="001A7F6E" w:rsidRDefault="001A7F6E" w:rsidP="001A7F6E">
      <w:pPr>
        <w:jc w:val="both"/>
      </w:pPr>
      <w:r>
        <w:t xml:space="preserve">      Pierwsza skarga dotyczyła zarzutu niewywiązywania się z nałożonych przez Samorządowe Kolegium Odwoławcze w Łomży obowiązków wydania decyzji administracyjnych w dodatkowo wyznaczonym czasie.</w:t>
      </w:r>
    </w:p>
    <w:p w:rsidR="001A7F6E" w:rsidRDefault="001A7F6E" w:rsidP="001A7F6E">
      <w:pPr>
        <w:jc w:val="both"/>
      </w:pPr>
      <w:r>
        <w:t xml:space="preserve">     </w:t>
      </w:r>
      <w:proofErr w:type="gramStart"/>
      <w:r>
        <w:t>Druga  skarga</w:t>
      </w:r>
      <w:proofErr w:type="gramEnd"/>
      <w:r>
        <w:t xml:space="preserve"> dotyczyła zarzutu przewlekłego prowadzenia postępowań w zakresie wydania decyzji o środowiskowych uwarunkowaniach oraz  decyzji o warunkach zabudowy dla elektrowni wiatrowych poprzez dopuszczenie do tych postępowań stowarzyszenia, które nie istnieje.</w:t>
      </w:r>
    </w:p>
    <w:p w:rsidR="001A7F6E" w:rsidRPr="006E33B5" w:rsidRDefault="001A7F6E" w:rsidP="001A7F6E">
      <w:pPr>
        <w:jc w:val="both"/>
        <w:rPr>
          <w:i/>
        </w:rPr>
      </w:pPr>
      <w:r>
        <w:t xml:space="preserve">     Ze względu na tematykę obu skarg postanowiono je rozpatrzyć i zaopiniować łącznie.</w:t>
      </w:r>
    </w:p>
    <w:p w:rsidR="001A7F6E" w:rsidRDefault="001A7F6E" w:rsidP="001A7F6E">
      <w:pPr>
        <w:jc w:val="both"/>
      </w:pPr>
      <w:r>
        <w:t xml:space="preserve">     </w:t>
      </w:r>
      <w:r w:rsidRPr="005224B2">
        <w:t xml:space="preserve">Komisja zwróciła się do Pani Anny Boguckiej </w:t>
      </w:r>
      <w:r>
        <w:t xml:space="preserve">Burmistrza </w:t>
      </w:r>
      <w:r w:rsidRPr="005224B2">
        <w:t xml:space="preserve">Czyżewa o złożenie wyjaśnień w powyższej sprawie. </w:t>
      </w:r>
      <w:r>
        <w:t xml:space="preserve">Pani Burmistrz wyjaśniła, że firma </w:t>
      </w:r>
      <w:proofErr w:type="spellStart"/>
      <w:r>
        <w:t>Wikar</w:t>
      </w:r>
      <w:proofErr w:type="spellEnd"/>
      <w:r>
        <w:t xml:space="preserve"> Sp. z o.</w:t>
      </w:r>
      <w:proofErr w:type="gramStart"/>
      <w:r>
        <w:t>o</w:t>
      </w:r>
      <w:proofErr w:type="gramEnd"/>
      <w:r>
        <w:t xml:space="preserve">. złożyła 18 wniosków o lokalizację na terenie Gminy Czyżew pojedynczych elektrowni wiatrowych o mocy powyżej 100 KW. Zgodnie z obowiązującymi przepisami prawa w zakresie planowania przestrzennego, „ jeżeli na obszarze gminy przewiduje się wyznaczenie </w:t>
      </w:r>
      <w:proofErr w:type="gramStart"/>
      <w:r>
        <w:t>obszarów na których</w:t>
      </w:r>
      <w:proofErr w:type="gramEnd"/>
      <w:r>
        <w:t xml:space="preserve"> rozmieszczone będą urządzenia wytwarzające energię z odnawialnych źródeł energii o mocy przekraczającej 100 </w:t>
      </w:r>
      <w:proofErr w:type="spellStart"/>
      <w:r>
        <w:t>KW</w:t>
      </w:r>
      <w:proofErr w:type="spellEnd"/>
      <w:r>
        <w:t xml:space="preserve">, a także ich stref ochronnych związanych z ograniczeniami w </w:t>
      </w:r>
      <w:r>
        <w:lastRenderedPageBreak/>
        <w:t xml:space="preserve">zabudowie oraz zagospodarowaniu i użytkowaniu terenu, w studium ustala się ich rozmieszczenie”. Uchwalenie studium i rozpoczęcie prac planistycznych przed uchwaleniem miejscowego planu zagospodarowania przestrzennego na terenie całej gminy pozwoli potencjalnym inwestorom na lokalizację elektrowni wiatrowych w sposób uporządkowany zgodny z intencjami Rady Miejskiej i jej polityki przestrzennej w zakresie ochrony środowiska naturalnego. Tym bardziej, że wpłynęło wiele protestów zaniepokojonych mieszkańców rozproszoną lokalizacją na obszarze całej gminy w odległościach od zabudowy mniejszych niż ustalone w studium. Ponieważ </w:t>
      </w:r>
      <w:proofErr w:type="gramStart"/>
      <w:r>
        <w:t xml:space="preserve">firma </w:t>
      </w:r>
      <w:proofErr w:type="spellStart"/>
      <w:r>
        <w:t>Wikar</w:t>
      </w:r>
      <w:proofErr w:type="spellEnd"/>
      <w:proofErr w:type="gramEnd"/>
      <w:r>
        <w:t xml:space="preserve"> Sp. z o.</w:t>
      </w:r>
      <w:proofErr w:type="gramStart"/>
      <w:r>
        <w:t>o</w:t>
      </w:r>
      <w:proofErr w:type="gramEnd"/>
      <w:r>
        <w:t xml:space="preserve">. nie respektuje ustaleń przyjętych do planu, żądając wydania decyzji o warunkach zabudowy i przyjęcia warunków określonych we wnioskach, Burmistrz zobowiązana jest do prowadzenia dogłębnej analizy skutków ewentualnej lokalizacji elektrowni i uwzględniania opinii wszystkich stron zainteresowanych prowadzonym postępowaniem tj. instytucji opiniujących: </w:t>
      </w:r>
      <w:proofErr w:type="spellStart"/>
      <w:r>
        <w:t>RDOŚ</w:t>
      </w:r>
      <w:proofErr w:type="spellEnd"/>
      <w:r>
        <w:t xml:space="preserve"> i </w:t>
      </w:r>
      <w:proofErr w:type="spellStart"/>
      <w:r>
        <w:t>PPIS</w:t>
      </w:r>
      <w:proofErr w:type="spellEnd"/>
      <w:r>
        <w:t xml:space="preserve">, Stowarzyszenia Ekologicznego, które złożyło swój protest, </w:t>
      </w:r>
      <w:proofErr w:type="gramStart"/>
      <w:r>
        <w:t>mieszkańców ale</w:t>
      </w:r>
      <w:proofErr w:type="gramEnd"/>
      <w:r>
        <w:t xml:space="preserve"> także stanowisk organów administracji centralnych takich jak: Ministerstwa: Rolnictwa, Zdrowia, Gospodarki, Transportu, Budownictwa i Gospodarki Morskiej czy Ministerstwo Środowiska. Przewlekłość postępowania, którą zarzuca firma </w:t>
      </w:r>
      <w:proofErr w:type="spellStart"/>
      <w:r>
        <w:t>Wikar</w:t>
      </w:r>
      <w:proofErr w:type="spellEnd"/>
      <w:r w:rsidRPr="005C010B">
        <w:t xml:space="preserve"> </w:t>
      </w:r>
      <w:r>
        <w:t>Sp. z o.</w:t>
      </w:r>
      <w:proofErr w:type="gramStart"/>
      <w:r>
        <w:t>o</w:t>
      </w:r>
      <w:proofErr w:type="gramEnd"/>
      <w:r>
        <w:t xml:space="preserve">.  organowi w skargach do Samorządowego Kolegium Odwoławczego w Łomży i do Wojewódzkiego Sądu Administracyjnego w Białymstoku nie wynika z lekceważenia inwestora ubiegającego się o lokalizację </w:t>
      </w:r>
      <w:proofErr w:type="gramStart"/>
      <w:r>
        <w:t>elektrowni ale</w:t>
      </w:r>
      <w:proofErr w:type="gramEnd"/>
      <w:r>
        <w:t xml:space="preserve"> jest wynikiem niejednoznaczności przepisów prawa i orzeczeń sądów administracyjnych oraz interpretacji przez organy nadzoru. Mając świadomość odpowiedzialności za błędne decyzje i chęć uniknięcia skutków z nich wynikających Burmistrz zmuszona jest do bezstronnego i zgodnego z prawem traktowania wszystkich stron </w:t>
      </w:r>
      <w:proofErr w:type="gramStart"/>
      <w:r>
        <w:t>postępowania czego</w:t>
      </w:r>
      <w:proofErr w:type="gramEnd"/>
      <w:r>
        <w:t xml:space="preserve"> wynikiem są przedłużające się procedury administracyjne. Tym bardziej, że inni inwestorzy zainteresowani budową elektrowni wiatrowych na terenie Gminy Czyżew przyjęli stanowisko Rady Miejskiej, która określiła tereny potencjalnej lokalizacji i cierpliwie czekają na uchwalenie planu zagospodarowania przestrzennego. </w:t>
      </w:r>
    </w:p>
    <w:p w:rsidR="001A7F6E" w:rsidRDefault="001A7F6E" w:rsidP="001A7F6E">
      <w:pPr>
        <w:jc w:val="both"/>
      </w:pPr>
      <w:r>
        <w:t xml:space="preserve">    Komisja zapoznała się także z dokumentami dotyczącymi Stowarzyszenia Ekologiczno Kulturalnego Wysoczyzny Wysokomazowieckiej i Podlaskiego Przełomu Bugu, w tym z protokołem zebrania założycielskiego oraz regulaminem jego działalności. Stowarzyszenie to zostało zarejestrowane przez Starostę </w:t>
      </w:r>
      <w:proofErr w:type="gramStart"/>
      <w:r>
        <w:t>Wysokomazowieckiego jako</w:t>
      </w:r>
      <w:proofErr w:type="gramEnd"/>
      <w:r>
        <w:t xml:space="preserve"> stowarzyszenie zwykłe i w związku z powyższym jest uprawnione do udziału w prowadzonych postępowaniach administracyjnych z zakresu ochrony środowiska na terenie Gminy Czyżew. </w:t>
      </w:r>
      <w:proofErr w:type="gramStart"/>
      <w:r>
        <w:t>Tak więc</w:t>
      </w:r>
      <w:proofErr w:type="gramEnd"/>
      <w:r>
        <w:t xml:space="preserve"> zarzut firmy </w:t>
      </w:r>
      <w:proofErr w:type="spellStart"/>
      <w:r>
        <w:t>Wikar</w:t>
      </w:r>
      <w:proofErr w:type="spellEnd"/>
      <w:r w:rsidRPr="005C010B">
        <w:t xml:space="preserve"> </w:t>
      </w:r>
      <w:r>
        <w:t>Sp. z o.</w:t>
      </w:r>
      <w:proofErr w:type="gramStart"/>
      <w:r>
        <w:t>o</w:t>
      </w:r>
      <w:proofErr w:type="gramEnd"/>
      <w:r>
        <w:t xml:space="preserve">.  </w:t>
      </w:r>
      <w:proofErr w:type="gramStart"/>
      <w:r>
        <w:t>dotyczący</w:t>
      </w:r>
      <w:proofErr w:type="gramEnd"/>
      <w:r>
        <w:t xml:space="preserve"> dopuszczenia do postępowania stowarzyszenia, które nie istnieje jest nieprawdziwy.</w:t>
      </w:r>
    </w:p>
    <w:p w:rsidR="001A7F6E" w:rsidRPr="00C0774D" w:rsidRDefault="001A7F6E" w:rsidP="001A7F6E">
      <w:pPr>
        <w:jc w:val="both"/>
      </w:pPr>
      <w:r>
        <w:t xml:space="preserve">    Komisja po wysłuchaniu wyjaśnień Pani Burmistrz, po zapoznaniu się za całością zebranych materiałów w sprawie oraz dokonaniu ich </w:t>
      </w:r>
      <w:proofErr w:type="gramStart"/>
      <w:r>
        <w:t>analizy  nie</w:t>
      </w:r>
      <w:proofErr w:type="gramEnd"/>
      <w:r>
        <w:t xml:space="preserve"> znalazła podstaw do uznania obu skarg za zasadne.</w:t>
      </w:r>
    </w:p>
    <w:p w:rsidR="001A7F6E" w:rsidRDefault="001A7F6E" w:rsidP="001A7F6E">
      <w:pPr>
        <w:jc w:val="both"/>
      </w:pPr>
      <w:r>
        <w:t xml:space="preserve">     Z obiema skargami oraz wyjaśnieniami Pani Burmistrz zapoznały się także pozostałe komisje Rady Miejskiej w dniu 20 listopada 2012 r.</w:t>
      </w:r>
    </w:p>
    <w:p w:rsidR="001A7F6E" w:rsidRDefault="001A7F6E" w:rsidP="001A7F6E">
      <w:pPr>
        <w:outlineLvl w:val="0"/>
      </w:pPr>
      <w:r>
        <w:t xml:space="preserve">      </w:t>
      </w:r>
    </w:p>
    <w:p w:rsidR="001A7F6E" w:rsidRDefault="001A7F6E" w:rsidP="001A7F6E">
      <w:pPr>
        <w:outlineLvl w:val="0"/>
      </w:pPr>
      <w:r>
        <w:t xml:space="preserve">    Dlatego biorąc powyższe pod uwagę postanowiono jak w sentencji.</w:t>
      </w:r>
    </w:p>
    <w:p w:rsidR="001A7F6E" w:rsidRDefault="001A7F6E" w:rsidP="001A7F6E">
      <w:pPr>
        <w:outlineLvl w:val="0"/>
      </w:pPr>
    </w:p>
    <w:p w:rsidR="001A7F6E" w:rsidRDefault="001A7F6E" w:rsidP="001A7F6E">
      <w:pPr>
        <w:outlineLvl w:val="0"/>
      </w:pPr>
    </w:p>
    <w:p w:rsidR="001A7F6E" w:rsidRDefault="001A7F6E" w:rsidP="001A7F6E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Przewodnicząca Komisji </w:t>
      </w:r>
      <w:proofErr w:type="gramStart"/>
      <w:r>
        <w:rPr>
          <w:b/>
        </w:rPr>
        <w:t xml:space="preserve">Rewizyjnej                                                  </w:t>
      </w:r>
      <w:proofErr w:type="gramEnd"/>
      <w:r>
        <w:rPr>
          <w:b/>
        </w:rPr>
        <w:t xml:space="preserve">                                                       </w:t>
      </w:r>
    </w:p>
    <w:p w:rsidR="001A7F6E" w:rsidRDefault="001A7F6E" w:rsidP="001A7F6E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Irena Wojtczuk</w:t>
      </w:r>
    </w:p>
    <w:p w:rsidR="001A7F6E" w:rsidRDefault="001A7F6E" w:rsidP="001A7F6E">
      <w:pPr>
        <w:outlineLvl w:val="0"/>
        <w:rPr>
          <w:b/>
        </w:rPr>
      </w:pPr>
    </w:p>
    <w:p w:rsidR="001A7F6E" w:rsidRDefault="001A7F6E" w:rsidP="001A7F6E">
      <w:pPr>
        <w:outlineLvl w:val="0"/>
        <w:rPr>
          <w:b/>
        </w:rPr>
      </w:pPr>
    </w:p>
    <w:p w:rsidR="001A7F6E" w:rsidRDefault="001A7F6E" w:rsidP="001A7F6E">
      <w:pPr>
        <w:outlineLvl w:val="0"/>
      </w:pPr>
    </w:p>
    <w:p w:rsidR="001A7F6E" w:rsidRDefault="001A7F6E">
      <w:pPr>
        <w:pStyle w:val="Tytuaktu"/>
      </w:pPr>
    </w:p>
    <w:sectPr w:rsidR="001A7F6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CE" w:rsidRDefault="007639CE">
      <w:r>
        <w:separator/>
      </w:r>
    </w:p>
  </w:endnote>
  <w:endnote w:type="continuationSeparator" w:id="0">
    <w:p w:rsidR="007639CE" w:rsidRDefault="0076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39CE">
    <w:pPr>
      <w:pStyle w:val="Stopka"/>
      <w:jc w:val="right"/>
    </w:pPr>
    <w:fldSimple w:instr=" SAVEDATE  \* MERGEFORMAT ">
      <w:r w:rsidR="001A7F6E">
        <w:rPr>
          <w:noProof/>
        </w:rPr>
        <w:t>0000-00-00 00:00:00</w:t>
      </w:r>
    </w:fldSimple>
  </w:p>
  <w:p w:rsidR="00000000" w:rsidRDefault="007639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CE" w:rsidRDefault="007639CE">
      <w:r>
        <w:separator/>
      </w:r>
    </w:p>
  </w:footnote>
  <w:footnote w:type="continuationSeparator" w:id="0">
    <w:p w:rsidR="007639CE" w:rsidRDefault="007639CE">
      <w:r>
        <w:continuationSeparator/>
      </w:r>
    </w:p>
  </w:footnote>
  <w:footnote w:id="1">
    <w:p w:rsidR="001A7F6E" w:rsidRDefault="001A7F6E" w:rsidP="001A7F6E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</w:t>
      </w:r>
      <w:r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>
        <w:rPr>
          <w:sz w:val="16"/>
          <w:szCs w:val="16"/>
        </w:rPr>
        <w:t>2009r</w:t>
      </w:r>
      <w:proofErr w:type="spellEnd"/>
      <w:r>
        <w:rPr>
          <w:sz w:val="16"/>
          <w:szCs w:val="16"/>
        </w:rPr>
        <w:t xml:space="preserve">. Nr 52, </w:t>
      </w:r>
      <w:proofErr w:type="spellStart"/>
      <w:r>
        <w:rPr>
          <w:sz w:val="16"/>
          <w:szCs w:val="16"/>
        </w:rPr>
        <w:t>poz.420</w:t>
      </w:r>
      <w:proofErr w:type="spellEnd"/>
      <w:r>
        <w:rPr>
          <w:sz w:val="16"/>
          <w:szCs w:val="16"/>
        </w:rPr>
        <w:t xml:space="preserve"> i Nr 157, poz. 1241,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142 i 146, Nr 40, poz. 230, Nr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 xml:space="preserve">. Nr 21, poz. 113, Nr 117, poz. 67, Nr 134, </w:t>
      </w:r>
      <w:proofErr w:type="gramStart"/>
      <w:r>
        <w:rPr>
          <w:sz w:val="16"/>
          <w:szCs w:val="16"/>
        </w:rPr>
        <w:t xml:space="preserve">poz. 777, </w:t>
      </w:r>
      <w:r w:rsidRPr="00C710BF">
        <w:rPr>
          <w:sz w:val="16"/>
          <w:szCs w:val="16"/>
        </w:rPr>
        <w:t xml:space="preserve"> </w:t>
      </w:r>
      <w:r w:rsidRPr="00172E11">
        <w:rPr>
          <w:sz w:val="16"/>
          <w:szCs w:val="16"/>
        </w:rPr>
        <w:t>Nr</w:t>
      </w:r>
      <w:proofErr w:type="gramEnd"/>
      <w:r w:rsidRPr="00172E11">
        <w:rPr>
          <w:sz w:val="16"/>
          <w:szCs w:val="16"/>
        </w:rPr>
        <w:t xml:space="preserve"> 149, poz. 887  i Nr 217, poz. 1281</w:t>
      </w:r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2012r</w:t>
      </w:r>
      <w:proofErr w:type="spellEnd"/>
      <w:r>
        <w:rPr>
          <w:sz w:val="16"/>
          <w:szCs w:val="16"/>
        </w:rPr>
        <w:t>. poz. 567</w:t>
      </w:r>
      <w:r w:rsidRPr="00172E11">
        <w:rPr>
          <w:sz w:val="16"/>
          <w:szCs w:val="16"/>
        </w:rPr>
        <w:t>.</w:t>
      </w:r>
    </w:p>
    <w:p w:rsidR="001A7F6E" w:rsidRDefault="001A7F6E" w:rsidP="001A7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775216E"/>
    <w:multiLevelType w:val="hybridMultilevel"/>
    <w:tmpl w:val="A43650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CE"/>
    <w:rsid w:val="001A7F6E"/>
    <w:rsid w:val="0076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1A7F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F6E"/>
  </w:style>
  <w:style w:type="character" w:styleId="Odwoanieprzypisudolnego">
    <w:name w:val="footnote reference"/>
    <w:basedOn w:val="Domylnaczcionkaakapitu"/>
    <w:semiHidden/>
    <w:rsid w:val="001A7F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2012-11-27T14:24:00Z</dcterms:created>
  <dcterms:modified xsi:type="dcterms:W3CDTF">2012-11-27T14:30:00Z</dcterms:modified>
</cp:coreProperties>
</file>