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4"/>
        <w:gridCol w:w="469"/>
        <w:gridCol w:w="800"/>
        <w:gridCol w:w="555"/>
        <w:gridCol w:w="717"/>
        <w:gridCol w:w="940"/>
        <w:gridCol w:w="474"/>
        <w:gridCol w:w="882"/>
        <w:gridCol w:w="255"/>
        <w:gridCol w:w="908"/>
        <w:gridCol w:w="160"/>
        <w:gridCol w:w="339"/>
        <w:gridCol w:w="296"/>
        <w:gridCol w:w="581"/>
        <w:gridCol w:w="160"/>
        <w:gridCol w:w="553"/>
        <w:gridCol w:w="643"/>
        <w:gridCol w:w="160"/>
        <w:gridCol w:w="508"/>
        <w:gridCol w:w="151"/>
        <w:gridCol w:w="644"/>
        <w:gridCol w:w="160"/>
        <w:gridCol w:w="414"/>
        <w:gridCol w:w="653"/>
        <w:gridCol w:w="514"/>
        <w:gridCol w:w="539"/>
        <w:gridCol w:w="518"/>
        <w:gridCol w:w="160"/>
        <w:gridCol w:w="711"/>
        <w:gridCol w:w="109"/>
        <w:gridCol w:w="332"/>
      </w:tblGrid>
      <w:tr w:rsidR="000E53D5" w:rsidRPr="000E53D5" w:rsidTr="000E53D5">
        <w:trPr>
          <w:gridAfter w:val="2"/>
          <w:wAfter w:w="441" w:type="dxa"/>
          <w:trHeight w:val="255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Nr:1</w:t>
            </w:r>
            <w:proofErr w:type="spellEnd"/>
          </w:p>
        </w:tc>
      </w:tr>
      <w:tr w:rsidR="000E53D5" w:rsidRPr="000E53D5" w:rsidTr="000E53D5">
        <w:trPr>
          <w:gridAfter w:val="2"/>
          <w:wAfter w:w="441" w:type="dxa"/>
          <w:trHeight w:val="255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Zarządzenia Nr: 68/11</w:t>
            </w:r>
          </w:p>
        </w:tc>
      </w:tr>
      <w:tr w:rsidR="000E53D5" w:rsidRPr="000E53D5" w:rsidTr="000E53D5">
        <w:trPr>
          <w:gridAfter w:val="2"/>
          <w:wAfter w:w="441" w:type="dxa"/>
          <w:trHeight w:val="255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Burmistrza Czyżewa</w:t>
            </w:r>
          </w:p>
        </w:tc>
      </w:tr>
      <w:tr w:rsidR="000E53D5" w:rsidRPr="000E53D5" w:rsidTr="000E53D5">
        <w:trPr>
          <w:gridAfter w:val="2"/>
          <w:wAfter w:w="441" w:type="dxa"/>
          <w:trHeight w:val="285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dnia 30 września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2011r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E53D5" w:rsidRPr="000E53D5" w:rsidTr="000E53D5">
        <w:trPr>
          <w:trHeight w:val="285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870"/>
        </w:trPr>
        <w:tc>
          <w:tcPr>
            <w:tcW w:w="14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E53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WIELOLETNIA PROGNOZA FINANSOWA GMINY NA LATA 2011-2014 WRAZ Z PROGNOZĄ KWOTY DŁUGU I SPŁATY ZOBOWIĄZAŃ NA LATA 2011-2016 </w:t>
            </w:r>
          </w:p>
        </w:tc>
      </w:tr>
      <w:tr w:rsidR="000E53D5" w:rsidRPr="000E53D5" w:rsidTr="000E53D5">
        <w:trPr>
          <w:gridAfter w:val="2"/>
          <w:wAfter w:w="441" w:type="dxa"/>
          <w:trHeight w:val="270"/>
        </w:trPr>
        <w:tc>
          <w:tcPr>
            <w:tcW w:w="104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109"/>
        </w:trPr>
        <w:tc>
          <w:tcPr>
            <w:tcW w:w="14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Dochody ogółem, </w:t>
            </w:r>
          </w:p>
        </w:tc>
        <w:tc>
          <w:tcPr>
            <w:tcW w:w="38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tego: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bieżące (bez odsetek i prowizji od: kredytów i pożyczek oraz wyemitowanych papierów wartościowych)</w:t>
            </w:r>
          </w:p>
        </w:tc>
        <w:tc>
          <w:tcPr>
            <w:tcW w:w="70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tym:</w:t>
            </w: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bieżące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majątkowe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tym: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wynagrodzenia i składki od nich naliczane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związane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funkcjonowaniem organów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JST</w:t>
            </w:r>
            <w:proofErr w:type="spellEnd"/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tytułu gwarancji i poręczeń, 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tym: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bieżące objęte limitem art. 226 ust. 4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</w:p>
        </w:tc>
      </w:tr>
      <w:tr w:rsidR="000E53D5" w:rsidRPr="000E53D5" w:rsidTr="000E53D5">
        <w:trPr>
          <w:gridAfter w:val="2"/>
          <w:wAfter w:w="441" w:type="dxa"/>
          <w:trHeight w:val="187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sprzedaży majątku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6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1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gwarancje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i poręczenia podlegające wyłączeniu z limitów spłaty zobowiązań z art. 243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/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169sufp</w:t>
            </w:r>
            <w:proofErr w:type="spellEnd"/>
          </w:p>
        </w:tc>
        <w:tc>
          <w:tcPr>
            <w:tcW w:w="13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1a</w:t>
            </w:r>
            <w:proofErr w:type="spell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1b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1c</w:t>
            </w:r>
            <w:proofErr w:type="spellEnd"/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2a</w:t>
            </w:r>
            <w:proofErr w:type="spellEnd"/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2b</w:t>
            </w:r>
            <w:proofErr w:type="spellEnd"/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2c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2d</w:t>
            </w:r>
            <w:proofErr w:type="spellEnd"/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2e</w:t>
            </w:r>
            <w:proofErr w:type="spellEnd"/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26 095 633,94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18 496 313,09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7 599 320,85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80 000,00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14 052 143,77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7 194 817,29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504 230,65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22 850 000,00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18 700 000,00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4 150 000,00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13 574 707,00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7 270 000,00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550 000,00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19 000 000,00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17 700 000,00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1 300 000,00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13 630 630,00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7 340 000,00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580 000,00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19 100 000,00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17 800 000,00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1 300 000,00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13 686 473,00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7 410 000,00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600 000,00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19 200 000,00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17 900 000,00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1 300 000,00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13 742 315,00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7 480 000,00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650 000,00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19 300 000,00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18 000 000,00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1 300 000,00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13 798 141,00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7 550 000,00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680 000,00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E53D5" w:rsidRPr="000E53D5" w:rsidTr="000E53D5">
        <w:trPr>
          <w:trHeight w:val="574"/>
        </w:trPr>
        <w:tc>
          <w:tcPr>
            <w:tcW w:w="134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lang w:eastAsia="pl-PL"/>
              </w:rPr>
              <w:t>Strona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E53D5" w:rsidRPr="000E53D5" w:rsidTr="000E53D5">
        <w:trPr>
          <w:gridAfter w:val="2"/>
          <w:wAfter w:w="441" w:type="dxa"/>
          <w:trHeight w:val="210"/>
        </w:trPr>
        <w:tc>
          <w:tcPr>
            <w:tcW w:w="14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Różnica (1-2)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Nadwyżka budżetowa z lat ubiegłych plus wolne środki, zgodnie z art. 217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tym: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Inne przychody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 związane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zaciągnięciem długu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do dyspozycji (3+4+5)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Spłata i obsługa długu</w:t>
            </w:r>
          </w:p>
        </w:tc>
        <w:tc>
          <w:tcPr>
            <w:tcW w:w="26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tego: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400"/>
        </w:trPr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nadwyżka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budżetowa z lat ubiegłych plus wolne środki, zgodnie z art. 217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 angażowane na pokrycie deficytu budżetu roku bieżącego</w:t>
            </w:r>
          </w:p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rozchody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tytułu spłaty rat kapitałowych oraz wykupu papierów wartościowych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bieżące na obsługę długu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4a</w:t>
            </w:r>
            <w:proofErr w:type="spell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7a</w:t>
            </w:r>
            <w:proofErr w:type="spellEnd"/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7b</w:t>
            </w:r>
            <w:proofErr w:type="spellEnd"/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12 043 490,17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1 597 646,85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13 641 137,02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1 487 646,85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1 447 646,85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40 000,00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9 275 293,00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9 275 293,00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275 293,00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29 293,00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5 369 370,00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5 369 370,00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269 370,00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23 370,00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5 413 527,00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5 413 527,00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263 527,00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17 527,00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5 457 685,00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5 457 685,00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257 685,00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11 685,00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5 501 859,00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5 501 859,00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251 859,00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5 859,00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880"/>
        </w:trPr>
        <w:tc>
          <w:tcPr>
            <w:tcW w:w="14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trHeight w:val="574"/>
        </w:trPr>
        <w:tc>
          <w:tcPr>
            <w:tcW w:w="134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lang w:eastAsia="pl-PL"/>
              </w:rPr>
              <w:t>Strona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E53D5" w:rsidRPr="000E53D5" w:rsidTr="000E53D5">
        <w:trPr>
          <w:gridAfter w:val="2"/>
          <w:wAfter w:w="441" w:type="dxa"/>
          <w:trHeight w:val="1002"/>
        </w:trPr>
        <w:tc>
          <w:tcPr>
            <w:tcW w:w="14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Inne rozchody (bez spłaty długu np. udzielane pożyczki)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"Środki do dyspozycji </w:t>
            </w: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(6-7-8)"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majątkowe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tym: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(kredyty, pożyczki, emisje obligacji)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"Rozliczenie budżetu </w:t>
            </w: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(9-10+11)"</w:t>
            </w:r>
          </w:p>
        </w:tc>
        <w:tc>
          <w:tcPr>
            <w:tcW w:w="5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70"/>
        </w:trPr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majątkowe objęte limitem art. 226 ust. 4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</w:p>
        </w:tc>
        <w:tc>
          <w:tcPr>
            <w:tcW w:w="137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10a</w:t>
            </w:r>
            <w:proofErr w:type="spellEnd"/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5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12 153 490,17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12 153 490,17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2 073 017,00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5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9 000 000,00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9 000 000,00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8 193 447,00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5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5 100 000,00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5 100 000,00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3 000 000,00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5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5 150 000,00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5 150 000,00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3 564 943,00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5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5 200 000,00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5 200 000,00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5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5 250 000,00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5 250 000,00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5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trHeight w:val="574"/>
        </w:trPr>
        <w:tc>
          <w:tcPr>
            <w:tcW w:w="134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lang w:eastAsia="pl-PL"/>
              </w:rPr>
              <w:t>Strona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0E53D5" w:rsidRPr="000E53D5" w:rsidTr="000E53D5">
        <w:trPr>
          <w:gridAfter w:val="2"/>
          <w:wAfter w:w="441" w:type="dxa"/>
          <w:trHeight w:val="1285"/>
        </w:trPr>
        <w:tc>
          <w:tcPr>
            <w:tcW w:w="14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Rok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Kwota długu</w:t>
            </w:r>
          </w:p>
        </w:tc>
        <w:tc>
          <w:tcPr>
            <w:tcW w:w="3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tym: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Kwota zobowiązań związku współtworzonego przez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jst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przypadających do spłaty w danym roku budżetowym podlegająca doliczeniu zgodnie z art. 244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</w:p>
        </w:tc>
        <w:tc>
          <w:tcPr>
            <w:tcW w:w="1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Relacja planowanej łącznej kwoty spłat zobowiązań do dochodów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Maksymalny dopuszczalny wskaźnik spłaty z art. 243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</w:p>
        </w:tc>
        <w:tc>
          <w:tcPr>
            <w:tcW w:w="14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Planowana łączna kwota spłaty zobowiązań po uwzględnieniu art. 244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Relacja (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Db-Wb+Dsm</w:t>
            </w:r>
            <w:proofErr w:type="spellEnd"/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)/Do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 o której mowa w art. 243 w danym roku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Spełnienie wskaźnika spłaty z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art. 243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 uwzględnieniu art. 244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805"/>
        </w:trPr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łączna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kwota wyłączeń z art. 243 ust. 3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oraz art. 170 ust. 3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sufp</w:t>
            </w:r>
            <w:proofErr w:type="spell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kwota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wyłączeń z art. 243 ust. 3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ufp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oraz art. 169 ust. 3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sufp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przypadająca na dany rok budżetowy</w:t>
            </w:r>
          </w:p>
        </w:tc>
        <w:tc>
          <w:tcPr>
            <w:tcW w:w="132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7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13a</w:t>
            </w:r>
            <w:proofErr w:type="spell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13b</w:t>
            </w:r>
            <w:proofErr w:type="spellEnd"/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15a</w:t>
            </w:r>
            <w:proofErr w:type="spellEnd"/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15b</w:t>
            </w:r>
            <w:proofErr w:type="spellEnd"/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15c</w:t>
            </w:r>
            <w:proofErr w:type="spellEnd"/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1 230 000,00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5,70%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26,15%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5,70%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17,18%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984 000,00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1,20%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20,73%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1,20%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22,30%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738 000,00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1,42%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19,75%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1,42%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21,29%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492 000,00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1,38%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20,26%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1,38%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21,45%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1,34%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21,68%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1,34%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21,59%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1,30%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21,44%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1,30%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21,74%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850"/>
        </w:trPr>
        <w:tc>
          <w:tcPr>
            <w:tcW w:w="14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trHeight w:val="574"/>
        </w:trPr>
        <w:tc>
          <w:tcPr>
            <w:tcW w:w="134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lang w:eastAsia="pl-PL"/>
              </w:rPr>
              <w:t>Strona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0E53D5" w:rsidRPr="000E53D5" w:rsidTr="000E53D5">
        <w:trPr>
          <w:gridAfter w:val="2"/>
          <w:wAfter w:w="441" w:type="dxa"/>
          <w:trHeight w:val="345"/>
        </w:trPr>
        <w:tc>
          <w:tcPr>
            <w:tcW w:w="14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40"/>
        </w:trPr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Rok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Planowana łączna kwota spłaty zobowiązań do dochodów ogółem -max 15% z art. 169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sufp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Zadłużenie/dochody ogółem [(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13–13a</w:t>
            </w:r>
            <w:proofErr w:type="spellEnd"/>
            <w:proofErr w:type="gram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):1] - max</w:t>
            </w:r>
            <w:proofErr w:type="gram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60% z art. 170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sufp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Wydatki bieżące razem (2 + 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7b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ogółem (10+19)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Wynik budżetu (1 - 20)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bieżące minus wydatki bieżące</w:t>
            </w: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(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1a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- 19)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budżetu (4+5+11)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Rozchody budżetu </w:t>
            </w: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(</w:t>
            </w: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7a</w:t>
            </w:r>
            <w:proofErr w:type="spellEnd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+ 8)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21a</w:t>
            </w:r>
            <w:proofErr w:type="spellEnd"/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5,70%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4,71%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14 092 143,77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26 245 633,94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-150 000,00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4 404 169,32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1 597 646,85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1 447 646,85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1,20%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4,31%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13 604 000,00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22 604 000,00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5 096 000,00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1,42%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3,88%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13 654 000,00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18 754 000,00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4 046 000,00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1,38%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2,58%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13 704 000,00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18 854 000,00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4 096 000,00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1,34%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1,28%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13 754 000,00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18 954 000,00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4 146 000,00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233"/>
        </w:trPr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1,30%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13 804 000,00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19 054 000,00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4 196 000,00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246 000,00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gridAfter w:val="2"/>
          <w:wAfter w:w="441" w:type="dxa"/>
          <w:trHeight w:val="567"/>
        </w:trPr>
        <w:tc>
          <w:tcPr>
            <w:tcW w:w="14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3D5" w:rsidRPr="000E53D5" w:rsidTr="000E53D5">
        <w:trPr>
          <w:trHeight w:val="574"/>
        </w:trPr>
        <w:tc>
          <w:tcPr>
            <w:tcW w:w="134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lang w:eastAsia="pl-PL"/>
              </w:rPr>
              <w:t>Strona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3D5" w:rsidRPr="000E53D5" w:rsidRDefault="000E53D5" w:rsidP="000E53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53D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</w:tbl>
    <w:p w:rsidR="001B2315" w:rsidRDefault="001B2315"/>
    <w:p w:rsidR="000E53D5" w:rsidRDefault="000E53D5"/>
    <w:p w:rsidR="000E53D5" w:rsidRDefault="000E53D5"/>
    <w:p w:rsidR="000E53D5" w:rsidRDefault="000E53D5"/>
    <w:p w:rsidR="000E53D5" w:rsidRDefault="000E53D5"/>
    <w:p w:rsidR="000E53D5" w:rsidRDefault="000E53D5"/>
    <w:p w:rsidR="000E53D5" w:rsidRDefault="000E53D5">
      <w:pPr>
        <w:sectPr w:rsidR="000E53D5" w:rsidSect="000E53D5">
          <w:pgSz w:w="16838" w:h="11906" w:orient="landscape"/>
          <w:pgMar w:top="1417" w:right="1417" w:bottom="2410" w:left="1417" w:header="708" w:footer="708" w:gutter="0"/>
          <w:cols w:space="708"/>
          <w:docGrid w:linePitch="360"/>
        </w:sectPr>
      </w:pPr>
    </w:p>
    <w:p w:rsidR="000E53D5" w:rsidRDefault="000E53D5" w:rsidP="000E53D5">
      <w:pPr>
        <w:pStyle w:val="Tytu"/>
        <w:ind w:left="5387" w:firstLine="708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 xml:space="preserve">Załącznik </w:t>
      </w:r>
      <w:proofErr w:type="gramStart"/>
      <w:r>
        <w:rPr>
          <w:b w:val="0"/>
          <w:bCs/>
          <w:sz w:val="22"/>
        </w:rPr>
        <w:t xml:space="preserve">Nr : 2  </w:t>
      </w:r>
      <w:proofErr w:type="gramEnd"/>
    </w:p>
    <w:p w:rsidR="000E53D5" w:rsidRDefault="000E53D5" w:rsidP="000E53D5">
      <w:pPr>
        <w:pStyle w:val="Tytu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           </w:t>
      </w:r>
      <w:proofErr w:type="gramStart"/>
      <w:r>
        <w:rPr>
          <w:b w:val="0"/>
          <w:bCs/>
          <w:sz w:val="22"/>
        </w:rPr>
        <w:t>do  Zarządzenia</w:t>
      </w:r>
      <w:proofErr w:type="gramEnd"/>
      <w:r>
        <w:rPr>
          <w:b w:val="0"/>
          <w:bCs/>
          <w:sz w:val="22"/>
        </w:rPr>
        <w:t xml:space="preserve"> Nr: 68/11 </w:t>
      </w:r>
    </w:p>
    <w:p w:rsidR="000E53D5" w:rsidRDefault="000E53D5" w:rsidP="000E53D5">
      <w:pPr>
        <w:pStyle w:val="Tytu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Burmistrza Czyżewa  </w:t>
      </w:r>
    </w:p>
    <w:p w:rsidR="000E53D5" w:rsidRDefault="000E53D5" w:rsidP="000E53D5">
      <w:pPr>
        <w:pStyle w:val="Tytu"/>
        <w:rPr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           z dnia 30 września 2011 r.</w:t>
      </w:r>
    </w:p>
    <w:p w:rsidR="000E53D5" w:rsidRDefault="000E53D5" w:rsidP="000E53D5">
      <w:pPr>
        <w:pStyle w:val="Tytu"/>
      </w:pPr>
    </w:p>
    <w:p w:rsidR="000E53D5" w:rsidRDefault="000E53D5" w:rsidP="000E53D5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0E53D5" w:rsidRDefault="000E53D5" w:rsidP="000E53D5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0E53D5" w:rsidRDefault="000E53D5" w:rsidP="000E53D5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0E53D5" w:rsidRDefault="000E53D5" w:rsidP="000E53D5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0E53D5" w:rsidRDefault="000E53D5" w:rsidP="000E53D5">
      <w:pPr>
        <w:tabs>
          <w:tab w:val="left" w:pos="7400"/>
        </w:tabs>
        <w:spacing w:line="360" w:lineRule="auto"/>
        <w:jc w:val="both"/>
      </w:pPr>
      <w:r>
        <w:t xml:space="preserve">1. wydatki na wynagrodzenia i składki od nich naliczane zmniejszono </w:t>
      </w:r>
      <w:proofErr w:type="gramStart"/>
      <w:r>
        <w:t>ogółem  o</w:t>
      </w:r>
      <w:proofErr w:type="gramEnd"/>
      <w:r>
        <w:t xml:space="preserve"> kwotę 6.542,00 </w:t>
      </w:r>
      <w:proofErr w:type="gramStart"/>
      <w:r>
        <w:t>zł</w:t>
      </w:r>
      <w:proofErr w:type="gramEnd"/>
      <w:r>
        <w:t>,</w:t>
      </w:r>
    </w:p>
    <w:p w:rsidR="000E53D5" w:rsidRDefault="000E53D5" w:rsidP="000E53D5">
      <w:pPr>
        <w:tabs>
          <w:tab w:val="left" w:pos="7400"/>
        </w:tabs>
        <w:spacing w:line="360" w:lineRule="auto"/>
        <w:jc w:val="both"/>
      </w:pPr>
      <w:r>
        <w:t xml:space="preserve">Kwotę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0E53D5" w:rsidRDefault="000E53D5" w:rsidP="000E53D5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0E53D5" w:rsidRDefault="000E53D5" w:rsidP="000E53D5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- 5,70</w:t>
      </w:r>
      <w:r w:rsidRPr="00D31EF5">
        <w:t xml:space="preserve"> %.</w:t>
      </w:r>
      <w:r>
        <w:t xml:space="preserve"> Planowana łączna kwota spłaty zobowiązań do dochodów wyniesie także 5,70</w:t>
      </w:r>
      <w:r w:rsidRPr="00D31EF5">
        <w:t xml:space="preserve">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4,71%.</w:t>
      </w:r>
    </w:p>
    <w:p w:rsidR="000E53D5" w:rsidRDefault="000E53D5" w:rsidP="000E53D5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0E53D5" w:rsidRDefault="000E53D5" w:rsidP="000E53D5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0E53D5" w:rsidRDefault="000E53D5" w:rsidP="000E53D5">
      <w:pPr>
        <w:numPr>
          <w:ilvl w:val="0"/>
          <w:numId w:val="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26.095.633,94 </w:t>
      </w:r>
      <w:proofErr w:type="gramStart"/>
      <w:r>
        <w:t>zł</w:t>
      </w:r>
      <w:proofErr w:type="gramEnd"/>
    </w:p>
    <w:p w:rsidR="000E53D5" w:rsidRDefault="000E53D5" w:rsidP="000E53D5">
      <w:pPr>
        <w:numPr>
          <w:ilvl w:val="1"/>
          <w:numId w:val="1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- 18.496.313,09 </w:t>
      </w:r>
      <w:proofErr w:type="gramStart"/>
      <w:r>
        <w:t>zł</w:t>
      </w:r>
      <w:proofErr w:type="gramEnd"/>
    </w:p>
    <w:p w:rsidR="000E53D5" w:rsidRDefault="000E53D5" w:rsidP="000E53D5">
      <w:pPr>
        <w:numPr>
          <w:ilvl w:val="1"/>
          <w:numId w:val="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7.599.320,85 </w:t>
      </w:r>
      <w:proofErr w:type="gramStart"/>
      <w:r>
        <w:t>zł</w:t>
      </w:r>
      <w:proofErr w:type="gramEnd"/>
    </w:p>
    <w:p w:rsidR="000E53D5" w:rsidRDefault="000E53D5" w:rsidP="000E53D5">
      <w:pPr>
        <w:numPr>
          <w:ilvl w:val="0"/>
          <w:numId w:val="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2011 roku wynoszą  - 26.245.633,94 </w:t>
      </w:r>
      <w:proofErr w:type="gramStart"/>
      <w:r>
        <w:t>zł</w:t>
      </w:r>
      <w:proofErr w:type="gramEnd"/>
    </w:p>
    <w:p w:rsidR="000E53D5" w:rsidRDefault="000E53D5" w:rsidP="000E53D5">
      <w:pPr>
        <w:numPr>
          <w:ilvl w:val="0"/>
          <w:numId w:val="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14.092.143,77 </w:t>
      </w:r>
      <w:proofErr w:type="gramStart"/>
      <w:r>
        <w:t>zł</w:t>
      </w:r>
      <w:proofErr w:type="gramEnd"/>
    </w:p>
    <w:p w:rsidR="000E53D5" w:rsidRDefault="000E53D5" w:rsidP="000E53D5">
      <w:pPr>
        <w:numPr>
          <w:ilvl w:val="0"/>
          <w:numId w:val="2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wydatki</w:t>
      </w:r>
      <w:proofErr w:type="gramEnd"/>
      <w:r>
        <w:t xml:space="preserve"> majątkowe  -  12.153.490,17 </w:t>
      </w:r>
      <w:proofErr w:type="gramStart"/>
      <w:r>
        <w:t>zł</w:t>
      </w:r>
      <w:proofErr w:type="gramEnd"/>
      <w:r>
        <w:t xml:space="preserve"> </w:t>
      </w:r>
    </w:p>
    <w:p w:rsidR="000E53D5" w:rsidRDefault="000E53D5" w:rsidP="000E53D5">
      <w:pPr>
        <w:tabs>
          <w:tab w:val="left" w:pos="7400"/>
        </w:tabs>
        <w:spacing w:line="360" w:lineRule="auto"/>
        <w:jc w:val="both"/>
      </w:pPr>
      <w:r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0E53D5" w:rsidRDefault="000E53D5"/>
    <w:sectPr w:rsidR="000E53D5" w:rsidSect="000E53D5">
      <w:pgSz w:w="11906" w:h="16838"/>
      <w:pgMar w:top="1418" w:right="241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53D5"/>
    <w:rsid w:val="000E53D5"/>
    <w:rsid w:val="00140C64"/>
    <w:rsid w:val="00166CD0"/>
    <w:rsid w:val="001B2315"/>
    <w:rsid w:val="00280086"/>
    <w:rsid w:val="003125CE"/>
    <w:rsid w:val="003C7F37"/>
    <w:rsid w:val="00463F01"/>
    <w:rsid w:val="0057238C"/>
    <w:rsid w:val="005C51FF"/>
    <w:rsid w:val="006B475B"/>
    <w:rsid w:val="00714759"/>
    <w:rsid w:val="007320A0"/>
    <w:rsid w:val="00836776"/>
    <w:rsid w:val="008B6A0F"/>
    <w:rsid w:val="0094790A"/>
    <w:rsid w:val="00973C40"/>
    <w:rsid w:val="00A96A44"/>
    <w:rsid w:val="00BF2B37"/>
    <w:rsid w:val="00C2230B"/>
    <w:rsid w:val="00C33A1F"/>
    <w:rsid w:val="00CF2419"/>
    <w:rsid w:val="00D3749F"/>
    <w:rsid w:val="00D559C3"/>
    <w:rsid w:val="00EB5C3E"/>
    <w:rsid w:val="00F4056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53D5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0E53D5"/>
    <w:rPr>
      <w:rFonts w:ascii="Times New Roman" w:eastAsia="Times New Roman" w:hAnsi="Times New Roman"/>
      <w:b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1029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1</cp:revision>
  <dcterms:created xsi:type="dcterms:W3CDTF">2011-11-24T08:31:00Z</dcterms:created>
  <dcterms:modified xsi:type="dcterms:W3CDTF">2011-11-24T08:38:00Z</dcterms:modified>
</cp:coreProperties>
</file>