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7D" w:rsidRDefault="003B7E7D">
      <w:pPr>
        <w:jc w:val="center"/>
        <w:rPr>
          <w:b/>
          <w:sz w:val="28"/>
        </w:rPr>
      </w:pPr>
    </w:p>
    <w:p w:rsidR="003B7E7D" w:rsidRDefault="003B7E7D">
      <w:pPr>
        <w:jc w:val="center"/>
        <w:rPr>
          <w:b/>
          <w:sz w:val="28"/>
        </w:rPr>
      </w:pPr>
    </w:p>
    <w:p w:rsidR="003B7E7D" w:rsidRDefault="003B7E7D">
      <w:pPr>
        <w:jc w:val="center"/>
        <w:rPr>
          <w:sz w:val="24"/>
        </w:rPr>
      </w:pPr>
    </w:p>
    <w:p w:rsidR="003B7E7D" w:rsidRDefault="003B7E7D">
      <w:pPr>
        <w:jc w:val="center"/>
        <w:rPr>
          <w:sz w:val="24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  <w:r>
        <w:rPr>
          <w:sz w:val="28"/>
        </w:rPr>
        <w:t>SZCZEGÓŁOWE SPECYFIKACJE TECHNICZNE</w:t>
      </w: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D - 02.00.01</w:t>
      </w: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ROBOTY  ZIEMNE.  WYMAGANIA  OGÓLNE</w:t>
      </w: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rPr>
          <w:b/>
          <w:sz w:val="28"/>
        </w:rPr>
      </w:pPr>
    </w:p>
    <w:p w:rsidR="003B7E7D" w:rsidRDefault="003B7E7D">
      <w:pPr>
        <w:pStyle w:val="Standardowytekst"/>
        <w:rPr>
          <w:b/>
          <w:sz w:val="28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spacing w:after="120"/>
        <w:jc w:val="center"/>
        <w:rPr>
          <w:b/>
        </w:rPr>
      </w:pPr>
      <w:r>
        <w:rPr>
          <w:b/>
        </w:rPr>
        <w:t>SPIS TREŚCI</w:t>
      </w:r>
    </w:p>
    <w:p w:rsidR="003B7E7D" w:rsidRDefault="001C1881">
      <w:pPr>
        <w:pStyle w:val="Spistreci1"/>
        <w:spacing w:before="0" w:after="0"/>
        <w:ind w:left="142"/>
        <w:rPr>
          <w:noProof/>
        </w:rPr>
      </w:pPr>
      <w:r w:rsidRPr="001C1881">
        <w:rPr>
          <w:sz w:val="24"/>
        </w:rPr>
        <w:fldChar w:fldCharType="begin"/>
      </w:r>
      <w:r w:rsidR="003B7E7D">
        <w:rPr>
          <w:sz w:val="24"/>
        </w:rPr>
        <w:instrText xml:space="preserve"> TOC \o "1-1" </w:instrText>
      </w:r>
      <w:r w:rsidRPr="001C1881">
        <w:rPr>
          <w:sz w:val="24"/>
        </w:rPr>
        <w:fldChar w:fldCharType="separate"/>
      </w:r>
      <w:r w:rsidR="003B7E7D">
        <w:rPr>
          <w:noProof/>
        </w:rPr>
        <w:t>1. WSTĘP</w:t>
      </w:r>
      <w:r w:rsidR="003B7E7D">
        <w:rPr>
          <w:b w:val="0"/>
          <w:noProof/>
        </w:rPr>
        <w:tab/>
      </w:r>
    </w:p>
    <w:p w:rsidR="003B7E7D" w:rsidRDefault="003B7E7D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2. MATERIAŁY (GRUNTY)</w:t>
      </w:r>
      <w:r>
        <w:rPr>
          <w:b w:val="0"/>
          <w:noProof/>
        </w:rPr>
        <w:tab/>
      </w:r>
    </w:p>
    <w:p w:rsidR="003B7E7D" w:rsidRDefault="003B7E7D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3. SPRZĘT</w:t>
      </w:r>
      <w:r>
        <w:rPr>
          <w:b w:val="0"/>
          <w:noProof/>
        </w:rPr>
        <w:tab/>
      </w:r>
    </w:p>
    <w:p w:rsidR="003B7E7D" w:rsidRDefault="003B7E7D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4. TRANSPORT</w:t>
      </w:r>
      <w:r>
        <w:rPr>
          <w:b w:val="0"/>
          <w:noProof/>
        </w:rPr>
        <w:tab/>
      </w:r>
    </w:p>
    <w:p w:rsidR="003B7E7D" w:rsidRDefault="003B7E7D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5. WYKONANIE ROBÓT</w:t>
      </w:r>
      <w:r>
        <w:rPr>
          <w:b w:val="0"/>
          <w:noProof/>
        </w:rPr>
        <w:tab/>
      </w:r>
    </w:p>
    <w:p w:rsidR="003B7E7D" w:rsidRDefault="003B7E7D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6. KONTROLA JAKOŚCI ROBÓT</w:t>
      </w:r>
      <w:r>
        <w:rPr>
          <w:b w:val="0"/>
          <w:noProof/>
        </w:rPr>
        <w:tab/>
      </w:r>
    </w:p>
    <w:p w:rsidR="003B7E7D" w:rsidRDefault="003B7E7D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7. OBMIAR ROBÓT</w:t>
      </w:r>
      <w:r>
        <w:rPr>
          <w:b w:val="0"/>
          <w:noProof/>
        </w:rPr>
        <w:tab/>
      </w:r>
    </w:p>
    <w:p w:rsidR="003B7E7D" w:rsidRDefault="003B7E7D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8. ODBIÓR ROBÓT</w:t>
      </w:r>
      <w:r>
        <w:rPr>
          <w:b w:val="0"/>
          <w:noProof/>
        </w:rPr>
        <w:tab/>
      </w:r>
    </w:p>
    <w:p w:rsidR="003B7E7D" w:rsidRDefault="003B7E7D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9. PODSTAWA PŁATNOŚCI</w:t>
      </w:r>
      <w:r>
        <w:rPr>
          <w:b w:val="0"/>
          <w:noProof/>
        </w:rPr>
        <w:tab/>
      </w:r>
    </w:p>
    <w:p w:rsidR="003B7E7D" w:rsidRDefault="003B7E7D">
      <w:pPr>
        <w:pStyle w:val="Spistreci1"/>
        <w:spacing w:before="0" w:after="0"/>
        <w:rPr>
          <w:noProof/>
        </w:rPr>
      </w:pPr>
      <w:r>
        <w:rPr>
          <w:noProof/>
        </w:rPr>
        <w:t xml:space="preserve"> 10. PRZEPISY ZWIĄZANE</w:t>
      </w:r>
      <w:r>
        <w:rPr>
          <w:b w:val="0"/>
          <w:noProof/>
        </w:rPr>
        <w:tab/>
      </w:r>
    </w:p>
    <w:p w:rsidR="003B7E7D" w:rsidRDefault="003B7E7D">
      <w:pPr>
        <w:pStyle w:val="Spistreci1"/>
        <w:spacing w:before="0" w:after="0"/>
        <w:ind w:left="142"/>
        <w:rPr>
          <w:noProof/>
        </w:rPr>
      </w:pPr>
    </w:p>
    <w:p w:rsidR="003B7E7D" w:rsidRDefault="001C1881">
      <w:pPr>
        <w:pStyle w:val="Standardowytekst"/>
        <w:ind w:left="142"/>
        <w:rPr>
          <w:sz w:val="24"/>
        </w:rPr>
      </w:pPr>
      <w:r>
        <w:rPr>
          <w:sz w:val="24"/>
        </w:rPr>
        <w:fldChar w:fldCharType="end"/>
      </w:r>
    </w:p>
    <w:p w:rsidR="003B7E7D" w:rsidRDefault="003B7E7D">
      <w:pPr>
        <w:pStyle w:val="Nagwek1"/>
      </w:pPr>
      <w:r>
        <w:rPr>
          <w:b w:val="0"/>
          <w:sz w:val="28"/>
        </w:rPr>
        <w:br w:type="page"/>
      </w:r>
      <w:bookmarkStart w:id="0" w:name="_Toc405615030"/>
      <w:bookmarkStart w:id="1" w:name="_Toc407161178"/>
      <w:bookmarkStart w:id="2" w:name="_Toc418996322"/>
      <w:bookmarkStart w:id="3" w:name="_Toc418996691"/>
      <w:bookmarkStart w:id="4" w:name="_Toc418997078"/>
      <w:bookmarkStart w:id="5" w:name="_Toc418998487"/>
      <w:bookmarkStart w:id="6" w:name="_Toc418998843"/>
      <w:bookmarkStart w:id="7" w:name="_Toc419000089"/>
      <w:r>
        <w:lastRenderedPageBreak/>
        <w:t>1. 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3B7E7D" w:rsidRDefault="003B7E7D">
      <w:pPr>
        <w:pStyle w:val="Nagwek2"/>
      </w:pPr>
      <w:bookmarkStart w:id="8" w:name="_Toc405615031"/>
      <w:bookmarkStart w:id="9" w:name="_Toc407161179"/>
      <w:r>
        <w:t>1.1. Przedmiot SST</w:t>
      </w:r>
      <w:bookmarkEnd w:id="8"/>
      <w:bookmarkEnd w:id="9"/>
    </w:p>
    <w:p w:rsidR="003B7E7D" w:rsidRDefault="003B7E7D">
      <w:pPr>
        <w:pStyle w:val="Standardowytekst"/>
      </w:pPr>
      <w:r>
        <w:tab/>
        <w:t>Przedmiotem niniejszej szczegółowej specyfikacji technicznej (SST) są wymagania dotyczące wykonania i odbioru liniowych robót ziemnych.</w:t>
      </w:r>
    </w:p>
    <w:p w:rsidR="003B7E7D" w:rsidRDefault="003B7E7D">
      <w:pPr>
        <w:pStyle w:val="Nagwek2"/>
      </w:pPr>
      <w:bookmarkStart w:id="10" w:name="_Toc405615032"/>
      <w:bookmarkStart w:id="11" w:name="_Toc407161180"/>
      <w:r>
        <w:t>1.2. Zakres stosowania SST</w:t>
      </w:r>
      <w:bookmarkEnd w:id="10"/>
      <w:bookmarkEnd w:id="11"/>
    </w:p>
    <w:p w:rsidR="003B7E7D" w:rsidRDefault="003B7E7D" w:rsidP="0077067D">
      <w:pPr>
        <w:pStyle w:val="tekstost"/>
      </w:pPr>
      <w:r>
        <w:tab/>
        <w:t xml:space="preserve">Szczegółowa specyfikacja techniczna (SST) stanowi obowiązując  dokument przetargowy i kontraktowy przy zlecaniu i realizacji robót drogowych – </w:t>
      </w:r>
      <w:r w:rsidR="0077067D">
        <w:t xml:space="preserve">przebudowa ulicy  </w:t>
      </w:r>
      <w:r w:rsidR="005870BA">
        <w:t>SŁOWACKIEGO w Czempiniu.</w:t>
      </w:r>
    </w:p>
    <w:p w:rsidR="003B7E7D" w:rsidRDefault="003B7E7D">
      <w:pPr>
        <w:pStyle w:val="Nagwek2"/>
      </w:pPr>
      <w:bookmarkStart w:id="12" w:name="_Toc405615033"/>
      <w:bookmarkStart w:id="13" w:name="_Toc407161181"/>
      <w:r>
        <w:t>1.3. Zakres robót objętych SST</w:t>
      </w:r>
      <w:bookmarkEnd w:id="12"/>
      <w:bookmarkEnd w:id="13"/>
    </w:p>
    <w:p w:rsidR="003B7E7D" w:rsidRDefault="003B7E7D">
      <w:pPr>
        <w:pStyle w:val="Standardowytekst"/>
      </w:pPr>
      <w:r>
        <w:tab/>
        <w:t>Ustalenia zawarte w niniejszej specyfikacji dotyczą zasad prowadzenia robót ziemnych w czasie budowy lub modernizacji dróg i obejmują:</w:t>
      </w:r>
    </w:p>
    <w:p w:rsidR="003B7E7D" w:rsidRDefault="003B7E7D" w:rsidP="00342C6B">
      <w:pPr>
        <w:pStyle w:val="Standardowytekst"/>
        <w:numPr>
          <w:ilvl w:val="0"/>
          <w:numId w:val="1"/>
        </w:numPr>
      </w:pPr>
      <w:r>
        <w:t xml:space="preserve">wykonanie wykopów w gruntach </w:t>
      </w:r>
      <w:proofErr w:type="spellStart"/>
      <w:r>
        <w:t>nieskalistych</w:t>
      </w:r>
      <w:proofErr w:type="spellEnd"/>
      <w:r>
        <w:t>,</w:t>
      </w:r>
    </w:p>
    <w:p w:rsidR="003B7E7D" w:rsidRDefault="003B7E7D" w:rsidP="00342C6B">
      <w:pPr>
        <w:pStyle w:val="Standardowytekst"/>
        <w:numPr>
          <w:ilvl w:val="0"/>
          <w:numId w:val="1"/>
        </w:numPr>
      </w:pPr>
      <w:r>
        <w:t>wykonanie wykopów w gruntach skalistych,</w:t>
      </w:r>
    </w:p>
    <w:p w:rsidR="003B7E7D" w:rsidRDefault="003B7E7D" w:rsidP="00342C6B">
      <w:pPr>
        <w:pStyle w:val="Standardowytekst"/>
        <w:numPr>
          <w:ilvl w:val="0"/>
          <w:numId w:val="1"/>
        </w:numPr>
      </w:pPr>
      <w:r>
        <w:t>budowę nasypów drogowych,</w:t>
      </w:r>
    </w:p>
    <w:p w:rsidR="003B7E7D" w:rsidRDefault="003B7E7D" w:rsidP="00342C6B">
      <w:pPr>
        <w:pStyle w:val="Standardowytekst"/>
        <w:numPr>
          <w:ilvl w:val="0"/>
          <w:numId w:val="1"/>
        </w:numPr>
      </w:pPr>
      <w:r>
        <w:t xml:space="preserve">pozyskiwanie gruntu z ukopu lub </w:t>
      </w:r>
      <w:proofErr w:type="spellStart"/>
      <w:r>
        <w:t>dokopu</w:t>
      </w:r>
      <w:proofErr w:type="spellEnd"/>
      <w:r>
        <w:t>.</w:t>
      </w:r>
    </w:p>
    <w:p w:rsidR="003B7E7D" w:rsidRDefault="003B7E7D">
      <w:pPr>
        <w:pStyle w:val="Nagwek2"/>
      </w:pPr>
      <w:bookmarkStart w:id="14" w:name="_Toc405615034"/>
      <w:bookmarkStart w:id="15" w:name="_Toc407161182"/>
      <w:r>
        <w:t>1.4. Określenia podstawowe</w:t>
      </w:r>
      <w:bookmarkEnd w:id="14"/>
      <w:bookmarkEnd w:id="15"/>
    </w:p>
    <w:p w:rsidR="003B7E7D" w:rsidRDefault="003B7E7D">
      <w:pPr>
        <w:pStyle w:val="Standardowytekst"/>
        <w:tabs>
          <w:tab w:val="right" w:pos="-1985"/>
          <w:tab w:val="left" w:pos="567"/>
        </w:tabs>
      </w:pPr>
      <w:r>
        <w:rPr>
          <w:b/>
        </w:rPr>
        <w:t>1.4.1.</w:t>
      </w:r>
      <w:r>
        <w:rPr>
          <w:b/>
        </w:rPr>
        <w:tab/>
      </w:r>
      <w:r>
        <w:t>Budowla ziemna - budowla wykonana w gruncie lub z gruntu naturalnego lub z gruntu antropogenicznego spełniająca warunki stateczności i odwodnienia.</w:t>
      </w:r>
    </w:p>
    <w:p w:rsidR="003B7E7D" w:rsidRDefault="003B7E7D">
      <w:pPr>
        <w:pStyle w:val="Standardowytekst"/>
        <w:tabs>
          <w:tab w:val="right" w:pos="-1985"/>
          <w:tab w:val="left" w:pos="567"/>
        </w:tabs>
        <w:spacing w:before="120"/>
        <w:rPr>
          <w:b/>
        </w:rPr>
      </w:pPr>
      <w:r>
        <w:rPr>
          <w:b/>
        </w:rPr>
        <w:t>1.4.2.</w:t>
      </w:r>
      <w:r>
        <w:rPr>
          <w:b/>
        </w:rPr>
        <w:tab/>
      </w:r>
      <w:r>
        <w:t>Korpus drogowy - nasyp lub ta część wykopu, która jest ograniczona koroną drogi i skarpami rowów.</w:t>
      </w:r>
      <w:r>
        <w:rPr>
          <w:b/>
        </w:rPr>
        <w:t xml:space="preserve"> </w:t>
      </w:r>
    </w:p>
    <w:p w:rsidR="003B7E7D" w:rsidRDefault="003B7E7D">
      <w:pPr>
        <w:pStyle w:val="Standardowytekst"/>
        <w:tabs>
          <w:tab w:val="right" w:pos="-1985"/>
          <w:tab w:val="left" w:pos="567"/>
        </w:tabs>
        <w:spacing w:before="120"/>
      </w:pPr>
      <w:r>
        <w:rPr>
          <w:b/>
        </w:rPr>
        <w:t>1.4.3.</w:t>
      </w:r>
      <w:r>
        <w:rPr>
          <w:b/>
        </w:rPr>
        <w:tab/>
      </w:r>
      <w:r>
        <w:t>Wysokość nasypu lub głębokość wykopu - różnica rzędnej terenu i rzędnej robót ziemnych, wyznaczonych w osi nasypu lub wykopu.</w:t>
      </w:r>
    </w:p>
    <w:p w:rsidR="003B7E7D" w:rsidRDefault="003B7E7D">
      <w:pPr>
        <w:pStyle w:val="Standardowytekst"/>
        <w:tabs>
          <w:tab w:val="right" w:pos="-1985"/>
          <w:tab w:val="left" w:pos="567"/>
        </w:tabs>
        <w:spacing w:before="120"/>
      </w:pPr>
      <w:r>
        <w:rPr>
          <w:b/>
        </w:rPr>
        <w:t>1.4.4.</w:t>
      </w:r>
      <w:r>
        <w:rPr>
          <w:b/>
        </w:rPr>
        <w:tab/>
      </w:r>
      <w:r>
        <w:t xml:space="preserve">Nasyp niski - nasyp, którego wysokość jest mniejsza niż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>.</w:t>
      </w:r>
    </w:p>
    <w:p w:rsidR="003B7E7D" w:rsidRDefault="003B7E7D">
      <w:pPr>
        <w:pStyle w:val="Standardowytekst"/>
        <w:tabs>
          <w:tab w:val="left" w:pos="567"/>
        </w:tabs>
        <w:spacing w:before="120"/>
      </w:pPr>
      <w:r>
        <w:rPr>
          <w:b/>
        </w:rPr>
        <w:t>1.4.5.</w:t>
      </w:r>
      <w:r>
        <w:rPr>
          <w:b/>
        </w:rPr>
        <w:tab/>
      </w:r>
      <w:r>
        <w:t xml:space="preserve">Nasyp średni - nasyp, którego wysokość jest zawarta w granicach od 1 do </w:t>
      </w:r>
      <w:smartTag w:uri="urn:schemas-microsoft-com:office:smarttags" w:element="metricconverter">
        <w:smartTagPr>
          <w:attr w:name="ProductID" w:val="3 m"/>
        </w:smartTagPr>
        <w:r>
          <w:t>3 m</w:t>
        </w:r>
      </w:smartTag>
      <w:r>
        <w:t>.</w:t>
      </w:r>
    </w:p>
    <w:p w:rsidR="003B7E7D" w:rsidRDefault="003B7E7D">
      <w:pPr>
        <w:pStyle w:val="Standardowytekst"/>
        <w:tabs>
          <w:tab w:val="left" w:pos="567"/>
        </w:tabs>
        <w:spacing w:before="120"/>
      </w:pPr>
      <w:r>
        <w:rPr>
          <w:b/>
        </w:rPr>
        <w:t>1.4.6.</w:t>
      </w:r>
      <w:r>
        <w:rPr>
          <w:b/>
        </w:rPr>
        <w:tab/>
      </w:r>
      <w:r>
        <w:t xml:space="preserve">Nasyp wysoki - nasyp, którego wysokość przekracza </w:t>
      </w:r>
      <w:smartTag w:uri="urn:schemas-microsoft-com:office:smarttags" w:element="metricconverter">
        <w:smartTagPr>
          <w:attr w:name="ProductID" w:val="3 m"/>
        </w:smartTagPr>
        <w:r>
          <w:t>3 m</w:t>
        </w:r>
      </w:smartTag>
      <w:r>
        <w:t>.</w:t>
      </w:r>
    </w:p>
    <w:p w:rsidR="003B7E7D" w:rsidRDefault="003B7E7D">
      <w:pPr>
        <w:pStyle w:val="Standardowytekst"/>
        <w:tabs>
          <w:tab w:val="left" w:pos="567"/>
        </w:tabs>
        <w:spacing w:before="120"/>
      </w:pPr>
      <w:r>
        <w:rPr>
          <w:b/>
        </w:rPr>
        <w:t>1.4.7.</w:t>
      </w:r>
      <w:r>
        <w:rPr>
          <w:b/>
        </w:rPr>
        <w:tab/>
      </w:r>
      <w:r>
        <w:t xml:space="preserve">Wykop płytki - wykop, którego głębokość jest mniejsza niż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>.</w:t>
      </w:r>
    </w:p>
    <w:p w:rsidR="003B7E7D" w:rsidRDefault="003B7E7D">
      <w:pPr>
        <w:pStyle w:val="Standardowytekst"/>
        <w:tabs>
          <w:tab w:val="left" w:pos="567"/>
        </w:tabs>
        <w:spacing w:before="120"/>
      </w:pPr>
      <w:r>
        <w:rPr>
          <w:b/>
        </w:rPr>
        <w:t>1.4.8.</w:t>
      </w:r>
      <w:r>
        <w:rPr>
          <w:b/>
        </w:rPr>
        <w:tab/>
      </w:r>
      <w:r>
        <w:t xml:space="preserve">Wykop średni - wykop, którego głębokość jest zawarta w granicach od 1 do </w:t>
      </w:r>
      <w:smartTag w:uri="urn:schemas-microsoft-com:office:smarttags" w:element="metricconverter">
        <w:smartTagPr>
          <w:attr w:name="ProductID" w:val="3 m"/>
        </w:smartTagPr>
        <w:r>
          <w:t>3 m</w:t>
        </w:r>
      </w:smartTag>
      <w:r>
        <w:t>.</w:t>
      </w:r>
    </w:p>
    <w:p w:rsidR="003B7E7D" w:rsidRDefault="003B7E7D">
      <w:pPr>
        <w:pStyle w:val="Standardowytekst"/>
        <w:tabs>
          <w:tab w:val="left" w:pos="567"/>
        </w:tabs>
        <w:spacing w:before="120"/>
      </w:pPr>
      <w:r>
        <w:rPr>
          <w:b/>
        </w:rPr>
        <w:t>1.4.9.</w:t>
      </w:r>
      <w:r>
        <w:rPr>
          <w:b/>
        </w:rPr>
        <w:tab/>
      </w:r>
      <w:r>
        <w:t xml:space="preserve">Wykop głęboki - wykop, którego głębokość przekracza </w:t>
      </w:r>
      <w:smartTag w:uri="urn:schemas-microsoft-com:office:smarttags" w:element="metricconverter">
        <w:smartTagPr>
          <w:attr w:name="ProductID" w:val="3 m"/>
        </w:smartTagPr>
        <w:r>
          <w:t>3 m</w:t>
        </w:r>
      </w:smartTag>
      <w:r>
        <w:t>.</w:t>
      </w:r>
    </w:p>
    <w:p w:rsidR="003B7E7D" w:rsidRDefault="003B7E7D" w:rsidP="00342C6B">
      <w:pPr>
        <w:pStyle w:val="Standardowytekst"/>
        <w:numPr>
          <w:ilvl w:val="0"/>
          <w:numId w:val="2"/>
        </w:numPr>
        <w:spacing w:before="120"/>
        <w:ind w:left="0" w:firstLine="0"/>
      </w:pPr>
      <w:r>
        <w:t>Bagno - grunt organiczny nasycony wodą, o małej nośności, charakteryzujący się znacznym i długotrwałym osiadaniem pod obciążeniem.</w:t>
      </w:r>
    </w:p>
    <w:p w:rsidR="003B7E7D" w:rsidRDefault="003B7E7D" w:rsidP="00342C6B">
      <w:pPr>
        <w:pStyle w:val="Standardowytekst"/>
        <w:numPr>
          <w:ilvl w:val="0"/>
          <w:numId w:val="3"/>
        </w:numPr>
        <w:spacing w:before="120"/>
        <w:ind w:left="0" w:firstLine="0"/>
      </w:pPr>
      <w:r>
        <w:t xml:space="preserve">Grunt </w:t>
      </w:r>
      <w:proofErr w:type="spellStart"/>
      <w:r>
        <w:t>nieskalisty</w:t>
      </w:r>
      <w:proofErr w:type="spellEnd"/>
      <w:r>
        <w:t xml:space="preserve"> - każdy grunt rodzimy, nie określony w punkcie 1.4.12 jako grunt skalisty.</w:t>
      </w:r>
    </w:p>
    <w:p w:rsidR="003B7E7D" w:rsidRDefault="003B7E7D">
      <w:pPr>
        <w:pStyle w:val="Standardowytekst"/>
        <w:spacing w:before="120"/>
      </w:pPr>
      <w:r>
        <w:rPr>
          <w:b/>
        </w:rPr>
        <w:t>1.4.12.</w:t>
      </w:r>
      <w:r>
        <w:rPr>
          <w:b/>
        </w:rPr>
        <w:tab/>
      </w:r>
      <w:r>
        <w:t xml:space="preserve">Grunt skalisty - grunt rodzimy, lity lub spękany o nieprzesuniętych blokach, którego próbki nie wykazują zmian objętości ani nie rozpadają się pod działaniem wody destylowanej; mają wytrzymałość na ściskanie </w:t>
      </w:r>
      <w:proofErr w:type="spellStart"/>
      <w:r>
        <w:t>R</w:t>
      </w:r>
      <w:r>
        <w:rPr>
          <w:vertAlign w:val="subscript"/>
        </w:rPr>
        <w:t>c</w:t>
      </w:r>
      <w:proofErr w:type="spellEnd"/>
      <w:r>
        <w:t xml:space="preserve"> ponad 0,2 </w:t>
      </w:r>
      <w:proofErr w:type="spellStart"/>
      <w:r>
        <w:t>MPa</w:t>
      </w:r>
      <w:proofErr w:type="spellEnd"/>
      <w:r>
        <w:t>; wymaga użycia środków wybuchowych albo narzędzi pneumatycznych lub hydraulicznych do odspojenia.</w:t>
      </w:r>
    </w:p>
    <w:p w:rsidR="003B7E7D" w:rsidRDefault="003B7E7D">
      <w:pPr>
        <w:pStyle w:val="Standardowytekst"/>
        <w:spacing w:before="120"/>
      </w:pPr>
      <w:r>
        <w:rPr>
          <w:b/>
        </w:rPr>
        <w:t>1.4.13.</w:t>
      </w:r>
      <w:r>
        <w:rPr>
          <w:b/>
        </w:rPr>
        <w:tab/>
      </w:r>
      <w:r>
        <w:t>Ukop - miejsce pozyskania gruntu do wykonania nasypów, położone w obrębie pasa robót drogowych.</w:t>
      </w:r>
    </w:p>
    <w:p w:rsidR="003B7E7D" w:rsidRDefault="003B7E7D">
      <w:pPr>
        <w:pStyle w:val="Standardowytekst"/>
        <w:spacing w:before="120"/>
      </w:pPr>
      <w:r>
        <w:rPr>
          <w:b/>
        </w:rPr>
        <w:t>1.4.14.</w:t>
      </w:r>
      <w:r>
        <w:rPr>
          <w:b/>
        </w:rPr>
        <w:tab/>
      </w:r>
      <w:r>
        <w:t>Dokop - miejsce pozyskania gruntu do wykonania nasypów, położone poza pasem robót drogowych.</w:t>
      </w:r>
    </w:p>
    <w:p w:rsidR="003B7E7D" w:rsidRDefault="003B7E7D">
      <w:pPr>
        <w:pStyle w:val="Standardowytekst"/>
        <w:spacing w:before="120"/>
      </w:pPr>
      <w:r>
        <w:rPr>
          <w:b/>
        </w:rPr>
        <w:t>1.4.15.</w:t>
      </w:r>
      <w:r>
        <w:rPr>
          <w:b/>
        </w:rPr>
        <w:tab/>
      </w:r>
      <w:r>
        <w:t>Odkład - miejsce wbudowania lub składowania (odwiezienia) gruntów pozyskanych w czasie wykonywania wykopów, a nie wykorzystanych do budowy nasypów oraz innych prac związanych z trasą drogową.</w:t>
      </w:r>
    </w:p>
    <w:p w:rsidR="003B7E7D" w:rsidRDefault="003B7E7D">
      <w:pPr>
        <w:pStyle w:val="Standardowytekst"/>
        <w:spacing w:before="120"/>
      </w:pPr>
      <w:r>
        <w:rPr>
          <w:b/>
        </w:rPr>
        <w:t>1.4.16.</w:t>
      </w:r>
      <w:r>
        <w:rPr>
          <w:b/>
        </w:rPr>
        <w:tab/>
      </w:r>
      <w:r>
        <w:t xml:space="preserve">Wskaźnik zagęszczenia gruntu - wielkość charakteryzująca stan zagęszczenia gruntu, określona wg wzoru: </w:t>
      </w:r>
    </w:p>
    <w:p w:rsidR="003B7E7D" w:rsidRDefault="003B7E7D">
      <w:pPr>
        <w:pStyle w:val="Standardowytekst"/>
        <w:spacing w:before="120"/>
        <w:jc w:val="center"/>
      </w:pPr>
      <w:r w:rsidRPr="00B532AB">
        <w:rPr>
          <w:position w:val="-26"/>
        </w:rPr>
        <w:object w:dxaOrig="78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0pt" o:ole="">
            <v:imagedata r:id="rId7" o:title=""/>
          </v:shape>
          <o:OLEObject Type="Embed" ProgID="Equation.3" ShapeID="_x0000_i1025" DrawAspect="Content" ObjectID="_1500529672" r:id="rId8"/>
        </w:object>
      </w:r>
    </w:p>
    <w:p w:rsidR="003B7E7D" w:rsidRDefault="003B7E7D">
      <w:pPr>
        <w:pStyle w:val="Standardowytekst"/>
        <w:jc w:val="left"/>
      </w:pPr>
      <w:r>
        <w:t>gdzie:</w:t>
      </w:r>
    </w:p>
    <w:p w:rsidR="003B7E7D" w:rsidRDefault="003B7E7D">
      <w:pPr>
        <w:pStyle w:val="Standardowytekst"/>
        <w:tabs>
          <w:tab w:val="left" w:pos="426"/>
          <w:tab w:val="left" w:pos="709"/>
        </w:tabs>
        <w:ind w:left="709" w:hanging="709"/>
      </w:pPr>
      <w:r>
        <w:rPr>
          <w:i/>
        </w:rPr>
        <w:lastRenderedPageBreak/>
        <w:sym w:font="Symbol" w:char="F072"/>
      </w:r>
      <w:r>
        <w:rPr>
          <w:vertAlign w:val="subscript"/>
        </w:rPr>
        <w:t>d</w:t>
      </w:r>
      <w:r>
        <w:tab/>
        <w:t>-</w:t>
      </w:r>
      <w:r>
        <w:tab/>
        <w:t>gęstość objętościowa szkieletu zagęszczonego gruntu, zgodnie z BN-77/8931-12 [9], (Mg/m</w:t>
      </w:r>
      <w:r>
        <w:rPr>
          <w:vertAlign w:val="superscript"/>
        </w:rPr>
        <w:t>3</w:t>
      </w:r>
      <w:r>
        <w:t>),</w:t>
      </w:r>
    </w:p>
    <w:p w:rsidR="003B7E7D" w:rsidRDefault="003B7E7D">
      <w:pPr>
        <w:pStyle w:val="Standardowytekst"/>
        <w:tabs>
          <w:tab w:val="left" w:pos="426"/>
          <w:tab w:val="left" w:pos="709"/>
        </w:tabs>
        <w:ind w:left="709" w:hanging="709"/>
      </w:pPr>
      <w:r>
        <w:rPr>
          <w:i/>
        </w:rPr>
        <w:sym w:font="Symbol" w:char="F072"/>
      </w:r>
      <w:proofErr w:type="spellStart"/>
      <w:r>
        <w:rPr>
          <w:vertAlign w:val="subscript"/>
        </w:rPr>
        <w:t>ds</w:t>
      </w:r>
      <w:proofErr w:type="spellEnd"/>
      <w:r>
        <w:tab/>
        <w:t>-</w:t>
      </w:r>
      <w:r>
        <w:tab/>
        <w:t>maksymalna gęstość objętościowa szkieletu gruntowego przy wilgotności optymalnej, zgodnie z PN-B-04481:1988 [2], służąca do oceny zagęszczenia gruntu w robotach ziemnych, (Mg/m</w:t>
      </w:r>
      <w:r>
        <w:rPr>
          <w:vertAlign w:val="superscript"/>
        </w:rPr>
        <w:t>3</w:t>
      </w:r>
      <w:r>
        <w:t>).</w:t>
      </w:r>
    </w:p>
    <w:p w:rsidR="003B7E7D" w:rsidRDefault="003B7E7D">
      <w:pPr>
        <w:pStyle w:val="Standardowytekst"/>
        <w:spacing w:before="120"/>
      </w:pPr>
      <w:r>
        <w:rPr>
          <w:b/>
        </w:rPr>
        <w:t xml:space="preserve">1.4.17. </w:t>
      </w:r>
      <w:r>
        <w:t xml:space="preserve">Wskaźnik różnoziarnistości - wielkość charakteryzująca </w:t>
      </w:r>
      <w:proofErr w:type="spellStart"/>
      <w:r>
        <w:t>zagęszczalność</w:t>
      </w:r>
      <w:proofErr w:type="spellEnd"/>
      <w:r>
        <w:t xml:space="preserve"> gruntów niespoistych, określona wg wzoru:</w:t>
      </w:r>
    </w:p>
    <w:p w:rsidR="003B7E7D" w:rsidRDefault="003B7E7D">
      <w:pPr>
        <w:pStyle w:val="Standardowytekst"/>
        <w:jc w:val="center"/>
        <w:rPr>
          <w:b/>
        </w:rPr>
      </w:pPr>
      <w:r w:rsidRPr="00B532AB">
        <w:rPr>
          <w:position w:val="-26"/>
        </w:rPr>
        <w:object w:dxaOrig="780" w:dyaOrig="600">
          <v:shape id="_x0000_i1026" type="#_x0000_t75" style="width:39pt;height:30pt" o:ole="">
            <v:imagedata r:id="rId9" o:title=""/>
          </v:shape>
          <o:OLEObject Type="Embed" ProgID="Equation.3" ShapeID="_x0000_i1026" DrawAspect="Content" ObjectID="_1500529673" r:id="rId10"/>
        </w:object>
      </w:r>
    </w:p>
    <w:p w:rsidR="003B7E7D" w:rsidRDefault="003B7E7D">
      <w:pPr>
        <w:pStyle w:val="Standardowytekst"/>
      </w:pPr>
      <w:r>
        <w:t>gdzie:</w:t>
      </w:r>
    </w:p>
    <w:p w:rsidR="003B7E7D" w:rsidRDefault="003B7E7D">
      <w:pPr>
        <w:pStyle w:val="Standardowytekst"/>
        <w:tabs>
          <w:tab w:val="left" w:pos="426"/>
          <w:tab w:val="left" w:pos="709"/>
        </w:tabs>
      </w:pPr>
      <w:r>
        <w:rPr>
          <w:rFonts w:ascii="Arial" w:hAnsi="Arial"/>
          <w:i/>
        </w:rPr>
        <w:t>d</w:t>
      </w:r>
      <w:r>
        <w:rPr>
          <w:rFonts w:ascii="Arial" w:hAnsi="Arial"/>
          <w:i/>
          <w:vertAlign w:val="subscript"/>
        </w:rPr>
        <w:t>60</w:t>
      </w:r>
      <w:r>
        <w:tab/>
        <w:t>-</w:t>
      </w:r>
      <w:r>
        <w:tab/>
        <w:t>średnica oczek sita, przez które przechodzi 60% gruntu, (mm),</w:t>
      </w:r>
    </w:p>
    <w:p w:rsidR="003B7E7D" w:rsidRDefault="003B7E7D">
      <w:pPr>
        <w:pStyle w:val="Standardowytekst"/>
        <w:tabs>
          <w:tab w:val="left" w:pos="426"/>
          <w:tab w:val="left" w:pos="709"/>
        </w:tabs>
      </w:pPr>
      <w:r>
        <w:rPr>
          <w:rFonts w:ascii="Arial" w:hAnsi="Arial"/>
          <w:i/>
        </w:rPr>
        <w:t>d</w:t>
      </w:r>
      <w:r>
        <w:rPr>
          <w:rFonts w:ascii="Arial" w:hAnsi="Arial"/>
          <w:i/>
          <w:vertAlign w:val="subscript"/>
        </w:rPr>
        <w:t>10</w:t>
      </w:r>
      <w:r>
        <w:tab/>
        <w:t>-</w:t>
      </w:r>
      <w:r>
        <w:tab/>
        <w:t>średnica oczek sita, przez które przechodzi 10% gruntu, (mm).</w:t>
      </w:r>
    </w:p>
    <w:p w:rsidR="003B7E7D" w:rsidRDefault="003B7E7D">
      <w:pPr>
        <w:pStyle w:val="Standardowytekst"/>
        <w:spacing w:before="120"/>
      </w:pPr>
      <w:r>
        <w:rPr>
          <w:b/>
        </w:rPr>
        <w:t>1.4.18.</w:t>
      </w:r>
      <w:r>
        <w:t xml:space="preserve"> Wskaźnik odkształcenia gruntu - wielkość charakteryzująca stan zagęszczenia gruntu, określona wg wzoru: </w:t>
      </w:r>
    </w:p>
    <w:p w:rsidR="003B7E7D" w:rsidRDefault="003B7E7D">
      <w:pPr>
        <w:pStyle w:val="Standardowytekst"/>
        <w:tabs>
          <w:tab w:val="left" w:pos="426"/>
          <w:tab w:val="left" w:pos="709"/>
        </w:tabs>
        <w:jc w:val="center"/>
      </w:pPr>
      <w:r w:rsidRPr="00B532AB">
        <w:rPr>
          <w:position w:val="-26"/>
        </w:rPr>
        <w:object w:dxaOrig="720" w:dyaOrig="600">
          <v:shape id="_x0000_i1027" type="#_x0000_t75" style="width:36pt;height:30pt" o:ole="">
            <v:imagedata r:id="rId11" o:title=""/>
          </v:shape>
          <o:OLEObject Type="Embed" ProgID="Equation.3" ShapeID="_x0000_i1027" DrawAspect="Content" ObjectID="_1500529674" r:id="rId12"/>
        </w:object>
      </w:r>
    </w:p>
    <w:p w:rsidR="003B7E7D" w:rsidRDefault="003B7E7D">
      <w:pPr>
        <w:pStyle w:val="Standardowytekst"/>
        <w:tabs>
          <w:tab w:val="left" w:pos="426"/>
          <w:tab w:val="left" w:pos="709"/>
        </w:tabs>
      </w:pPr>
      <w:r>
        <w:t>gdzie:</w:t>
      </w:r>
    </w:p>
    <w:p w:rsidR="003B7E7D" w:rsidRDefault="003B7E7D">
      <w:pPr>
        <w:pStyle w:val="Standardowytekst"/>
        <w:tabs>
          <w:tab w:val="left" w:pos="426"/>
          <w:tab w:val="left" w:pos="709"/>
        </w:tabs>
      </w:pPr>
      <w:r>
        <w:rPr>
          <w:rFonts w:ascii="Arial" w:hAnsi="Arial"/>
          <w:i/>
        </w:rPr>
        <w:t>E</w:t>
      </w:r>
      <w:r>
        <w:rPr>
          <w:rFonts w:ascii="Arial" w:hAnsi="Arial"/>
          <w:i/>
          <w:vertAlign w:val="subscript"/>
        </w:rPr>
        <w:t>1</w:t>
      </w:r>
      <w:r>
        <w:tab/>
        <w:t>-</w:t>
      </w:r>
      <w:r>
        <w:tab/>
        <w:t>moduł odkształcenia gruntu oznaczony w pierwszym obciążeniu badanej warstwy zgodnie z PN-S-02205:1998 [4],</w:t>
      </w:r>
    </w:p>
    <w:p w:rsidR="003B7E7D" w:rsidRDefault="003B7E7D">
      <w:pPr>
        <w:pStyle w:val="Standardowytekst"/>
        <w:tabs>
          <w:tab w:val="left" w:pos="426"/>
          <w:tab w:val="left" w:pos="709"/>
        </w:tabs>
      </w:pPr>
      <w:r>
        <w:rPr>
          <w:rFonts w:ascii="Arial" w:hAnsi="Arial"/>
          <w:i/>
        </w:rPr>
        <w:t>E</w:t>
      </w:r>
      <w:r>
        <w:rPr>
          <w:rFonts w:ascii="Arial" w:hAnsi="Arial"/>
          <w:i/>
          <w:vertAlign w:val="subscript"/>
        </w:rPr>
        <w:t>2</w:t>
      </w:r>
      <w:r>
        <w:tab/>
        <w:t>-</w:t>
      </w:r>
      <w:r>
        <w:tab/>
        <w:t>moduł odkształcenia gruntu oznaczony w powtórnym obciążeniu badanej warstwy zgodnie z PN-S-02205:1998 [4].</w:t>
      </w:r>
    </w:p>
    <w:p w:rsidR="003B7E7D" w:rsidRDefault="003B7E7D">
      <w:pPr>
        <w:pStyle w:val="Standardowytekst"/>
        <w:tabs>
          <w:tab w:val="left" w:pos="426"/>
          <w:tab w:val="left" w:pos="709"/>
        </w:tabs>
      </w:pPr>
    </w:p>
    <w:p w:rsidR="003B7E7D" w:rsidRDefault="003B7E7D">
      <w:pPr>
        <w:pStyle w:val="Standardowytekst"/>
      </w:pPr>
      <w:r>
        <w:rPr>
          <w:b/>
        </w:rPr>
        <w:t>1.4.19</w:t>
      </w:r>
      <w:r>
        <w:t xml:space="preserve">. </w:t>
      </w:r>
      <w:proofErr w:type="spellStart"/>
      <w:r>
        <w:t>Geosyntetyk</w:t>
      </w:r>
      <w:proofErr w:type="spellEnd"/>
      <w:r>
        <w:t xml:space="preserve"> - materiał stosowany w budownictwie drogowym, wytwarzany  z wysoko polimeryzowanych włókien syntetycznych, w tym tworzyw termoplastycznych polietylenowych, polipropylenowych i poliestrowych, charakteryzujący się między innymi dużą wytrzymałością oraz wodoprzepuszczalnością, zgodny z PN-ISO10318:1993 [5], PN-EN-963:1999 [6].</w:t>
      </w:r>
    </w:p>
    <w:p w:rsidR="003B7E7D" w:rsidRDefault="003B7E7D">
      <w:pPr>
        <w:pStyle w:val="Standardowytekst"/>
      </w:pPr>
      <w:proofErr w:type="spellStart"/>
      <w:r>
        <w:t>Geosyntetyki</w:t>
      </w:r>
      <w:proofErr w:type="spellEnd"/>
      <w:r>
        <w:t xml:space="preserve"> obejmują: </w:t>
      </w:r>
      <w:proofErr w:type="spellStart"/>
      <w:r>
        <w:t>geotkaniny</w:t>
      </w:r>
      <w:proofErr w:type="spellEnd"/>
      <w:r>
        <w:t xml:space="preserve">, </w:t>
      </w:r>
      <w:proofErr w:type="spellStart"/>
      <w:r>
        <w:t>geowłókniny</w:t>
      </w:r>
      <w:proofErr w:type="spellEnd"/>
      <w:r>
        <w:t xml:space="preserve">, </w:t>
      </w:r>
      <w:proofErr w:type="spellStart"/>
      <w:r>
        <w:t>geodzianiny</w:t>
      </w:r>
      <w:proofErr w:type="spellEnd"/>
      <w:r>
        <w:t xml:space="preserve">, </w:t>
      </w:r>
      <w:proofErr w:type="spellStart"/>
      <w:r>
        <w:t>georuszty</w:t>
      </w:r>
      <w:proofErr w:type="spellEnd"/>
      <w:r>
        <w:t xml:space="preserve">, </w:t>
      </w:r>
      <w:proofErr w:type="spellStart"/>
      <w:r>
        <w:t>geosiatki</w:t>
      </w:r>
      <w:proofErr w:type="spellEnd"/>
      <w:r>
        <w:t xml:space="preserve">, </w:t>
      </w:r>
      <w:proofErr w:type="spellStart"/>
      <w:r>
        <w:t>geokompozyty</w:t>
      </w:r>
      <w:proofErr w:type="spellEnd"/>
      <w:r>
        <w:t xml:space="preserve">, </w:t>
      </w:r>
      <w:proofErr w:type="spellStart"/>
      <w:r>
        <w:t>geomembrany</w:t>
      </w:r>
      <w:proofErr w:type="spellEnd"/>
      <w:r>
        <w:t xml:space="preserve">, zgodnie z wytycznymi </w:t>
      </w:r>
      <w:proofErr w:type="spellStart"/>
      <w:r>
        <w:t>IBDiM</w:t>
      </w:r>
      <w:proofErr w:type="spellEnd"/>
      <w:r>
        <w:t xml:space="preserve"> [13].</w:t>
      </w:r>
    </w:p>
    <w:p w:rsidR="003B7E7D" w:rsidRDefault="003B7E7D">
      <w:pPr>
        <w:pStyle w:val="Standardowytekst"/>
        <w:spacing w:before="120"/>
      </w:pPr>
      <w:r>
        <w:rPr>
          <w:b/>
        </w:rPr>
        <w:t xml:space="preserve">1.4.20. </w:t>
      </w:r>
      <w:r>
        <w:t xml:space="preserve">Pozostałe określenia podstawowe są zgodne z obowiązującymi, odpowiednimi polskimi normami i z definicjami podanymi w SST D-M-00.00.00 „Wymagania ogólne” </w:t>
      </w:r>
      <w:proofErr w:type="spellStart"/>
      <w:r>
        <w:t>pkt</w:t>
      </w:r>
      <w:proofErr w:type="spellEnd"/>
      <w:r>
        <w:t xml:space="preserve"> 1.4.</w:t>
      </w:r>
    </w:p>
    <w:p w:rsidR="003B7E7D" w:rsidRDefault="003B7E7D">
      <w:pPr>
        <w:pStyle w:val="Nagwek2"/>
      </w:pPr>
      <w:bookmarkStart w:id="16" w:name="_Toc405615035"/>
      <w:bookmarkStart w:id="17" w:name="_Toc407161183"/>
      <w:r>
        <w:t>1.5. Ogólne wymagania dotyczące robót</w:t>
      </w:r>
      <w:bookmarkEnd w:id="16"/>
      <w:bookmarkEnd w:id="17"/>
    </w:p>
    <w:p w:rsidR="003B7E7D" w:rsidRDefault="003B7E7D">
      <w:pPr>
        <w:pStyle w:val="Standardowytekst"/>
        <w:spacing w:after="120"/>
      </w:pPr>
      <w:r>
        <w:t xml:space="preserve">       Ogólne wymagania dotyczące robót podano w SST D-M-00.00.00 „Wymagania ogólne” </w:t>
      </w:r>
      <w:proofErr w:type="spellStart"/>
      <w:r>
        <w:t>pkt</w:t>
      </w:r>
      <w:proofErr w:type="spellEnd"/>
      <w:r>
        <w:t xml:space="preserve"> 1.5.</w:t>
      </w:r>
    </w:p>
    <w:p w:rsidR="003B7E7D" w:rsidRDefault="003B7E7D">
      <w:pPr>
        <w:pStyle w:val="Nagwek1"/>
      </w:pPr>
      <w:bookmarkStart w:id="18" w:name="_Toc405615036"/>
      <w:bookmarkStart w:id="19" w:name="_Toc407161184"/>
      <w:bookmarkStart w:id="20" w:name="_Toc418996323"/>
      <w:bookmarkStart w:id="21" w:name="_Toc418996692"/>
      <w:bookmarkStart w:id="22" w:name="_Toc418997079"/>
      <w:bookmarkStart w:id="23" w:name="_Toc418998489"/>
      <w:bookmarkStart w:id="24" w:name="_Toc418998845"/>
      <w:bookmarkStart w:id="25" w:name="_Toc419000090"/>
      <w:r>
        <w:t>2. materiały (grunty)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3B7E7D" w:rsidRDefault="003B7E7D">
      <w:pPr>
        <w:pStyle w:val="Nagwek2"/>
      </w:pPr>
      <w:bookmarkStart w:id="26" w:name="_Toc405615037"/>
      <w:bookmarkStart w:id="27" w:name="_Toc407161185"/>
      <w:r>
        <w:t>2.1. Ogólne wymagania dotyczące materiałów</w:t>
      </w:r>
      <w:bookmarkEnd w:id="26"/>
      <w:bookmarkEnd w:id="27"/>
    </w:p>
    <w:p w:rsidR="003B7E7D" w:rsidRDefault="003B7E7D">
      <w:pPr>
        <w:pStyle w:val="Standardowytekst"/>
      </w:pPr>
      <w:r>
        <w:tab/>
        <w:t xml:space="preserve">Ogólne wymagania dotyczące materiałów, ich pozyskiwania i składowania, podano w SST D-M-00.00.00 „Wymagania ogólne” </w:t>
      </w:r>
      <w:proofErr w:type="spellStart"/>
      <w:r>
        <w:t>pkt</w:t>
      </w:r>
      <w:proofErr w:type="spellEnd"/>
      <w:r>
        <w:t xml:space="preserve"> 2.</w:t>
      </w:r>
    </w:p>
    <w:p w:rsidR="003B7E7D" w:rsidRDefault="003B7E7D">
      <w:pPr>
        <w:pStyle w:val="Nagwek2"/>
      </w:pPr>
      <w:bookmarkStart w:id="28" w:name="_Toc405615038"/>
      <w:bookmarkStart w:id="29" w:name="_Toc407161186"/>
      <w:r>
        <w:t>2.2. Podział gruntów</w:t>
      </w:r>
      <w:bookmarkEnd w:id="28"/>
      <w:bookmarkEnd w:id="29"/>
    </w:p>
    <w:p w:rsidR="003B7E7D" w:rsidRDefault="003B7E7D">
      <w:pPr>
        <w:pStyle w:val="Standardowytekst"/>
      </w:pPr>
      <w:r>
        <w:tab/>
        <w:t xml:space="preserve">Podział gruntów pod względem </w:t>
      </w:r>
      <w:proofErr w:type="spellStart"/>
      <w:r>
        <w:t>wysadzinowości</w:t>
      </w:r>
      <w:proofErr w:type="spellEnd"/>
      <w:r>
        <w:t xml:space="preserve"> podaje tablica 1.</w:t>
      </w:r>
    </w:p>
    <w:p w:rsidR="003B7E7D" w:rsidRDefault="003B7E7D">
      <w:pPr>
        <w:pStyle w:val="Standardowytekst"/>
      </w:pPr>
      <w:r>
        <w:tab/>
        <w:t xml:space="preserve">Podział gruntów pod względem przydatności do budowy nasypów podano w SST D-02.03.01 </w:t>
      </w:r>
      <w:proofErr w:type="spellStart"/>
      <w:r>
        <w:t>pkt</w:t>
      </w:r>
      <w:proofErr w:type="spellEnd"/>
      <w:r>
        <w:t xml:space="preserve"> 2.</w:t>
      </w:r>
    </w:p>
    <w:p w:rsidR="003B7E7D" w:rsidRDefault="003B7E7D">
      <w:pPr>
        <w:pStyle w:val="Nagwek2"/>
      </w:pPr>
      <w:bookmarkStart w:id="30" w:name="_Toc405615039"/>
      <w:bookmarkStart w:id="31" w:name="_Toc407161187"/>
      <w:r>
        <w:t>2.3. Zasady wykorzystania gruntów</w:t>
      </w:r>
      <w:bookmarkEnd w:id="30"/>
      <w:bookmarkEnd w:id="31"/>
    </w:p>
    <w:p w:rsidR="003B7E7D" w:rsidRDefault="003B7E7D">
      <w:pPr>
        <w:pStyle w:val="Standardowytekst"/>
      </w:pPr>
      <w:r>
        <w:tab/>
        <w:t>Grunty uzyskane przy wykonywaniu wykopów powinny być przez Wykonawcę wykorzystane w maksymalnym stopniu do budowy nasypów. Grunty przydatne do budowy nasypów mogą być wywiezione poza teren budowy tylko wówczas, gdy stanowią nadmiar objętości robót ziemnych i za zezwoleniem Inżyniera.</w:t>
      </w:r>
    </w:p>
    <w:p w:rsidR="003B7E7D" w:rsidRDefault="003B7E7D">
      <w:pPr>
        <w:pStyle w:val="Standardowytekst"/>
      </w:pPr>
      <w:r>
        <w:tab/>
        <w:t>Jeżeli grunty przydatne, uzyskane przy wykonaniu wykopów, nie będąc nadmiarem objętości robót ziemnych, zostały za zgodą Inżyniera wywiezione przez Wykonawcę poza teren budowy z przeznaczeniem innym niż budowa nasypów lub wykonanie prac objętych kontraktem, Wykonawca jest zobowiązany do dostarczenia równoważnej objętości gruntów przydatnych ze źródeł własnych, zaakceptowanych przez Inżyniera.</w:t>
      </w:r>
    </w:p>
    <w:p w:rsidR="003B7E7D" w:rsidRDefault="003B7E7D">
      <w:pPr>
        <w:pStyle w:val="Standardowytekst"/>
        <w:spacing w:after="120"/>
      </w:pPr>
      <w:r>
        <w:tab/>
        <w:t xml:space="preserve">Grunty i materiały nieprzydatne do budowy nasypów, określone w SST D-02.03.01 </w:t>
      </w:r>
      <w:proofErr w:type="spellStart"/>
      <w:r>
        <w:t>pkt</w:t>
      </w:r>
      <w:proofErr w:type="spellEnd"/>
      <w:r>
        <w:t xml:space="preserve"> 2.4, powinny być wywiezione przez Wykonawcę na odkład. Zapewnienie terenów na odkład należy do obowiązków Zamawiającego, o ile nie określono tego inaczej w kontrakcie. Inżynier może nakazać </w:t>
      </w:r>
      <w:r>
        <w:lastRenderedPageBreak/>
        <w:t>pozostawienie na terenie budowy gruntów, których czasowa nieprzydatność wynika jedynie z powodu zamarznięcia lub nadmiernej wilgotności.</w:t>
      </w:r>
    </w:p>
    <w:p w:rsidR="003B7E7D" w:rsidRDefault="003B7E7D">
      <w:pPr>
        <w:pStyle w:val="Standardowytekst"/>
        <w:keepNext/>
        <w:rPr>
          <w:b/>
        </w:rPr>
      </w:pPr>
      <w:r>
        <w:rPr>
          <w:b/>
        </w:rPr>
        <w:t xml:space="preserve">2.4. </w:t>
      </w:r>
      <w:proofErr w:type="spellStart"/>
      <w:r>
        <w:rPr>
          <w:b/>
        </w:rPr>
        <w:t>Geosyntetyk</w:t>
      </w:r>
      <w:proofErr w:type="spellEnd"/>
    </w:p>
    <w:p w:rsidR="003B7E7D" w:rsidRDefault="003B7E7D">
      <w:pPr>
        <w:spacing w:before="120"/>
      </w:pPr>
      <w:r>
        <w:tab/>
      </w:r>
      <w:proofErr w:type="spellStart"/>
      <w:r>
        <w:t>Geosyntetyk</w:t>
      </w:r>
      <w:proofErr w:type="spellEnd"/>
      <w:r>
        <w:t xml:space="preserve"> powinien być materiałem odpornym na działanie wilgoci, środowiska agresywnego chemicznie i biologicznie oraz temperatury. Powinien być to materiał bez rozdarć, dziur i przerw ciągłości z dobrą przyczepnością do gruntu. Właściwości stosowanych </w:t>
      </w:r>
      <w:proofErr w:type="spellStart"/>
      <w:r>
        <w:t>geosyntetyków</w:t>
      </w:r>
      <w:proofErr w:type="spellEnd"/>
      <w:r>
        <w:t xml:space="preserve"> powinny być zgodne z PN-EN-963:1999 [6] i dokumentacją projektową. </w:t>
      </w:r>
      <w:proofErr w:type="spellStart"/>
      <w:r>
        <w:t>Geosyntetyk</w:t>
      </w:r>
      <w:proofErr w:type="spellEnd"/>
      <w:r>
        <w:t xml:space="preserve"> powinien posiadać aprobatę techniczna wydaną przez uprawnioną jednostkę.</w:t>
      </w:r>
    </w:p>
    <w:p w:rsidR="003B7E7D" w:rsidRDefault="003B7E7D">
      <w:pPr>
        <w:pStyle w:val="Standardowytekst"/>
      </w:pPr>
    </w:p>
    <w:p w:rsidR="003B7E7D" w:rsidRDefault="003B7E7D">
      <w:pPr>
        <w:pStyle w:val="Standardowytekst"/>
        <w:spacing w:after="120"/>
      </w:pPr>
      <w:r>
        <w:t xml:space="preserve">Tablica 1. Podział gruntów pod względem </w:t>
      </w:r>
      <w:proofErr w:type="spellStart"/>
      <w:r>
        <w:t>wysadzinowości</w:t>
      </w:r>
      <w:proofErr w:type="spellEnd"/>
      <w:r>
        <w:t xml:space="preserve"> wg PN-S-02205:1998 [4]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417"/>
        <w:gridCol w:w="709"/>
        <w:gridCol w:w="1628"/>
        <w:gridCol w:w="1628"/>
        <w:gridCol w:w="1629"/>
      </w:tblGrid>
      <w:tr w:rsidR="003B7E7D"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3B7E7D" w:rsidRDefault="003B7E7D">
            <w:pPr>
              <w:pStyle w:val="Standardowytekst"/>
              <w:spacing w:before="60"/>
              <w:jc w:val="center"/>
            </w:pPr>
            <w:r>
              <w:t>Lp.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3B7E7D" w:rsidRDefault="003B7E7D">
            <w:pPr>
              <w:pStyle w:val="Standardowytekst"/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3B7E7D" w:rsidRDefault="003B7E7D">
            <w:pPr>
              <w:pStyle w:val="Standardowytekst"/>
              <w:spacing w:before="60"/>
              <w:jc w:val="center"/>
            </w:pPr>
            <w:proofErr w:type="spellStart"/>
            <w:r>
              <w:t>Jed</w:t>
            </w:r>
            <w:proofErr w:type="spellEnd"/>
            <w:r>
              <w:t>-</w:t>
            </w:r>
          </w:p>
        </w:tc>
        <w:tc>
          <w:tcPr>
            <w:tcW w:w="4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spacing w:before="60"/>
              <w:jc w:val="center"/>
            </w:pPr>
            <w:r>
              <w:t>Grupy gruntów</w:t>
            </w:r>
          </w:p>
        </w:tc>
      </w:tr>
      <w:tr w:rsidR="003B7E7D">
        <w:tc>
          <w:tcPr>
            <w:tcW w:w="496" w:type="dxa"/>
            <w:tcBorders>
              <w:left w:val="single" w:sz="6" w:space="0" w:color="auto"/>
              <w:bottom w:val="double" w:sz="6" w:space="0" w:color="auto"/>
            </w:tcBorders>
          </w:tcPr>
          <w:p w:rsidR="003B7E7D" w:rsidRDefault="003B7E7D">
            <w:pPr>
              <w:pStyle w:val="Standardowytekst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bottom w:val="double" w:sz="6" w:space="0" w:color="auto"/>
            </w:tcBorders>
          </w:tcPr>
          <w:p w:rsidR="003B7E7D" w:rsidRDefault="003B7E7D">
            <w:pPr>
              <w:pStyle w:val="Standardowytekst"/>
              <w:spacing w:after="60"/>
              <w:jc w:val="center"/>
            </w:pPr>
            <w:r>
              <w:rPr>
                <w:sz w:val="16"/>
              </w:rPr>
              <w:t>właściwości</w:t>
            </w:r>
          </w:p>
        </w:tc>
        <w:tc>
          <w:tcPr>
            <w:tcW w:w="709" w:type="dxa"/>
            <w:tcBorders>
              <w:left w:val="single" w:sz="6" w:space="0" w:color="auto"/>
              <w:bottom w:val="double" w:sz="6" w:space="0" w:color="auto"/>
            </w:tcBorders>
          </w:tcPr>
          <w:p w:rsidR="003B7E7D" w:rsidRDefault="003B7E7D">
            <w:pPr>
              <w:pStyle w:val="Standardowytekst"/>
              <w:spacing w:after="60"/>
              <w:jc w:val="center"/>
            </w:pPr>
            <w:proofErr w:type="spellStart"/>
            <w:r>
              <w:t>nostki</w:t>
            </w:r>
            <w:proofErr w:type="spellEnd"/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spacing w:after="60"/>
              <w:jc w:val="center"/>
            </w:pPr>
            <w:proofErr w:type="spellStart"/>
            <w:r>
              <w:t>niewysadzinowe</w:t>
            </w:r>
            <w:proofErr w:type="spellEnd"/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spacing w:after="60"/>
              <w:jc w:val="center"/>
            </w:pPr>
            <w:r>
              <w:t>wątpliwe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spacing w:after="60"/>
              <w:jc w:val="center"/>
            </w:pPr>
            <w:proofErr w:type="spellStart"/>
            <w:r>
              <w:t>wysadzinowe</w:t>
            </w:r>
            <w:proofErr w:type="spellEnd"/>
          </w:p>
        </w:tc>
      </w:tr>
      <w:tr w:rsidR="003B7E7D"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</w:pPr>
            <w:r>
              <w:t>Rodzaj gruntu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jc w:val="center"/>
            </w:pPr>
          </w:p>
        </w:tc>
        <w:tc>
          <w:tcPr>
            <w:tcW w:w="1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</w:pPr>
            <w:r>
              <w:t xml:space="preserve">rumosz </w:t>
            </w:r>
            <w:proofErr w:type="spellStart"/>
            <w:r>
              <w:t>niegliniasty</w:t>
            </w:r>
            <w:proofErr w:type="spellEnd"/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</w:pPr>
            <w:r>
              <w:t>żwir</w:t>
            </w:r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</w:pPr>
            <w:r>
              <w:t>pospółka</w:t>
            </w:r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</w:pPr>
            <w:r>
              <w:t>piasek gruby</w:t>
            </w:r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</w:pPr>
            <w:r>
              <w:t>piasek średni</w:t>
            </w:r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</w:pPr>
            <w:r>
              <w:t>piasek drobny</w:t>
            </w:r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</w:pPr>
            <w:r>
              <w:t xml:space="preserve">żużel </w:t>
            </w:r>
            <w:proofErr w:type="spellStart"/>
            <w:r>
              <w:t>nierozpadowy</w:t>
            </w:r>
            <w:proofErr w:type="spellEnd"/>
          </w:p>
        </w:tc>
        <w:tc>
          <w:tcPr>
            <w:tcW w:w="1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</w:pPr>
            <w:r>
              <w:t>piasek pylasty</w:t>
            </w:r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</w:pPr>
            <w:r>
              <w:t>zwietrzelina gliniasta</w:t>
            </w:r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</w:pPr>
            <w:r>
              <w:t>rumosz gliniasty</w:t>
            </w:r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</w:pPr>
            <w:r>
              <w:t>żwir gliniasty</w:t>
            </w:r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</w:pPr>
            <w:r>
              <w:t>pospółka gliniasta</w:t>
            </w:r>
          </w:p>
        </w:tc>
        <w:tc>
          <w:tcPr>
            <w:tcW w:w="1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b/>
                <w:sz w:val="18"/>
              </w:rPr>
              <w:t xml:space="preserve">mało </w:t>
            </w:r>
            <w:proofErr w:type="spellStart"/>
            <w:r>
              <w:rPr>
                <w:b/>
                <w:sz w:val="18"/>
              </w:rPr>
              <w:t>wysadzinowe</w:t>
            </w:r>
            <w:proofErr w:type="spellEnd"/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  <w:jc w:val="left"/>
              <w:rPr>
                <w:sz w:val="18"/>
              </w:rPr>
            </w:pPr>
            <w:r>
              <w:rPr>
                <w:sz w:val="18"/>
              </w:rPr>
              <w:t xml:space="preserve">glina </w:t>
            </w:r>
            <w:proofErr w:type="spellStart"/>
            <w:r>
              <w:rPr>
                <w:sz w:val="18"/>
              </w:rPr>
              <w:t>piasz</w:t>
            </w:r>
            <w:proofErr w:type="spellEnd"/>
            <w:r>
              <w:rPr>
                <w:sz w:val="18"/>
              </w:rPr>
              <w:t>-    czysta zwięzła, glina zwięzła, glina pylasta zwięzła</w:t>
            </w:r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  <w:jc w:val="left"/>
              <w:rPr>
                <w:sz w:val="18"/>
              </w:rPr>
            </w:pPr>
            <w:r>
              <w:rPr>
                <w:sz w:val="18"/>
              </w:rPr>
              <w:t xml:space="preserve">ił, ił </w:t>
            </w:r>
            <w:proofErr w:type="spellStart"/>
            <w:r>
              <w:rPr>
                <w:sz w:val="18"/>
              </w:rPr>
              <w:t>piaszczys-ty</w:t>
            </w:r>
            <w:proofErr w:type="spellEnd"/>
            <w:r>
              <w:rPr>
                <w:sz w:val="18"/>
              </w:rPr>
              <w:t>, ił pylasty</w:t>
            </w: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left"/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bardzo </w:t>
            </w:r>
            <w:proofErr w:type="spellStart"/>
            <w:r>
              <w:rPr>
                <w:b/>
                <w:sz w:val="16"/>
              </w:rPr>
              <w:t>wysadzinowe</w:t>
            </w:r>
            <w:proofErr w:type="spellEnd"/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  <w:jc w:val="left"/>
              <w:rPr>
                <w:sz w:val="18"/>
              </w:rPr>
            </w:pPr>
            <w:r>
              <w:rPr>
                <w:sz w:val="18"/>
              </w:rPr>
              <w:t>piasek gliniasty</w:t>
            </w:r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  <w:jc w:val="left"/>
              <w:rPr>
                <w:sz w:val="18"/>
              </w:rPr>
            </w:pPr>
            <w:r>
              <w:rPr>
                <w:sz w:val="18"/>
              </w:rPr>
              <w:t xml:space="preserve">pył, pył </w:t>
            </w:r>
            <w:proofErr w:type="spellStart"/>
            <w:r>
              <w:rPr>
                <w:sz w:val="18"/>
              </w:rPr>
              <w:t>piasz-czysty</w:t>
            </w:r>
            <w:proofErr w:type="spellEnd"/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  <w:jc w:val="left"/>
              <w:rPr>
                <w:sz w:val="18"/>
              </w:rPr>
            </w:pPr>
            <w:r>
              <w:rPr>
                <w:sz w:val="18"/>
              </w:rPr>
              <w:t xml:space="preserve">glina </w:t>
            </w:r>
            <w:proofErr w:type="spellStart"/>
            <w:r>
              <w:rPr>
                <w:sz w:val="18"/>
              </w:rPr>
              <w:t>piasz</w:t>
            </w:r>
            <w:proofErr w:type="spellEnd"/>
            <w:r>
              <w:rPr>
                <w:sz w:val="18"/>
              </w:rPr>
              <w:t>-  czysta, glina, glina pylasta</w:t>
            </w:r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  <w:jc w:val="left"/>
              <w:rPr>
                <w:sz w:val="18"/>
              </w:rPr>
            </w:pPr>
            <w:r>
              <w:rPr>
                <w:sz w:val="18"/>
              </w:rPr>
              <w:t>ił warwowy</w:t>
            </w:r>
          </w:p>
        </w:tc>
      </w:tr>
      <w:tr w:rsidR="003B7E7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</w:pPr>
            <w:r>
              <w:t>Zawartość cząstek</w:t>
            </w: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</w:pPr>
            <w:r>
              <w:sym w:font="Symbol" w:char="F0A3"/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0,075 mm"/>
              </w:smartTagPr>
              <w:r>
                <w:t>0,075 mm</w:t>
              </w:r>
            </w:smartTag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</w:pPr>
            <w:r>
              <w:sym w:font="Symbol" w:char="F0A3"/>
            </w:r>
            <w:r>
              <w:t xml:space="preserve"> 0,02   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t>%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sym w:font="Symbol" w:char="F03C"/>
            </w:r>
            <w:r>
              <w:t xml:space="preserve"> 15</w:t>
            </w: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sym w:font="Symbol" w:char="F03C"/>
            </w:r>
            <w:r>
              <w:t xml:space="preserve"> 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t>od 15 do 30</w:t>
            </w: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t>od 3 do 10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sym w:font="Symbol" w:char="F03E"/>
            </w:r>
            <w:r>
              <w:t xml:space="preserve"> 30</w:t>
            </w: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sym w:font="Symbol" w:char="F03E"/>
            </w:r>
            <w:r>
              <w:t xml:space="preserve"> 10</w:t>
            </w:r>
          </w:p>
        </w:tc>
      </w:tr>
      <w:tr w:rsidR="003B7E7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</w:pPr>
            <w:r>
              <w:t xml:space="preserve">Kapilarność bierna </w:t>
            </w:r>
            <w:proofErr w:type="spellStart"/>
            <w:r>
              <w:t>H</w:t>
            </w:r>
            <w:r>
              <w:rPr>
                <w:vertAlign w:val="subscript"/>
              </w:rPr>
              <w:t>kb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t>m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sym w:font="Symbol" w:char="F03C"/>
            </w:r>
            <w:r>
              <w:t xml:space="preserve"> 1,0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1,0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sym w:font="Symbol" w:char="F03E"/>
            </w:r>
            <w:r>
              <w:t xml:space="preserve"> 1,0</w:t>
            </w:r>
          </w:p>
        </w:tc>
      </w:tr>
      <w:tr w:rsidR="003B7E7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</w:pPr>
            <w:r>
              <w:t>Wskaźnik piaskowy WP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sym w:font="Symbol" w:char="F03E"/>
            </w:r>
            <w:r>
              <w:t xml:space="preserve"> 35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t>od 25 do 35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sym w:font="Symbol" w:char="F03C"/>
            </w:r>
            <w:r>
              <w:t xml:space="preserve"> 25</w:t>
            </w:r>
          </w:p>
        </w:tc>
      </w:tr>
    </w:tbl>
    <w:p w:rsidR="003B7E7D" w:rsidRDefault="003B7E7D" w:rsidP="00342C6B">
      <w:pPr>
        <w:pStyle w:val="Standardowytekst"/>
        <w:numPr>
          <w:ilvl w:val="12"/>
          <w:numId w:val="0"/>
        </w:numPr>
      </w:pPr>
    </w:p>
    <w:p w:rsidR="003B7E7D" w:rsidRDefault="003B7E7D" w:rsidP="00342C6B">
      <w:pPr>
        <w:pStyle w:val="Nagwek1"/>
        <w:numPr>
          <w:ilvl w:val="12"/>
          <w:numId w:val="0"/>
        </w:numPr>
      </w:pPr>
      <w:bookmarkStart w:id="32" w:name="_Toc418996324"/>
      <w:bookmarkStart w:id="33" w:name="_Toc418996693"/>
      <w:bookmarkStart w:id="34" w:name="_Toc418997080"/>
      <w:bookmarkStart w:id="35" w:name="_Toc418998490"/>
      <w:bookmarkStart w:id="36" w:name="_Toc418998846"/>
      <w:bookmarkStart w:id="37" w:name="_Toc419000091"/>
      <w:bookmarkStart w:id="38" w:name="_Toc405615042"/>
      <w:r>
        <w:t>3. sprzęt</w:t>
      </w:r>
      <w:bookmarkEnd w:id="32"/>
      <w:bookmarkEnd w:id="33"/>
      <w:bookmarkEnd w:id="34"/>
      <w:bookmarkEnd w:id="35"/>
      <w:bookmarkEnd w:id="36"/>
      <w:bookmarkEnd w:id="37"/>
    </w:p>
    <w:p w:rsidR="003B7E7D" w:rsidRDefault="003B7E7D" w:rsidP="00342C6B">
      <w:pPr>
        <w:pStyle w:val="Nagwek2"/>
        <w:numPr>
          <w:ilvl w:val="12"/>
          <w:numId w:val="0"/>
        </w:numPr>
      </w:pPr>
      <w:r>
        <w:t>3.1. Ogólne wymagania dotyczące sprzętu</w:t>
      </w:r>
    </w:p>
    <w:p w:rsidR="003B7E7D" w:rsidRDefault="003B7E7D" w:rsidP="00342C6B">
      <w:pPr>
        <w:pStyle w:val="StylIwony"/>
        <w:numPr>
          <w:ilvl w:val="12"/>
          <w:numId w:val="0"/>
        </w:numPr>
        <w:spacing w:before="0" w:after="0"/>
      </w:pPr>
      <w:r>
        <w:rPr>
          <w:rFonts w:ascii="Times New Roman" w:hAnsi="Times New Roman"/>
          <w:sz w:val="20"/>
        </w:rPr>
        <w:tab/>
        <w:t xml:space="preserve">Ogólne wymagania dotyczące sprzętu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3.</w:t>
      </w:r>
    </w:p>
    <w:p w:rsidR="003B7E7D" w:rsidRDefault="003B7E7D" w:rsidP="00342C6B">
      <w:pPr>
        <w:pStyle w:val="Nagwek2"/>
        <w:numPr>
          <w:ilvl w:val="12"/>
          <w:numId w:val="0"/>
        </w:numPr>
      </w:pPr>
      <w:bookmarkStart w:id="39" w:name="_Toc407161190"/>
      <w:r>
        <w:t>3.2. Sprzęt do robót ziemnych</w:t>
      </w:r>
      <w:bookmarkEnd w:id="38"/>
      <w:bookmarkEnd w:id="39"/>
    </w:p>
    <w:p w:rsidR="003B7E7D" w:rsidRDefault="003B7E7D" w:rsidP="00342C6B">
      <w:pPr>
        <w:pStyle w:val="Standardowytekst"/>
        <w:numPr>
          <w:ilvl w:val="12"/>
          <w:numId w:val="0"/>
        </w:numPr>
      </w:pPr>
      <w:r>
        <w:tab/>
        <w:t>Wykonawca przystępujący do wykonania robót ziemnych powinien wykazać się możliwością korzystania z następującego sprzętu do:</w:t>
      </w:r>
    </w:p>
    <w:p w:rsidR="003B7E7D" w:rsidRDefault="003B7E7D" w:rsidP="00342C6B">
      <w:pPr>
        <w:pStyle w:val="Standardowytekst"/>
        <w:numPr>
          <w:ilvl w:val="0"/>
          <w:numId w:val="5"/>
        </w:numPr>
      </w:pPr>
      <w:r>
        <w:t>odspajania i wydobywania gruntów (narzędzia mechaniczne, młoty pneumatyczne, zrywarki, koparki, ładowarki, wiertarki mechaniczne itp.),</w:t>
      </w:r>
    </w:p>
    <w:p w:rsidR="003B7E7D" w:rsidRDefault="003B7E7D" w:rsidP="00342C6B">
      <w:pPr>
        <w:pStyle w:val="Standardowytekst"/>
        <w:numPr>
          <w:ilvl w:val="0"/>
          <w:numId w:val="5"/>
        </w:numPr>
      </w:pPr>
      <w:r>
        <w:t>jednoczesnego wydobywania i przemieszczania gruntów (spycharki, zgarniarki, równiarki, urządzenia do hydromechanizacji itp.),</w:t>
      </w:r>
    </w:p>
    <w:p w:rsidR="003B7E7D" w:rsidRDefault="003B7E7D" w:rsidP="00342C6B">
      <w:pPr>
        <w:pStyle w:val="Standardowytekst"/>
        <w:numPr>
          <w:ilvl w:val="0"/>
          <w:numId w:val="5"/>
        </w:numPr>
      </w:pPr>
      <w:r>
        <w:t>transportu mas ziemnych (samochody wywrotki, samochody skrzyniowe, taśmociągi itp.),</w:t>
      </w:r>
    </w:p>
    <w:p w:rsidR="003B7E7D" w:rsidRDefault="003B7E7D" w:rsidP="00342C6B">
      <w:pPr>
        <w:pStyle w:val="Standardowytekst"/>
        <w:numPr>
          <w:ilvl w:val="0"/>
          <w:numId w:val="5"/>
        </w:numPr>
      </w:pPr>
      <w:r>
        <w:t>sprzętu zagęszczającego (walce, ubijaki, płyty wibracyjne itp.).</w:t>
      </w:r>
    </w:p>
    <w:p w:rsidR="003B7E7D" w:rsidRDefault="003B7E7D">
      <w:pPr>
        <w:pStyle w:val="Standardowytekst"/>
      </w:pPr>
    </w:p>
    <w:p w:rsidR="003B7E7D" w:rsidRDefault="003B7E7D">
      <w:pPr>
        <w:rPr>
          <w:b/>
        </w:rPr>
      </w:pPr>
      <w:r>
        <w:rPr>
          <w:b/>
        </w:rPr>
        <w:t xml:space="preserve">3.3. Sprzęt do przenoszenia i układania </w:t>
      </w:r>
      <w:proofErr w:type="spellStart"/>
      <w:r>
        <w:rPr>
          <w:b/>
        </w:rPr>
        <w:t>geosyntetyków</w:t>
      </w:r>
      <w:proofErr w:type="spellEnd"/>
    </w:p>
    <w:p w:rsidR="003B7E7D" w:rsidRDefault="003B7E7D"/>
    <w:p w:rsidR="003B7E7D" w:rsidRDefault="003B7E7D">
      <w:pPr>
        <w:ind w:firstLine="709"/>
      </w:pPr>
      <w:r>
        <w:lastRenderedPageBreak/>
        <w:t xml:space="preserve">Do przenoszenia i układania </w:t>
      </w:r>
      <w:proofErr w:type="spellStart"/>
      <w:r>
        <w:t>geosyntetyków</w:t>
      </w:r>
      <w:proofErr w:type="spellEnd"/>
      <w:r>
        <w:t xml:space="preserve"> Wykonawca powinien używać odpowiedniego sprzętu zalecanego przez producenta. Wykonawca nie powinien stosować sprzętu mogącego spowodować uszkodzenie układanego materiału.</w:t>
      </w:r>
    </w:p>
    <w:p w:rsidR="003B7E7D" w:rsidRDefault="003B7E7D">
      <w:pPr>
        <w:pStyle w:val="Nagwek1"/>
        <w:spacing w:before="240"/>
      </w:pPr>
      <w:bookmarkStart w:id="40" w:name="_Toc405615043"/>
      <w:bookmarkStart w:id="41" w:name="_Toc407161191"/>
      <w:bookmarkStart w:id="42" w:name="_Toc418996325"/>
      <w:bookmarkStart w:id="43" w:name="_Toc418996694"/>
      <w:bookmarkStart w:id="44" w:name="_Toc418997081"/>
      <w:bookmarkStart w:id="45" w:name="_Toc418998491"/>
      <w:bookmarkStart w:id="46" w:name="_Toc418998847"/>
      <w:bookmarkStart w:id="47" w:name="_Toc419000092"/>
      <w:r>
        <w:t>4. transport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3B7E7D" w:rsidRDefault="003B7E7D">
      <w:pPr>
        <w:pStyle w:val="Nagwek2"/>
      </w:pPr>
      <w:bookmarkStart w:id="48" w:name="_Toc405615044"/>
      <w:bookmarkStart w:id="49" w:name="_Toc407161192"/>
      <w:r>
        <w:t>4.1. Ogólne wymagania dotyczące transportu</w:t>
      </w:r>
      <w:bookmarkEnd w:id="48"/>
      <w:bookmarkEnd w:id="49"/>
    </w:p>
    <w:p w:rsidR="003B7E7D" w:rsidRDefault="003B7E7D">
      <w:pPr>
        <w:pStyle w:val="Standardowytekst"/>
      </w:pPr>
      <w:r>
        <w:tab/>
        <w:t xml:space="preserve">Ogólne wymagania dotyczące transportu podano w SST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3B7E7D" w:rsidRDefault="003B7E7D">
      <w:pPr>
        <w:pStyle w:val="Nagwek2"/>
      </w:pPr>
      <w:bookmarkStart w:id="50" w:name="_Toc405615045"/>
      <w:bookmarkStart w:id="51" w:name="_Toc407161193"/>
      <w:r>
        <w:t>4.2. Transport gruntów</w:t>
      </w:r>
      <w:bookmarkEnd w:id="50"/>
      <w:bookmarkEnd w:id="51"/>
    </w:p>
    <w:p w:rsidR="003B7E7D" w:rsidRDefault="003B7E7D">
      <w:pPr>
        <w:pStyle w:val="Standardowytekst"/>
      </w:pPr>
      <w:r>
        <w:tab/>
        <w:t>Wybór środków transportowych oraz metod transportu powinien być dostosowany do rodzaju gruntu (materiału), jego objętości, sposobu odspajania i załadunku oraz do odległości transportu. Wydajność środków transportowych powinna być ponadto dostosowana do wydajności sprzętu stosowanego do urabiania i wbudowania gruntu (materiału).</w:t>
      </w:r>
    </w:p>
    <w:p w:rsidR="003B7E7D" w:rsidRDefault="003B7E7D">
      <w:pPr>
        <w:pStyle w:val="Standardowytekst"/>
        <w:spacing w:after="120"/>
      </w:pPr>
      <w:r>
        <w:tab/>
        <w:t>Zwiększenie odległości transportu ponad wartości zatwierdzone nie może być podstawą roszczeń Wykonawcy, dotyczących dodatkowej zapłaty za transport, o ile zwiększone odległości nie zostały wcześniej zaakceptowane na piśmie przez Inżyniera.</w:t>
      </w:r>
    </w:p>
    <w:p w:rsidR="003B7E7D" w:rsidRDefault="003B7E7D">
      <w:pPr>
        <w:rPr>
          <w:b/>
        </w:rPr>
      </w:pPr>
      <w:r>
        <w:rPr>
          <w:b/>
        </w:rPr>
        <w:t xml:space="preserve">4.3. Transport i składowanie </w:t>
      </w:r>
      <w:proofErr w:type="spellStart"/>
      <w:r>
        <w:rPr>
          <w:b/>
        </w:rPr>
        <w:t>geosyntetyków</w:t>
      </w:r>
      <w:proofErr w:type="spellEnd"/>
    </w:p>
    <w:p w:rsidR="003B7E7D" w:rsidRDefault="003B7E7D">
      <w:pPr>
        <w:spacing w:before="120"/>
        <w:ind w:firstLine="709"/>
      </w:pPr>
      <w:r>
        <w:t xml:space="preserve">Wykonawca powinien zadbać, aby transport, przenoszenie, przechowywanie i zabezpieczanie </w:t>
      </w:r>
      <w:proofErr w:type="spellStart"/>
      <w:r>
        <w:t>geosyntetyków</w:t>
      </w:r>
      <w:proofErr w:type="spellEnd"/>
      <w:r>
        <w:t xml:space="preserve"> były wykonywane w sposób nie powodujący mechanicznych lub chemicznych ich uszkodzeń. </w:t>
      </w:r>
      <w:proofErr w:type="spellStart"/>
      <w:r>
        <w:t>Geosyntetyki</w:t>
      </w:r>
      <w:proofErr w:type="spellEnd"/>
      <w:r>
        <w:t xml:space="preserve"> wrażliwe na światło słoneczne powinny pozostawać zakryte w czasie od ich wyprodukowania do wbudowania. </w:t>
      </w:r>
    </w:p>
    <w:p w:rsidR="003B7E7D" w:rsidRDefault="003B7E7D"/>
    <w:p w:rsidR="003B7E7D" w:rsidRDefault="003B7E7D">
      <w:pPr>
        <w:pStyle w:val="Standardowytekst"/>
        <w:spacing w:after="120"/>
      </w:pPr>
    </w:p>
    <w:p w:rsidR="003B7E7D" w:rsidRDefault="003B7E7D">
      <w:pPr>
        <w:pStyle w:val="Nagwek1"/>
      </w:pPr>
      <w:bookmarkStart w:id="52" w:name="_Toc405615046"/>
      <w:bookmarkStart w:id="53" w:name="_Toc407161194"/>
      <w:bookmarkStart w:id="54" w:name="_Toc418996326"/>
      <w:bookmarkStart w:id="55" w:name="_Toc418996695"/>
      <w:bookmarkStart w:id="56" w:name="_Toc418997082"/>
      <w:bookmarkStart w:id="57" w:name="_Toc418998492"/>
      <w:bookmarkStart w:id="58" w:name="_Toc418998848"/>
      <w:bookmarkStart w:id="59" w:name="_Toc419000093"/>
      <w:r>
        <w:t>5. wykonanie robót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3B7E7D" w:rsidRDefault="003B7E7D">
      <w:pPr>
        <w:pStyle w:val="Nagwek2"/>
      </w:pPr>
      <w:bookmarkStart w:id="60" w:name="_Toc405615047"/>
      <w:bookmarkStart w:id="61" w:name="_Toc407161195"/>
      <w:r>
        <w:t>5.1. Ogólne zasady wykonania robót</w:t>
      </w:r>
      <w:bookmarkEnd w:id="60"/>
      <w:bookmarkEnd w:id="61"/>
    </w:p>
    <w:p w:rsidR="003B7E7D" w:rsidRDefault="003B7E7D">
      <w:pPr>
        <w:pStyle w:val="Standardowytekst"/>
      </w:pPr>
      <w:r>
        <w:tab/>
        <w:t xml:space="preserve">Ogólne zasady wykonania robót podano w SST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3B7E7D" w:rsidRDefault="003B7E7D">
      <w:pPr>
        <w:pStyle w:val="Nagwek2"/>
      </w:pPr>
      <w:bookmarkStart w:id="62" w:name="_Toc405615048"/>
      <w:bookmarkStart w:id="63" w:name="_Toc407161196"/>
      <w:r>
        <w:t>5.2. Dokładność wykonania wykopów i nasypów</w:t>
      </w:r>
      <w:bookmarkEnd w:id="62"/>
      <w:bookmarkEnd w:id="63"/>
    </w:p>
    <w:p w:rsidR="003B7E7D" w:rsidRDefault="003B7E7D">
      <w:pPr>
        <w:pStyle w:val="Standardowytekst"/>
      </w:pPr>
      <w:r>
        <w:tab/>
        <w:t xml:space="preserve">Odchylenie osi korpusu ziemnego, w wykopie lub nasypie, od osi projektowanej nie powinny być większe niż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0 cm"/>
        </w:smartTagPr>
        <w:r>
          <w:t xml:space="preserve">10 </w:t>
        </w:r>
        <w:proofErr w:type="spellStart"/>
        <w:r>
          <w:t>cm</w:t>
        </w:r>
      </w:smartTag>
      <w:proofErr w:type="spellEnd"/>
      <w:r>
        <w:t xml:space="preserve">. Różnica w stosunku do projektowanych rzędnych robót ziemnych nie może przekraczać +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i </w:t>
      </w:r>
      <w:smartTag w:uri="urn:schemas-microsoft-com:office:smarttags" w:element="metricconverter">
        <w:smartTagPr>
          <w:attr w:name="ProductID" w:val="-3 cm"/>
        </w:smartTagPr>
        <w:r>
          <w:t xml:space="preserve">-3 </w:t>
        </w:r>
        <w:proofErr w:type="spellStart"/>
        <w:r>
          <w:t>cm</w:t>
        </w:r>
      </w:smartTag>
      <w:proofErr w:type="spellEnd"/>
      <w:r>
        <w:t>.</w:t>
      </w:r>
    </w:p>
    <w:p w:rsidR="003B7E7D" w:rsidRDefault="003B7E7D">
      <w:pPr>
        <w:pStyle w:val="Standardowytekst"/>
      </w:pPr>
      <w:r>
        <w:tab/>
        <w:t xml:space="preserve">Szerokość górnej powierzchni korpusu nie może różnić się od szerokości projektowanej o więcej niż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>, a krawędzie korony drogi nie powinny mieć wyraźnych załamań w planie.</w:t>
      </w:r>
    </w:p>
    <w:p w:rsidR="003B7E7D" w:rsidRDefault="003B7E7D">
      <w:pPr>
        <w:pStyle w:val="Standardowytekst"/>
      </w:pPr>
      <w:r>
        <w:tab/>
        <w:t xml:space="preserve">Pochylenie skarp nie powinno różnić się od projektowanego o więcej niż 10% jego wartości wyrażonej tangensem kąta. Maksymalne nierówności na powierzchni skarp nie powinny przekraczać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 przy pomiarze łatą 3-metrową, albo powinny być spełnione inne wymagania dotyczące nierówności, wynikające ze sposobu umocnienia powierzchni skarpy.</w:t>
      </w:r>
    </w:p>
    <w:p w:rsidR="003B7E7D" w:rsidRDefault="003B7E7D">
      <w:pPr>
        <w:pStyle w:val="Standardowytekst"/>
        <w:spacing w:after="120"/>
      </w:pPr>
      <w:r>
        <w:tab/>
        <w:t>W gruntach skalistych wymagania, dotyczące równości powierzchni dna wykopu oraz pochylenia i równości skarp, powinny być określone w dokumentacji projektowej i SST.</w:t>
      </w:r>
    </w:p>
    <w:p w:rsidR="003B7E7D" w:rsidRDefault="003B7E7D">
      <w:pPr>
        <w:pStyle w:val="Nagwek2"/>
      </w:pPr>
      <w:bookmarkStart w:id="64" w:name="_Toc405615049"/>
      <w:bookmarkStart w:id="65" w:name="_Toc407161197"/>
      <w:r>
        <w:t>5.3. Odwodnienia pasa robót ziemnych</w:t>
      </w:r>
      <w:bookmarkEnd w:id="64"/>
      <w:bookmarkEnd w:id="65"/>
    </w:p>
    <w:p w:rsidR="003B7E7D" w:rsidRDefault="003B7E7D">
      <w:pPr>
        <w:pStyle w:val="Standardowytekst"/>
      </w:pPr>
      <w:r>
        <w:tab/>
        <w:t xml:space="preserve">Niezależnie od budowy urządzeń, stanowiących elementy systemów odwadniających, ujętych w dokumentacji projektowej, Wykonawca powinien, o ile wymagają tego warunki terenowe, wykonać urządzenia, które zapewnią odprowadzenie wód gruntowych i opadowych poza obszar robót ziemnych tak, aby zabezpieczyć grunty przed </w:t>
      </w:r>
      <w:proofErr w:type="spellStart"/>
      <w:r>
        <w:t>przewilgoceniem</w:t>
      </w:r>
      <w:proofErr w:type="spellEnd"/>
      <w:r>
        <w:t xml:space="preserve"> i nawodnieniem. Wykonawca ma obowiązek takiego wykonywania wykopów i nasypów, aby powierzchniom gruntu nadawać w całym okresie trwania robót spadki, zapewniające prawidłowe odwodnienie.</w:t>
      </w:r>
    </w:p>
    <w:p w:rsidR="003B7E7D" w:rsidRDefault="003B7E7D">
      <w:pPr>
        <w:pStyle w:val="Standardowytekst"/>
      </w:pPr>
      <w:r>
        <w:tab/>
        <w:t>Jeżeli, wskutek zaniedbania Wykonawcy, grunty ulegną nawodnieniu, które spowoduje ich długotrwałą nieprzydatność, Wykonawca ma obowiązek usunięcia tych gruntów i zastąpienia ich gruntami przydatnymi na własny koszt bez jakichkolwiek dodatkowych opłat ze strony Zamawiającego za te czynności, jak również za dowieziony grunt.</w:t>
      </w:r>
    </w:p>
    <w:p w:rsidR="003B7E7D" w:rsidRDefault="003B7E7D">
      <w:pPr>
        <w:pStyle w:val="Standardowytekst"/>
      </w:pPr>
      <w:r>
        <w:tab/>
        <w:t>Odprowadzenie wód do istniejących zbiorników naturalnych i urządzeń odwadniających musi być poprzedzone uzgodnieniem z odpowiednimi instytucjami.</w:t>
      </w:r>
    </w:p>
    <w:p w:rsidR="003B7E7D" w:rsidRDefault="003B7E7D">
      <w:pPr>
        <w:pStyle w:val="Nagwek2"/>
      </w:pPr>
      <w:bookmarkStart w:id="66" w:name="_Toc405615050"/>
      <w:bookmarkStart w:id="67" w:name="_Toc407161198"/>
      <w:r>
        <w:lastRenderedPageBreak/>
        <w:t>5.4. Odwodnienie wykopów</w:t>
      </w:r>
      <w:bookmarkEnd w:id="66"/>
      <w:bookmarkEnd w:id="67"/>
    </w:p>
    <w:p w:rsidR="003B7E7D" w:rsidRDefault="003B7E7D">
      <w:pPr>
        <w:pStyle w:val="Standardowytekst"/>
      </w:pPr>
      <w:r>
        <w:tab/>
        <w:t>Technologia wykonania wykopu musi umożliwiać jego prawidłowe odwodnienie w całym okresie trwania robót ziemnych. Wykonanie wykopów powinno postępować w kierunku podnoszenia się niwelety.</w:t>
      </w:r>
    </w:p>
    <w:p w:rsidR="003B7E7D" w:rsidRDefault="003B7E7D">
      <w:pPr>
        <w:pStyle w:val="Standardowytekst"/>
      </w:pPr>
      <w:r>
        <w:tab/>
        <w:t>W czasie robót ziemnych należy zachować odpowiedni spadek podłużny i nadać przekrojom poprzecznym spadki, umożliwiające szybki odpływ wód z wykopu. O ile w dokumentacji projektowej nie zawarto innego wymagania, spadek poprzeczny nie powinien być mniejszy niż 4% w przypadku gruntów spoistych i nie mniejszy niż 2% w przypadku gruntów niespoistych. Należy uwzględnić ewentualny wpływ kolejności i sposobu odspajania gruntów oraz terminów wykonywania innych robót na spełnienie wymagań dotyczących prawidłowego odwodnienia wykopu w czasie postępu robót ziemnych.</w:t>
      </w:r>
    </w:p>
    <w:p w:rsidR="003B7E7D" w:rsidRDefault="003B7E7D">
      <w:pPr>
        <w:pStyle w:val="Standardowytekst"/>
      </w:pPr>
      <w:r>
        <w:tab/>
        <w:t>Źródła wody, odsłonięte przy wykonywaniu wykopów, należy ująć w rowy i /lub dreny. Wody opadowe i gruntowe należy odprowadzić poza teren pasa robót ziemnych.</w:t>
      </w:r>
    </w:p>
    <w:p w:rsidR="003B7E7D" w:rsidRDefault="003B7E7D">
      <w:pPr>
        <w:pStyle w:val="Nagwek2"/>
      </w:pPr>
      <w:bookmarkStart w:id="68" w:name="_Toc405615051"/>
      <w:bookmarkStart w:id="69" w:name="_Toc407161199"/>
      <w:r>
        <w:t>5.5. Rowy</w:t>
      </w:r>
      <w:bookmarkEnd w:id="68"/>
      <w:bookmarkEnd w:id="69"/>
    </w:p>
    <w:p w:rsidR="003B7E7D" w:rsidRDefault="003B7E7D">
      <w:pPr>
        <w:pStyle w:val="Standardowytekst"/>
        <w:spacing w:after="120"/>
      </w:pPr>
      <w:r>
        <w:tab/>
        <w:t xml:space="preserve">Rowy boczne oraz rowy stokowe powinny być wykonane zgodnie z dokumentacją projektową i SST. Szerokość dna i głębokość rowu nie mogą różnić się od wymiarów projektowanych o więcej niż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5 cm"/>
        </w:smartTagPr>
        <w:r>
          <w:t xml:space="preserve">5 </w:t>
        </w:r>
        <w:proofErr w:type="spellStart"/>
        <w:r>
          <w:t>cm</w:t>
        </w:r>
      </w:smartTag>
      <w:proofErr w:type="spellEnd"/>
      <w:r>
        <w:t>. Dokładność wykonania skarp rowów powinna być zgodna z określoną dla skarp wykopów w SST D-02.01.01.</w:t>
      </w:r>
    </w:p>
    <w:p w:rsidR="003B7E7D" w:rsidRDefault="003B7E7D">
      <w:pPr>
        <w:pStyle w:val="Standardowytekst"/>
        <w:spacing w:after="120"/>
        <w:rPr>
          <w:b/>
        </w:rPr>
      </w:pPr>
      <w:r>
        <w:rPr>
          <w:b/>
        </w:rPr>
        <w:t xml:space="preserve">5.6. Układanie </w:t>
      </w:r>
      <w:proofErr w:type="spellStart"/>
      <w:r>
        <w:rPr>
          <w:b/>
        </w:rPr>
        <w:t>geosyntetyków</w:t>
      </w:r>
      <w:proofErr w:type="spellEnd"/>
    </w:p>
    <w:p w:rsidR="003B7E7D" w:rsidRDefault="003B7E7D">
      <w:pPr>
        <w:ind w:firstLine="709"/>
      </w:pPr>
      <w:proofErr w:type="spellStart"/>
      <w:r>
        <w:t>Geosyntetyki</w:t>
      </w:r>
      <w:proofErr w:type="spellEnd"/>
      <w:r>
        <w:t xml:space="preserve"> należy układać łącząc je na zakład zgodnie z dokumentacją projektową i SST. Jeżeli dokumentacja projektowa i SST nie podają inaczej, przylegające do siebie arkusze lub pasy </w:t>
      </w:r>
      <w:proofErr w:type="spellStart"/>
      <w:r>
        <w:t>geosyntetyków</w:t>
      </w:r>
      <w:proofErr w:type="spellEnd"/>
      <w:r>
        <w:t xml:space="preserve"> należy układać z zakładem (i kotwieniem) zgodnie z instrukcją producenta lub decyzją projektanta.</w:t>
      </w:r>
    </w:p>
    <w:p w:rsidR="003B7E7D" w:rsidRDefault="003B7E7D">
      <w:pPr>
        <w:ind w:firstLine="709"/>
      </w:pPr>
      <w:r>
        <w:t xml:space="preserve">W przypadku uszkodzenia </w:t>
      </w:r>
      <w:proofErr w:type="spellStart"/>
      <w:r>
        <w:t>geosyntetyku</w:t>
      </w:r>
      <w:proofErr w:type="spellEnd"/>
      <w:r>
        <w:t xml:space="preserve">, należy w uzgodnieniu z Inżynierem, przykryć to uszkodzenie pasami </w:t>
      </w:r>
      <w:proofErr w:type="spellStart"/>
      <w:r>
        <w:t>geosyntetyku</w:t>
      </w:r>
      <w:proofErr w:type="spellEnd"/>
      <w:r>
        <w:t xml:space="preserve"> na długości i szerokości większej o </w:t>
      </w:r>
      <w:smartTag w:uri="urn:schemas-microsoft-com:office:smarttags" w:element="metricconverter">
        <w:smartTagPr>
          <w:attr w:name="ProductID" w:val="90 cm"/>
        </w:smartTagPr>
        <w:r>
          <w:t>90 cm</w:t>
        </w:r>
      </w:smartTag>
      <w:r>
        <w:t xml:space="preserve"> od obszaru uszkodzonego.</w:t>
      </w:r>
    </w:p>
    <w:p w:rsidR="003B7E7D" w:rsidRDefault="003B7E7D">
      <w:pPr>
        <w:ind w:firstLine="709"/>
      </w:pPr>
      <w:r>
        <w:t xml:space="preserve">Warstwa gruntu, na której przewiduje się ułożenie </w:t>
      </w:r>
      <w:proofErr w:type="spellStart"/>
      <w:r>
        <w:t>geosyntetyku</w:t>
      </w:r>
      <w:proofErr w:type="spellEnd"/>
      <w:r>
        <w:t xml:space="preserve"> powinna być równa i bez ostrych występów, mogących spowodować uszkodzenie </w:t>
      </w:r>
      <w:proofErr w:type="spellStart"/>
      <w:r>
        <w:t>geosyntetyku</w:t>
      </w:r>
      <w:proofErr w:type="spellEnd"/>
      <w:r>
        <w:t xml:space="preserve"> w czasie układania lub pracy. Metoda układania powinna zapewnić przyleganie </w:t>
      </w:r>
      <w:proofErr w:type="spellStart"/>
      <w:r>
        <w:t>geosyntetyku</w:t>
      </w:r>
      <w:proofErr w:type="spellEnd"/>
      <w:r>
        <w:t xml:space="preserve"> do warstwy, na której jest układana, na całej jej powierzchni. </w:t>
      </w:r>
      <w:proofErr w:type="spellStart"/>
      <w:r>
        <w:t>Geosyntetyków</w:t>
      </w:r>
      <w:proofErr w:type="spellEnd"/>
      <w:r>
        <w:t xml:space="preserve"> nie należy naciągać lub powodować ich zawieszenia na wzgórkach (garbach) lub nad dołami. Nie dopuszcza się ruchu maszyn budowlanych bezpośrednio na ułożonych </w:t>
      </w:r>
      <w:proofErr w:type="spellStart"/>
      <w:r>
        <w:t>geosyntetykach</w:t>
      </w:r>
      <w:proofErr w:type="spellEnd"/>
      <w:r>
        <w:t>. Należy je przykryć gruntem nasypowym niezwłocznie po ułożeniu.</w:t>
      </w:r>
    </w:p>
    <w:p w:rsidR="003B7E7D" w:rsidRDefault="003B7E7D">
      <w:pPr>
        <w:pStyle w:val="Nagwek1"/>
        <w:spacing w:before="240"/>
      </w:pPr>
      <w:bookmarkStart w:id="70" w:name="_Toc405615052"/>
      <w:bookmarkStart w:id="71" w:name="_Toc407161200"/>
      <w:bookmarkStart w:id="72" w:name="_Toc418996327"/>
      <w:bookmarkStart w:id="73" w:name="_Toc418996696"/>
      <w:bookmarkStart w:id="74" w:name="_Toc418997083"/>
      <w:bookmarkStart w:id="75" w:name="_Toc418998493"/>
      <w:bookmarkStart w:id="76" w:name="_Toc418998849"/>
      <w:bookmarkStart w:id="77" w:name="_Toc419000094"/>
      <w:r>
        <w:t>6. kontrola jakości robót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3B7E7D" w:rsidRDefault="003B7E7D">
      <w:pPr>
        <w:pStyle w:val="Nagwek2"/>
      </w:pPr>
      <w:bookmarkStart w:id="78" w:name="_Toc405615053"/>
      <w:bookmarkStart w:id="79" w:name="_Toc407161201"/>
      <w:r>
        <w:t>6.1. Ogólne zasady kontroli jakości robót</w:t>
      </w:r>
      <w:bookmarkEnd w:id="78"/>
      <w:bookmarkEnd w:id="79"/>
    </w:p>
    <w:p w:rsidR="003B7E7D" w:rsidRDefault="003B7E7D">
      <w:pPr>
        <w:pStyle w:val="Standardowytekst"/>
      </w:pPr>
      <w:r>
        <w:t xml:space="preserve">         Ogólne zasady kontroli jakości robót podano w SST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3B7E7D" w:rsidRDefault="003B7E7D">
      <w:pPr>
        <w:pStyle w:val="Nagwek2"/>
      </w:pPr>
      <w:bookmarkStart w:id="80" w:name="_Toc405615054"/>
      <w:bookmarkStart w:id="81" w:name="_Toc407161202"/>
      <w:r>
        <w:t>6.2. Badania i pomiary w czasie wykonywania robót ziemnych</w:t>
      </w:r>
      <w:bookmarkEnd w:id="80"/>
      <w:bookmarkEnd w:id="81"/>
    </w:p>
    <w:p w:rsidR="003B7E7D" w:rsidRDefault="003B7E7D">
      <w:pPr>
        <w:pStyle w:val="Standardowytekst"/>
        <w:keepNext/>
      </w:pPr>
      <w:r>
        <w:rPr>
          <w:b/>
        </w:rPr>
        <w:t xml:space="preserve">6.2.1. </w:t>
      </w:r>
      <w:r>
        <w:t>Sprawdzenie odwodnienia</w:t>
      </w:r>
    </w:p>
    <w:p w:rsidR="003B7E7D" w:rsidRDefault="003B7E7D">
      <w:pPr>
        <w:pStyle w:val="Standardowytekst"/>
      </w:pPr>
      <w:r>
        <w:tab/>
        <w:t xml:space="preserve">Sprawdzenie odwodnienia korpusu ziemnego polega na kontroli zgodności z wymaganiami specyfikacji określonymi w </w:t>
      </w:r>
      <w:proofErr w:type="spellStart"/>
      <w:r>
        <w:t>pkcie</w:t>
      </w:r>
      <w:proofErr w:type="spellEnd"/>
      <w:r>
        <w:t xml:space="preserve"> 5 oraz z dokumentacją projektową.</w:t>
      </w:r>
    </w:p>
    <w:p w:rsidR="003B7E7D" w:rsidRDefault="003B7E7D">
      <w:pPr>
        <w:pStyle w:val="Standardowytekst"/>
      </w:pPr>
      <w:r>
        <w:tab/>
        <w:t>Szczególną uwagę należy zwrócić na:</w:t>
      </w:r>
    </w:p>
    <w:p w:rsidR="003B7E7D" w:rsidRDefault="003B7E7D">
      <w:pPr>
        <w:pStyle w:val="Standardowytekst"/>
      </w:pPr>
      <w:r>
        <w:t>- właściwe ujęcie i odprowadzenie wód opadowych,</w:t>
      </w:r>
    </w:p>
    <w:p w:rsidR="003B7E7D" w:rsidRDefault="003B7E7D">
      <w:pPr>
        <w:pStyle w:val="Standardowytekst"/>
      </w:pPr>
      <w:r>
        <w:t>- właściwe ujęcie i odprowadzenie wysięków wodnych.</w:t>
      </w:r>
    </w:p>
    <w:p w:rsidR="003B7E7D" w:rsidRDefault="003B7E7D">
      <w:pPr>
        <w:pStyle w:val="Standardowytekst"/>
        <w:spacing w:before="120" w:after="120"/>
      </w:pPr>
      <w:r>
        <w:rPr>
          <w:b/>
        </w:rPr>
        <w:t xml:space="preserve">6.2.2. </w:t>
      </w:r>
      <w:r>
        <w:t>Sprawdzenie jakości wykonania robót</w:t>
      </w:r>
    </w:p>
    <w:p w:rsidR="003B7E7D" w:rsidRDefault="003B7E7D">
      <w:pPr>
        <w:pStyle w:val="Standardowytekst"/>
      </w:pPr>
      <w:r>
        <w:tab/>
        <w:t xml:space="preserve">Czynności wchodzące w zakres sprawdzenia jakości wykonania robót określono w </w:t>
      </w:r>
      <w:proofErr w:type="spellStart"/>
      <w:r>
        <w:t>pkcie</w:t>
      </w:r>
      <w:proofErr w:type="spellEnd"/>
      <w:r>
        <w:t xml:space="preserve"> 6 SST D-02.01.01, D-02.02.01 oraz D-02.03.01.</w:t>
      </w:r>
    </w:p>
    <w:p w:rsidR="003B7E7D" w:rsidRDefault="003B7E7D">
      <w:pPr>
        <w:pStyle w:val="Nagwek2"/>
      </w:pPr>
      <w:bookmarkStart w:id="82" w:name="_Toc405615055"/>
      <w:bookmarkStart w:id="83" w:name="_Toc407161203"/>
      <w:r>
        <w:t>6.3. Badania do odbioru korpusu ziemnego</w:t>
      </w:r>
      <w:bookmarkEnd w:id="82"/>
      <w:bookmarkEnd w:id="83"/>
    </w:p>
    <w:p w:rsidR="003B7E7D" w:rsidRDefault="003B7E7D">
      <w:pPr>
        <w:pStyle w:val="Standardowytekst"/>
        <w:spacing w:after="120"/>
      </w:pPr>
      <w:r>
        <w:rPr>
          <w:b/>
        </w:rPr>
        <w:t xml:space="preserve">6.3.1. </w:t>
      </w:r>
      <w:r>
        <w:t>Częstotliwość oraz zakres badań i pomiarów</w:t>
      </w:r>
    </w:p>
    <w:p w:rsidR="003B7E7D" w:rsidRDefault="003B7E7D">
      <w:pPr>
        <w:pStyle w:val="Standardowytekst"/>
      </w:pPr>
      <w:r>
        <w:tab/>
        <w:t>Częstotliwość oraz zakres badań i pomiarów do odbioru korpusu ziemnego podaje tablica 2.</w:t>
      </w:r>
    </w:p>
    <w:p w:rsidR="003B7E7D" w:rsidRDefault="003B7E7D">
      <w:pPr>
        <w:pStyle w:val="Standardowytekst"/>
        <w:spacing w:before="120" w:after="120"/>
      </w:pPr>
      <w:r>
        <w:t>Tablica 2. Częstotliwość oraz zakres badań i pomiarów wykonanych robót ziemnych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500"/>
        <w:gridCol w:w="4514"/>
      </w:tblGrid>
      <w:tr w:rsidR="003B7E7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spacing w:before="120" w:after="120"/>
              <w:jc w:val="center"/>
            </w:pPr>
            <w:r>
              <w:t>Lp.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spacing w:before="120" w:after="120"/>
              <w:jc w:val="center"/>
            </w:pPr>
            <w:r>
              <w:t>Badana cecha</w:t>
            </w:r>
          </w:p>
        </w:tc>
        <w:tc>
          <w:tcPr>
            <w:tcW w:w="4514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spacing w:before="120" w:after="120"/>
              <w:jc w:val="center"/>
            </w:pPr>
            <w:r>
              <w:t>Minimalna częstotliwość badań i pomiarów</w:t>
            </w:r>
          </w:p>
        </w:tc>
      </w:tr>
      <w:tr w:rsidR="003B7E7D"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jc w:val="center"/>
            </w:pPr>
            <w:r>
              <w:lastRenderedPageBreak/>
              <w:t>1</w:t>
            </w:r>
          </w:p>
        </w:tc>
        <w:tc>
          <w:tcPr>
            <w:tcW w:w="2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jc w:val="left"/>
            </w:pPr>
            <w:r>
              <w:t>Pomiar szerokości korpusu ziemnego</w:t>
            </w:r>
          </w:p>
        </w:tc>
        <w:tc>
          <w:tcPr>
            <w:tcW w:w="4514" w:type="dxa"/>
            <w:tcBorders>
              <w:right w:val="single" w:sz="6" w:space="0" w:color="auto"/>
            </w:tcBorders>
          </w:tcPr>
          <w:p w:rsidR="003B7E7D" w:rsidRDefault="003B7E7D">
            <w:pPr>
              <w:pStyle w:val="Standardowytekst"/>
            </w:pPr>
            <w:r>
              <w:t xml:space="preserve">Pomiar taśmą, szablonem, łatą o długości </w:t>
            </w:r>
            <w:smartTag w:uri="urn:schemas-microsoft-com:office:smarttags" w:element="metricconverter">
              <w:smartTagPr>
                <w:attr w:name="ProductID" w:val="3 m"/>
              </w:smartTagPr>
              <w:r>
                <w:t>3 m</w:t>
              </w:r>
            </w:smartTag>
            <w:r>
              <w:t xml:space="preserve"> i poziomicą lub niwelatorem, w odstępach co </w:t>
            </w:r>
            <w:smartTag w:uri="urn:schemas-microsoft-com:office:smarttags" w:element="metricconverter">
              <w:smartTagPr>
                <w:attr w:name="ProductID" w:val="200 m"/>
              </w:smartTagPr>
              <w:r>
                <w:t>200 m</w:t>
              </w:r>
            </w:smartTag>
            <w:r>
              <w:t xml:space="preserve"> na</w:t>
            </w:r>
          </w:p>
        </w:tc>
      </w:tr>
      <w:tr w:rsidR="003B7E7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jc w:val="center"/>
            </w:pPr>
            <w:r>
              <w:t>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jc w:val="left"/>
            </w:pPr>
            <w:r>
              <w:t>Pomiar szerokości dna rowów</w:t>
            </w:r>
          </w:p>
        </w:tc>
        <w:tc>
          <w:tcPr>
            <w:tcW w:w="4514" w:type="dxa"/>
            <w:tcBorders>
              <w:right w:val="single" w:sz="6" w:space="0" w:color="auto"/>
            </w:tcBorders>
          </w:tcPr>
          <w:p w:rsidR="003B7E7D" w:rsidRDefault="003B7E7D">
            <w:pPr>
              <w:pStyle w:val="Standardowytekst"/>
            </w:pPr>
            <w:r>
              <w:t xml:space="preserve">prostych, w punktach głównych łuku, co </w:t>
            </w:r>
            <w:smartTag w:uri="urn:schemas-microsoft-com:office:smarttags" w:element="metricconverter">
              <w:smartTagPr>
                <w:attr w:name="ProductID" w:val="100 m"/>
              </w:smartTagPr>
              <w:r>
                <w:t>100 m</w:t>
              </w:r>
            </w:smartTag>
            <w:r>
              <w:t xml:space="preserve"> na łukach o R </w:t>
            </w:r>
            <w:r>
              <w:sym w:font="Symbol" w:char="F0B3"/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100 m"/>
              </w:smartTagPr>
              <w:r>
                <w:t>100 m</w:t>
              </w:r>
            </w:smartTag>
            <w:r>
              <w:t xml:space="preserve"> co </w:t>
            </w:r>
            <w:smartTag w:uri="urn:schemas-microsoft-com:office:smarttags" w:element="metricconverter">
              <w:smartTagPr>
                <w:attr w:name="ProductID" w:val="50 m"/>
              </w:smartTagPr>
              <w:r>
                <w:t>50 m</w:t>
              </w:r>
            </w:smartTag>
            <w:r>
              <w:t xml:space="preserve"> na łukach o R </w:t>
            </w:r>
            <w:r>
              <w:sym w:font="Symbol" w:char="F03C"/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100 m"/>
              </w:smartTagPr>
              <w:r>
                <w:t>100 m</w:t>
              </w:r>
            </w:smartTag>
          </w:p>
        </w:tc>
      </w:tr>
      <w:tr w:rsidR="003B7E7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jc w:val="center"/>
            </w:pPr>
            <w:r>
              <w:t>3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jc w:val="left"/>
            </w:pPr>
            <w:r>
              <w:t>Pomiar rzędnych powierzchni korpusu ziemnego</w:t>
            </w:r>
          </w:p>
        </w:tc>
        <w:tc>
          <w:tcPr>
            <w:tcW w:w="4514" w:type="dxa"/>
            <w:tcBorders>
              <w:right w:val="single" w:sz="6" w:space="0" w:color="auto"/>
            </w:tcBorders>
          </w:tcPr>
          <w:p w:rsidR="003B7E7D" w:rsidRDefault="003B7E7D">
            <w:pPr>
              <w:pStyle w:val="Standardowytekst"/>
            </w:pPr>
            <w:r>
              <w:t>oraz w miejscach, które budzą wątpliwości</w:t>
            </w:r>
          </w:p>
        </w:tc>
      </w:tr>
      <w:tr w:rsidR="003B7E7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jc w:val="center"/>
            </w:pPr>
            <w:r>
              <w:t>4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</w:pPr>
            <w:r>
              <w:t>Pomiar pochylenia skarp</w:t>
            </w:r>
          </w:p>
        </w:tc>
        <w:tc>
          <w:tcPr>
            <w:tcW w:w="4514" w:type="dxa"/>
            <w:tcBorders>
              <w:right w:val="single" w:sz="6" w:space="0" w:color="auto"/>
            </w:tcBorders>
          </w:tcPr>
          <w:p w:rsidR="003B7E7D" w:rsidRDefault="003B7E7D">
            <w:pPr>
              <w:pStyle w:val="Standardowytekst"/>
            </w:pPr>
          </w:p>
        </w:tc>
      </w:tr>
      <w:tr w:rsidR="003B7E7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jc w:val="center"/>
            </w:pPr>
            <w:r>
              <w:t>5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jc w:val="left"/>
            </w:pPr>
            <w:r>
              <w:t>Pomiar równości powierzchni korpusu</w:t>
            </w:r>
          </w:p>
        </w:tc>
        <w:tc>
          <w:tcPr>
            <w:tcW w:w="4514" w:type="dxa"/>
            <w:tcBorders>
              <w:right w:val="single" w:sz="6" w:space="0" w:color="auto"/>
            </w:tcBorders>
          </w:tcPr>
          <w:p w:rsidR="003B7E7D" w:rsidRDefault="003B7E7D">
            <w:pPr>
              <w:pStyle w:val="Standardowytekst"/>
            </w:pPr>
          </w:p>
        </w:tc>
      </w:tr>
      <w:tr w:rsidR="003B7E7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jc w:val="center"/>
            </w:pPr>
            <w:r>
              <w:t>6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</w:pPr>
            <w:r>
              <w:t>Pomiar równości skarp</w:t>
            </w:r>
          </w:p>
        </w:tc>
        <w:tc>
          <w:tcPr>
            <w:tcW w:w="4514" w:type="dxa"/>
            <w:tcBorders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</w:pPr>
          </w:p>
        </w:tc>
      </w:tr>
      <w:tr w:rsidR="003B7E7D"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jc w:val="center"/>
            </w:pPr>
            <w:r>
              <w:t>7</w:t>
            </w:r>
          </w:p>
        </w:tc>
        <w:tc>
          <w:tcPr>
            <w:tcW w:w="2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</w:pPr>
            <w:r>
              <w:t>Pomiar spadku podłużnego powierzchni korpusu lub dna rowu</w:t>
            </w:r>
          </w:p>
        </w:tc>
        <w:tc>
          <w:tcPr>
            <w:tcW w:w="4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</w:pPr>
            <w:r>
              <w:t xml:space="preserve">Pomiar niwelatorem rzędnych w odstępach co </w:t>
            </w:r>
            <w:smartTag w:uri="urn:schemas-microsoft-com:office:smarttags" w:element="metricconverter">
              <w:smartTagPr>
                <w:attr w:name="ProductID" w:val="200 m"/>
              </w:smartTagPr>
              <w:r>
                <w:t>200 m</w:t>
              </w:r>
            </w:smartTag>
            <w:r>
              <w:t xml:space="preserve"> oraz w punktach wątpliwych</w:t>
            </w:r>
          </w:p>
        </w:tc>
      </w:tr>
      <w:tr w:rsidR="003B7E7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jc w:val="center"/>
            </w:pPr>
            <w:r>
              <w:t>8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</w:pPr>
            <w:r>
              <w:t>Badanie zagęszczenia gruntu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</w:pPr>
            <w:r>
              <w:t xml:space="preserve">Wskaźnik zagęszczenia określać dla każdej ułożonej warstwy lecz nie rzadziej niż w trzech punktach na </w:t>
            </w:r>
            <w:smartTag w:uri="urn:schemas-microsoft-com:office:smarttags" w:element="metricconverter">
              <w:smartTagPr>
                <w:attr w:name="ProductID" w:val="1000 m2"/>
              </w:smartTagPr>
              <w:r>
                <w:t>1000 m</w:t>
              </w:r>
              <w:r>
                <w:rPr>
                  <w:vertAlign w:val="superscript"/>
                </w:rPr>
                <w:t>2</w:t>
              </w:r>
            </w:smartTag>
            <w:r>
              <w:t xml:space="preserve"> warstwy</w:t>
            </w:r>
          </w:p>
        </w:tc>
      </w:tr>
    </w:tbl>
    <w:p w:rsidR="003B7E7D" w:rsidRDefault="003B7E7D">
      <w:pPr>
        <w:pStyle w:val="Standardowytekst"/>
      </w:pPr>
    </w:p>
    <w:p w:rsidR="003B7E7D" w:rsidRDefault="003B7E7D">
      <w:pPr>
        <w:pStyle w:val="Standardowytekst"/>
        <w:spacing w:before="120" w:after="120"/>
      </w:pPr>
      <w:r>
        <w:rPr>
          <w:b/>
        </w:rPr>
        <w:t xml:space="preserve">6.3.2. </w:t>
      </w:r>
      <w:r>
        <w:t>Szerokość korpusu ziemnego</w:t>
      </w:r>
    </w:p>
    <w:p w:rsidR="003B7E7D" w:rsidRDefault="003B7E7D">
      <w:pPr>
        <w:pStyle w:val="Standardowytekst"/>
      </w:pPr>
      <w:r>
        <w:tab/>
        <w:t xml:space="preserve">Szerokość korpusu ziemnego nie może różnić się od szerokości projektowanej o więcej niż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0 cm"/>
        </w:smartTagPr>
        <w:r>
          <w:t xml:space="preserve">10 </w:t>
        </w:r>
        <w:proofErr w:type="spellStart"/>
        <w:r>
          <w:t>cm</w:t>
        </w:r>
      </w:smartTag>
      <w:proofErr w:type="spellEnd"/>
      <w:r>
        <w:t>.</w:t>
      </w:r>
    </w:p>
    <w:p w:rsidR="003B7E7D" w:rsidRDefault="003B7E7D">
      <w:pPr>
        <w:pStyle w:val="Standardowytekst"/>
        <w:keepNext/>
        <w:spacing w:before="120" w:after="120"/>
      </w:pPr>
      <w:r>
        <w:rPr>
          <w:b/>
        </w:rPr>
        <w:t xml:space="preserve">6.3.3. </w:t>
      </w:r>
      <w:r>
        <w:t>Szerokość dna rowów</w:t>
      </w:r>
    </w:p>
    <w:p w:rsidR="003B7E7D" w:rsidRDefault="003B7E7D">
      <w:pPr>
        <w:pStyle w:val="Standardowytekst"/>
        <w:spacing w:after="120"/>
      </w:pPr>
      <w:r>
        <w:tab/>
        <w:t xml:space="preserve">Szerokość dna rowów nie może różnić się od szerokości projektowanej o więcej niż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5 cm"/>
        </w:smartTagPr>
        <w:r>
          <w:t xml:space="preserve">5 </w:t>
        </w:r>
        <w:proofErr w:type="spellStart"/>
        <w:r>
          <w:t>cm</w:t>
        </w:r>
      </w:smartTag>
      <w:proofErr w:type="spellEnd"/>
      <w:r>
        <w:t>.</w:t>
      </w:r>
    </w:p>
    <w:p w:rsidR="003B7E7D" w:rsidRDefault="003B7E7D">
      <w:pPr>
        <w:pStyle w:val="Standardowytekst"/>
        <w:keepNext/>
        <w:spacing w:after="120"/>
      </w:pPr>
      <w:r>
        <w:rPr>
          <w:b/>
        </w:rPr>
        <w:t xml:space="preserve">6.3.4. </w:t>
      </w:r>
      <w:r>
        <w:t>Rzędne korony korpusu ziemnego</w:t>
      </w:r>
    </w:p>
    <w:p w:rsidR="003B7E7D" w:rsidRDefault="003B7E7D">
      <w:pPr>
        <w:pStyle w:val="Standardowytekst"/>
      </w:pPr>
      <w:r>
        <w:tab/>
        <w:t xml:space="preserve">Rzędne korony korpusu ziemnego nie mogą różnić się od rzędnych projektowanych o więcej niż </w:t>
      </w:r>
      <w:smartTag w:uri="urn:schemas-microsoft-com:office:smarttags" w:element="metricconverter">
        <w:smartTagPr>
          <w:attr w:name="ProductID" w:val="-3 cm"/>
        </w:smartTagPr>
        <w:r>
          <w:t>-3 cm</w:t>
        </w:r>
      </w:smartTag>
      <w:r>
        <w:t xml:space="preserve"> lub +</w:t>
      </w:r>
      <w:smartTag w:uri="urn:schemas-microsoft-com:office:smarttags" w:element="metricconverter">
        <w:smartTagPr>
          <w:attr w:name="ProductID" w:val="1 cm"/>
        </w:smartTagPr>
        <w:r>
          <w:t xml:space="preserve">1 </w:t>
        </w:r>
        <w:proofErr w:type="spellStart"/>
        <w:r>
          <w:t>cm</w:t>
        </w:r>
      </w:smartTag>
      <w:proofErr w:type="spellEnd"/>
      <w:r>
        <w:t>.</w:t>
      </w:r>
    </w:p>
    <w:p w:rsidR="003B7E7D" w:rsidRDefault="003B7E7D">
      <w:pPr>
        <w:pStyle w:val="Standardowytekst"/>
        <w:spacing w:before="120" w:after="120"/>
      </w:pPr>
      <w:r>
        <w:rPr>
          <w:b/>
        </w:rPr>
        <w:t xml:space="preserve">6.3.5. </w:t>
      </w:r>
      <w:r>
        <w:t>Pochylenie skarp</w:t>
      </w:r>
    </w:p>
    <w:p w:rsidR="003B7E7D" w:rsidRDefault="003B7E7D">
      <w:pPr>
        <w:pStyle w:val="Standardowytekst"/>
      </w:pPr>
      <w:r>
        <w:tab/>
        <w:t>Pochylenie skarp nie może różnić się od pochylenia projektowanego o więcej niż 10% wartości pochylenia wyrażonego tangensem kąta.</w:t>
      </w:r>
    </w:p>
    <w:p w:rsidR="003B7E7D" w:rsidRDefault="003B7E7D">
      <w:pPr>
        <w:pStyle w:val="Standardowytekst"/>
        <w:spacing w:before="120" w:after="120"/>
      </w:pPr>
      <w:r>
        <w:rPr>
          <w:b/>
        </w:rPr>
        <w:t xml:space="preserve">6.3.6. </w:t>
      </w:r>
      <w:r>
        <w:t>Równość korony korpusu</w:t>
      </w:r>
    </w:p>
    <w:p w:rsidR="003B7E7D" w:rsidRDefault="003B7E7D">
      <w:pPr>
        <w:pStyle w:val="Standardowytekst"/>
      </w:pPr>
      <w:r>
        <w:tab/>
        <w:t xml:space="preserve">Nierówności powierzchni korpusu ziemnego mierzone łatą 3-metrową, nie mogą przekraczać </w:t>
      </w:r>
      <w:smartTag w:uri="urn:schemas-microsoft-com:office:smarttags" w:element="metricconverter">
        <w:smartTagPr>
          <w:attr w:name="ProductID" w:val="3 cm"/>
        </w:smartTagPr>
        <w:r>
          <w:t xml:space="preserve">3 </w:t>
        </w:r>
        <w:proofErr w:type="spellStart"/>
        <w:r>
          <w:t>cm</w:t>
        </w:r>
      </w:smartTag>
      <w:proofErr w:type="spellEnd"/>
      <w:r>
        <w:t>.</w:t>
      </w:r>
    </w:p>
    <w:p w:rsidR="003B7E7D" w:rsidRDefault="003B7E7D">
      <w:pPr>
        <w:pStyle w:val="Standardowytekst"/>
        <w:spacing w:before="120" w:after="120"/>
      </w:pPr>
      <w:r>
        <w:rPr>
          <w:b/>
        </w:rPr>
        <w:t xml:space="preserve">6.3.7. </w:t>
      </w:r>
      <w:r>
        <w:t>Równość skarp</w:t>
      </w:r>
    </w:p>
    <w:p w:rsidR="003B7E7D" w:rsidRDefault="003B7E7D">
      <w:pPr>
        <w:pStyle w:val="Standardowytekst"/>
      </w:pPr>
      <w:r>
        <w:tab/>
        <w:t xml:space="preserve">Nierówności skarp, mierzone łatą 3-metrową, nie mogą przekraczać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0 cm"/>
        </w:smartTagPr>
        <w:r>
          <w:t xml:space="preserve">10 </w:t>
        </w:r>
        <w:proofErr w:type="spellStart"/>
        <w:r>
          <w:t>cm</w:t>
        </w:r>
      </w:smartTag>
      <w:proofErr w:type="spellEnd"/>
      <w:r>
        <w:t>.</w:t>
      </w:r>
    </w:p>
    <w:p w:rsidR="003B7E7D" w:rsidRDefault="003B7E7D">
      <w:pPr>
        <w:pStyle w:val="Standardowytekst"/>
        <w:spacing w:before="120" w:after="120"/>
      </w:pPr>
      <w:r>
        <w:rPr>
          <w:b/>
        </w:rPr>
        <w:t xml:space="preserve">6.3.8. </w:t>
      </w:r>
      <w:r>
        <w:t>Spadek podłużny korony korpusu lub dna rowu</w:t>
      </w:r>
    </w:p>
    <w:p w:rsidR="003B7E7D" w:rsidRDefault="003B7E7D">
      <w:pPr>
        <w:pStyle w:val="Standardowytekst"/>
      </w:pPr>
      <w:r>
        <w:tab/>
        <w:t xml:space="preserve">Spadek podłużny powierzchni korpusu ziemnego lub dna rowu, sprawdzony przez pomiar niwelatorem rzędnych wysokościowych, nie może dawać różnic, w stosunku do rzędnych projektowanych, większych niż </w:t>
      </w:r>
      <w:smartTag w:uri="urn:schemas-microsoft-com:office:smarttags" w:element="metricconverter">
        <w:smartTagPr>
          <w:attr w:name="ProductID" w:val="-3 cm"/>
        </w:smartTagPr>
        <w:r>
          <w:t>-3 cm</w:t>
        </w:r>
      </w:smartTag>
      <w:r>
        <w:t xml:space="preserve"> lub +</w:t>
      </w:r>
      <w:smartTag w:uri="urn:schemas-microsoft-com:office:smarttags" w:element="metricconverter">
        <w:smartTagPr>
          <w:attr w:name="ProductID" w:val="1 cm"/>
        </w:smartTagPr>
        <w:r>
          <w:t xml:space="preserve">1 </w:t>
        </w:r>
        <w:proofErr w:type="spellStart"/>
        <w:r>
          <w:t>cm</w:t>
        </w:r>
      </w:smartTag>
      <w:proofErr w:type="spellEnd"/>
      <w:r>
        <w:t>.</w:t>
      </w:r>
    </w:p>
    <w:p w:rsidR="003B7E7D" w:rsidRDefault="003B7E7D">
      <w:pPr>
        <w:pStyle w:val="Standardowytekst"/>
        <w:spacing w:before="120" w:after="120"/>
      </w:pPr>
      <w:r>
        <w:rPr>
          <w:b/>
        </w:rPr>
        <w:t xml:space="preserve">6.3.9. </w:t>
      </w:r>
      <w:r>
        <w:t>Zagęszczenie gruntu</w:t>
      </w:r>
    </w:p>
    <w:p w:rsidR="003B7E7D" w:rsidRDefault="003B7E7D">
      <w:pPr>
        <w:pStyle w:val="Standardowytekst"/>
      </w:pPr>
      <w:r>
        <w:tab/>
        <w:t>Wskaźnik zagęszczenia gruntu określony zgodnie z BN-77/8931-12 [9] powinien być zgodny z założonym dla odpowiedniej kategorii ruchu. W przypadku gruntów dla których nie można określić wskaźnika zagęszczenia należy określić wskaźnik odkształcenia I</w:t>
      </w:r>
      <w:r>
        <w:rPr>
          <w:vertAlign w:val="subscript"/>
        </w:rPr>
        <w:t>0</w:t>
      </w:r>
      <w:r>
        <w:t>, zgodnie z normą PN-S-02205:1998 [4].</w:t>
      </w:r>
    </w:p>
    <w:p w:rsidR="003B7E7D" w:rsidRDefault="003B7E7D">
      <w:pPr>
        <w:pStyle w:val="Standardowytekst"/>
        <w:spacing w:after="120"/>
        <w:rPr>
          <w:b/>
        </w:rPr>
      </w:pPr>
    </w:p>
    <w:p w:rsidR="003B7E7D" w:rsidRDefault="003B7E7D">
      <w:pPr>
        <w:pStyle w:val="Standardowytekst"/>
        <w:spacing w:after="120"/>
        <w:rPr>
          <w:b/>
        </w:rPr>
      </w:pPr>
      <w:r>
        <w:rPr>
          <w:b/>
        </w:rPr>
        <w:t xml:space="preserve">6.4. Badania </w:t>
      </w:r>
      <w:proofErr w:type="spellStart"/>
      <w:r>
        <w:rPr>
          <w:b/>
        </w:rPr>
        <w:t>geosyntetyków</w:t>
      </w:r>
      <w:proofErr w:type="spellEnd"/>
    </w:p>
    <w:p w:rsidR="003B7E7D" w:rsidRDefault="003B7E7D">
      <w:pPr>
        <w:ind w:firstLine="709"/>
      </w:pPr>
      <w:r>
        <w:t xml:space="preserve">Przed zastosowaniem </w:t>
      </w:r>
      <w:proofErr w:type="spellStart"/>
      <w:r>
        <w:t>geosyntetyków</w:t>
      </w:r>
      <w:proofErr w:type="spellEnd"/>
      <w:r>
        <w:t xml:space="preserve"> w robotach ziemnych, Wykonawca powinien przedstawić Inżynierowi świadectwa stwierdzające, iż zastosowany </w:t>
      </w:r>
      <w:proofErr w:type="spellStart"/>
      <w:r>
        <w:t>geosyntetyk</w:t>
      </w:r>
      <w:proofErr w:type="spellEnd"/>
      <w:r>
        <w:t xml:space="preserve"> odpowiada wymaganiom norm, aprobaty technicznej i zachowa swoje właściwości w kontakcie z materiałami, które będzie oddzielać lub wzmacniać przez okres czasu nie krótszy od podanego w dokumentacji projektowej i SST.</w:t>
      </w:r>
    </w:p>
    <w:p w:rsidR="003B7E7D" w:rsidRDefault="003B7E7D">
      <w:pPr>
        <w:pStyle w:val="Standardowytekst"/>
      </w:pPr>
    </w:p>
    <w:p w:rsidR="003B7E7D" w:rsidRDefault="003B7E7D">
      <w:pPr>
        <w:pStyle w:val="Nagwek2"/>
      </w:pPr>
      <w:bookmarkStart w:id="84" w:name="_Toc405615056"/>
      <w:bookmarkStart w:id="85" w:name="_Toc407161204"/>
      <w:r>
        <w:t>6.5. Zasady postępowania z wadliwie wykonanymi robotami</w:t>
      </w:r>
      <w:bookmarkEnd w:id="84"/>
      <w:bookmarkEnd w:id="85"/>
    </w:p>
    <w:p w:rsidR="003B7E7D" w:rsidRDefault="003B7E7D">
      <w:pPr>
        <w:pStyle w:val="Standardowytekst"/>
      </w:pPr>
      <w:r>
        <w:tab/>
        <w:t>Wszystkie materiały nie spełniające wymagań podanych w odpowiednich punktach specyfikacji, zostaną odrzucone. Jeśli materiały nie spełniające wymagań zostaną wbudowane lub zastosowane, to na polecenie Inżyniera Wykonawca wymieni je na właściwe, na własny koszt.</w:t>
      </w:r>
    </w:p>
    <w:p w:rsidR="003B7E7D" w:rsidRDefault="003B7E7D">
      <w:pPr>
        <w:pStyle w:val="Standardowytekst"/>
      </w:pPr>
      <w:r>
        <w:tab/>
        <w:t>Wszystkie roboty, które wykazują większe odchylenia cech od określonych w punktach 5 i 6 specyfikacji powinny być ponownie wykonane przez Wykonawcę na jego koszt.</w:t>
      </w:r>
    </w:p>
    <w:p w:rsidR="003B7E7D" w:rsidRDefault="003B7E7D">
      <w:pPr>
        <w:pStyle w:val="Standardowytekst"/>
        <w:spacing w:after="120"/>
      </w:pPr>
      <w:r>
        <w:tab/>
        <w:t>Na pisemne wystąpienie Wykonawcy, Inżynier może uznać wadę za nie mającą zasadniczego wpływu na cechy eksploatacyjne drogi i ustali zakres i wielkość potrąceń za obniżoną jakość.</w:t>
      </w:r>
    </w:p>
    <w:p w:rsidR="003B7E7D" w:rsidRDefault="003B7E7D">
      <w:pPr>
        <w:pStyle w:val="Nagwek1"/>
      </w:pPr>
      <w:bookmarkStart w:id="86" w:name="_Toc405615057"/>
      <w:bookmarkStart w:id="87" w:name="_Toc407161205"/>
      <w:bookmarkStart w:id="88" w:name="_Toc418996328"/>
      <w:bookmarkStart w:id="89" w:name="_Toc418996697"/>
      <w:bookmarkStart w:id="90" w:name="_Toc418997084"/>
      <w:bookmarkStart w:id="91" w:name="_Toc418998494"/>
      <w:bookmarkStart w:id="92" w:name="_Toc418998850"/>
      <w:bookmarkStart w:id="93" w:name="_Toc419000095"/>
      <w:r>
        <w:t>7. obmiar robót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:rsidR="003B7E7D" w:rsidRDefault="003B7E7D">
      <w:pPr>
        <w:pStyle w:val="Nagwek2"/>
      </w:pPr>
      <w:bookmarkStart w:id="94" w:name="_Toc405615058"/>
      <w:bookmarkStart w:id="95" w:name="_Toc407161206"/>
      <w:r>
        <w:t>7.1. Ogólne zasady obmiaru robót</w:t>
      </w:r>
      <w:bookmarkEnd w:id="94"/>
      <w:bookmarkEnd w:id="95"/>
    </w:p>
    <w:p w:rsidR="003B7E7D" w:rsidRDefault="003B7E7D">
      <w:pPr>
        <w:pStyle w:val="Standardowytekst"/>
      </w:pPr>
      <w:r>
        <w:tab/>
        <w:t xml:space="preserve">Ogólne zasady obmiaru robót podano w SST D-M-00.00.00 „Wymagania ogólne” </w:t>
      </w:r>
      <w:proofErr w:type="spellStart"/>
      <w:r>
        <w:t>pkt</w:t>
      </w:r>
      <w:proofErr w:type="spellEnd"/>
      <w:r>
        <w:t xml:space="preserve"> 7.</w:t>
      </w:r>
    </w:p>
    <w:p w:rsidR="003B7E7D" w:rsidRDefault="003B7E7D">
      <w:pPr>
        <w:pStyle w:val="Nagwek2"/>
      </w:pPr>
      <w:bookmarkStart w:id="96" w:name="_Toc405615059"/>
      <w:bookmarkStart w:id="97" w:name="_Toc407161207"/>
      <w:r>
        <w:t>7.2. Obmiar robót ziemnych</w:t>
      </w:r>
      <w:bookmarkEnd w:id="96"/>
      <w:bookmarkEnd w:id="97"/>
    </w:p>
    <w:p w:rsidR="003B7E7D" w:rsidRDefault="003B7E7D">
      <w:pPr>
        <w:pStyle w:val="Standardowytekst"/>
        <w:spacing w:after="120"/>
      </w:pPr>
      <w:r>
        <w:tab/>
        <w:t>Jednostka obmiarową jest m</w:t>
      </w:r>
      <w:r>
        <w:rPr>
          <w:vertAlign w:val="superscript"/>
        </w:rPr>
        <w:t>3</w:t>
      </w:r>
      <w:r>
        <w:t xml:space="preserve"> (metr sześcienny) wykonanych robót ziemnych.</w:t>
      </w:r>
    </w:p>
    <w:p w:rsidR="003B7E7D" w:rsidRDefault="003B7E7D">
      <w:pPr>
        <w:pStyle w:val="Nagwek1"/>
      </w:pPr>
      <w:bookmarkStart w:id="98" w:name="_Toc405615060"/>
      <w:bookmarkStart w:id="99" w:name="_Toc407161208"/>
      <w:bookmarkStart w:id="100" w:name="_Toc418996329"/>
      <w:bookmarkStart w:id="101" w:name="_Toc418996698"/>
      <w:bookmarkStart w:id="102" w:name="_Toc418997085"/>
      <w:bookmarkStart w:id="103" w:name="_Toc418998495"/>
      <w:bookmarkStart w:id="104" w:name="_Toc418998851"/>
      <w:bookmarkStart w:id="105" w:name="_Toc419000096"/>
      <w:r>
        <w:t>8. odbiór robót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3B7E7D" w:rsidRDefault="003B7E7D">
      <w:pPr>
        <w:pStyle w:val="Standardowytekst"/>
      </w:pPr>
      <w:r>
        <w:tab/>
        <w:t xml:space="preserve">Ogólne zasady odbioru robót podano w SST D-M-00.00.00 „Wymagania ogólne” </w:t>
      </w:r>
      <w:proofErr w:type="spellStart"/>
      <w:r>
        <w:t>pkt</w:t>
      </w:r>
      <w:proofErr w:type="spellEnd"/>
      <w:r>
        <w:t xml:space="preserve"> 8.</w:t>
      </w:r>
    </w:p>
    <w:p w:rsidR="003B7E7D" w:rsidRDefault="003B7E7D">
      <w:pPr>
        <w:pStyle w:val="Standardowytekst"/>
        <w:spacing w:after="120"/>
      </w:pPr>
      <w:r>
        <w:tab/>
        <w:t xml:space="preserve">Roboty ziemne uznaje się za wykonane zgodnie z dokumentacją projektową, SST i wymaganiami Inżyniera, jeżeli wszystkie pomiary i badania z zachowaniem tolerancji wg </w:t>
      </w:r>
      <w:proofErr w:type="spellStart"/>
      <w:r>
        <w:t>pkt</w:t>
      </w:r>
      <w:proofErr w:type="spellEnd"/>
      <w:r>
        <w:t xml:space="preserve"> 6 dały wyniki pozytywne.</w:t>
      </w:r>
    </w:p>
    <w:p w:rsidR="003B7E7D" w:rsidRDefault="003B7E7D">
      <w:pPr>
        <w:pStyle w:val="Nagwek1"/>
      </w:pPr>
      <w:bookmarkStart w:id="106" w:name="_Toc405615061"/>
      <w:bookmarkStart w:id="107" w:name="_Toc407161209"/>
      <w:bookmarkStart w:id="108" w:name="_Toc418996330"/>
      <w:bookmarkStart w:id="109" w:name="_Toc418996699"/>
      <w:bookmarkStart w:id="110" w:name="_Toc418997086"/>
      <w:bookmarkStart w:id="111" w:name="_Toc418998496"/>
      <w:bookmarkStart w:id="112" w:name="_Toc418998852"/>
      <w:bookmarkStart w:id="113" w:name="_Toc419000097"/>
      <w:r>
        <w:t>9. podstawa płatności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3B7E7D" w:rsidRDefault="003B7E7D">
      <w:pPr>
        <w:pStyle w:val="Standardowytekst"/>
      </w:pPr>
      <w:r>
        <w:tab/>
        <w:t xml:space="preserve">Ogólne ustalenia dotyczące podstawy płatności podano w SST D-M-00.00.00 „Wymagania ogólne” </w:t>
      </w:r>
      <w:proofErr w:type="spellStart"/>
      <w:r>
        <w:t>pkt</w:t>
      </w:r>
      <w:proofErr w:type="spellEnd"/>
      <w:r>
        <w:t xml:space="preserve"> 9.</w:t>
      </w:r>
    </w:p>
    <w:p w:rsidR="003B7E7D" w:rsidRDefault="003B7E7D">
      <w:pPr>
        <w:pStyle w:val="Standardowytekst"/>
        <w:spacing w:after="120"/>
      </w:pPr>
      <w:r>
        <w:tab/>
        <w:t xml:space="preserve">Zakres czynności objętych ceną jednostkową podano w SST D-02.01.01,                   D-02.02.01 oraz D-02.03.01 </w:t>
      </w:r>
      <w:proofErr w:type="spellStart"/>
      <w:r>
        <w:t>pkt</w:t>
      </w:r>
      <w:proofErr w:type="spellEnd"/>
      <w:r>
        <w:t xml:space="preserve"> 9.</w:t>
      </w:r>
    </w:p>
    <w:p w:rsidR="003B7E7D" w:rsidRDefault="003B7E7D">
      <w:pPr>
        <w:pStyle w:val="Nagwek1"/>
      </w:pPr>
      <w:bookmarkStart w:id="114" w:name="_Toc405615062"/>
      <w:bookmarkStart w:id="115" w:name="_Toc407161210"/>
      <w:bookmarkStart w:id="116" w:name="_Toc418994924"/>
      <w:bookmarkStart w:id="117" w:name="_Toc418996331"/>
      <w:bookmarkStart w:id="118" w:name="_Toc418996700"/>
      <w:bookmarkStart w:id="119" w:name="_Toc418997087"/>
      <w:bookmarkStart w:id="120" w:name="_Toc418998497"/>
      <w:bookmarkStart w:id="121" w:name="_Toc418998853"/>
      <w:bookmarkStart w:id="122" w:name="_Toc419000098"/>
      <w:r>
        <w:t>10. przepisy związane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:rsidR="003B7E7D" w:rsidRDefault="003B7E7D">
      <w:pPr>
        <w:pStyle w:val="Nagwek2"/>
      </w:pPr>
      <w:bookmarkStart w:id="123" w:name="_Toc405615063"/>
      <w:bookmarkStart w:id="124" w:name="_Toc407161211"/>
      <w:r>
        <w:t>10.1. Normy</w:t>
      </w:r>
      <w:bookmarkEnd w:id="123"/>
      <w:bookmarkEnd w:id="124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879"/>
        <w:gridCol w:w="5277"/>
      </w:tblGrid>
      <w:tr w:rsidR="003B7E7D">
        <w:tc>
          <w:tcPr>
            <w:tcW w:w="354" w:type="dxa"/>
          </w:tcPr>
          <w:p w:rsidR="003B7E7D" w:rsidRDefault="003B7E7D">
            <w:pPr>
              <w:pStyle w:val="Standardowytekst"/>
              <w:jc w:val="center"/>
            </w:pPr>
            <w:r>
              <w:t>1.</w:t>
            </w:r>
          </w:p>
        </w:tc>
        <w:tc>
          <w:tcPr>
            <w:tcW w:w="1879" w:type="dxa"/>
          </w:tcPr>
          <w:p w:rsidR="003B7E7D" w:rsidRDefault="003B7E7D">
            <w:pPr>
              <w:pStyle w:val="Standardowytekst"/>
            </w:pPr>
            <w:r>
              <w:t>PN-B-02480:1986</w:t>
            </w:r>
          </w:p>
        </w:tc>
        <w:tc>
          <w:tcPr>
            <w:tcW w:w="5277" w:type="dxa"/>
          </w:tcPr>
          <w:p w:rsidR="003B7E7D" w:rsidRDefault="003B7E7D">
            <w:pPr>
              <w:pStyle w:val="Standardowytekst"/>
            </w:pPr>
            <w:r>
              <w:t>Grunty budowlane. Określenia. Symbole. Podział i opis gruntów</w:t>
            </w:r>
          </w:p>
        </w:tc>
      </w:tr>
      <w:tr w:rsidR="003B7E7D">
        <w:tc>
          <w:tcPr>
            <w:tcW w:w="354" w:type="dxa"/>
          </w:tcPr>
          <w:p w:rsidR="003B7E7D" w:rsidRDefault="003B7E7D">
            <w:pPr>
              <w:pStyle w:val="Standardowytekst"/>
              <w:jc w:val="center"/>
            </w:pPr>
            <w:r>
              <w:t>2.</w:t>
            </w:r>
          </w:p>
        </w:tc>
        <w:tc>
          <w:tcPr>
            <w:tcW w:w="1879" w:type="dxa"/>
          </w:tcPr>
          <w:p w:rsidR="003B7E7D" w:rsidRDefault="003B7E7D">
            <w:pPr>
              <w:pStyle w:val="Standardowytekst"/>
            </w:pPr>
            <w:r>
              <w:t>PN-B-04481:1988</w:t>
            </w:r>
          </w:p>
        </w:tc>
        <w:tc>
          <w:tcPr>
            <w:tcW w:w="5277" w:type="dxa"/>
          </w:tcPr>
          <w:p w:rsidR="003B7E7D" w:rsidRDefault="003B7E7D">
            <w:pPr>
              <w:pStyle w:val="Standardowytekst"/>
            </w:pPr>
            <w:r>
              <w:t>Grunty budowlane. Badania próbek gruntów</w:t>
            </w:r>
          </w:p>
        </w:tc>
      </w:tr>
      <w:tr w:rsidR="003B7E7D">
        <w:tc>
          <w:tcPr>
            <w:tcW w:w="354" w:type="dxa"/>
          </w:tcPr>
          <w:p w:rsidR="003B7E7D" w:rsidRDefault="003B7E7D">
            <w:pPr>
              <w:pStyle w:val="Standardowytekst"/>
              <w:jc w:val="center"/>
            </w:pPr>
            <w:r>
              <w:t>3.</w:t>
            </w:r>
          </w:p>
        </w:tc>
        <w:tc>
          <w:tcPr>
            <w:tcW w:w="1879" w:type="dxa"/>
          </w:tcPr>
          <w:p w:rsidR="003B7E7D" w:rsidRDefault="003B7E7D">
            <w:pPr>
              <w:pStyle w:val="Standardowytekst"/>
            </w:pPr>
            <w:r>
              <w:t>PN-B-04493:1960</w:t>
            </w:r>
          </w:p>
        </w:tc>
        <w:tc>
          <w:tcPr>
            <w:tcW w:w="5277" w:type="dxa"/>
          </w:tcPr>
          <w:p w:rsidR="003B7E7D" w:rsidRDefault="003B7E7D">
            <w:pPr>
              <w:pStyle w:val="Standardowytekst"/>
            </w:pPr>
            <w:r>
              <w:t>Grunty budowlane. Oznaczanie kapilarności biernej</w:t>
            </w:r>
          </w:p>
        </w:tc>
      </w:tr>
      <w:tr w:rsidR="003B7E7D">
        <w:tc>
          <w:tcPr>
            <w:tcW w:w="354" w:type="dxa"/>
          </w:tcPr>
          <w:p w:rsidR="003B7E7D" w:rsidRDefault="003B7E7D">
            <w:pPr>
              <w:pStyle w:val="Standardowytekst"/>
              <w:jc w:val="center"/>
            </w:pPr>
            <w:r>
              <w:t>4.</w:t>
            </w:r>
          </w:p>
        </w:tc>
        <w:tc>
          <w:tcPr>
            <w:tcW w:w="1879" w:type="dxa"/>
          </w:tcPr>
          <w:p w:rsidR="003B7E7D" w:rsidRDefault="003B7E7D">
            <w:pPr>
              <w:pStyle w:val="Standardowytekst"/>
            </w:pPr>
            <w:r>
              <w:t>PN-S-02205:1998</w:t>
            </w:r>
          </w:p>
        </w:tc>
        <w:tc>
          <w:tcPr>
            <w:tcW w:w="5277" w:type="dxa"/>
          </w:tcPr>
          <w:p w:rsidR="003B7E7D" w:rsidRDefault="003B7E7D">
            <w:pPr>
              <w:pStyle w:val="Standardowytekst"/>
            </w:pPr>
            <w:r>
              <w:t>Drogi samochodowe. Roboty ziemne. Wymagania i badania</w:t>
            </w:r>
          </w:p>
        </w:tc>
      </w:tr>
      <w:tr w:rsidR="003B7E7D">
        <w:tc>
          <w:tcPr>
            <w:tcW w:w="354" w:type="dxa"/>
          </w:tcPr>
          <w:p w:rsidR="003B7E7D" w:rsidRDefault="003B7E7D">
            <w:pPr>
              <w:pStyle w:val="Standardowytekst"/>
              <w:jc w:val="center"/>
            </w:pPr>
            <w:r>
              <w:t>5.</w:t>
            </w:r>
          </w:p>
        </w:tc>
        <w:tc>
          <w:tcPr>
            <w:tcW w:w="1879" w:type="dxa"/>
          </w:tcPr>
          <w:p w:rsidR="003B7E7D" w:rsidRDefault="003B7E7D">
            <w:pPr>
              <w:pStyle w:val="Standardowytekst"/>
            </w:pPr>
            <w:r>
              <w:t>PN-ISO10318:1993</w:t>
            </w:r>
          </w:p>
        </w:tc>
        <w:tc>
          <w:tcPr>
            <w:tcW w:w="5277" w:type="dxa"/>
          </w:tcPr>
          <w:p w:rsidR="003B7E7D" w:rsidRDefault="003B7E7D">
            <w:pPr>
              <w:pStyle w:val="Standardowytekst"/>
            </w:pPr>
            <w:proofErr w:type="spellStart"/>
            <w:r>
              <w:t>Geotekstylia</w:t>
            </w:r>
            <w:proofErr w:type="spellEnd"/>
            <w:r>
              <w:t xml:space="preserve"> – Terminologia</w:t>
            </w:r>
          </w:p>
        </w:tc>
      </w:tr>
      <w:tr w:rsidR="003B7E7D">
        <w:tc>
          <w:tcPr>
            <w:tcW w:w="354" w:type="dxa"/>
          </w:tcPr>
          <w:p w:rsidR="003B7E7D" w:rsidRDefault="003B7E7D">
            <w:pPr>
              <w:pStyle w:val="Standardowytekst"/>
              <w:jc w:val="center"/>
            </w:pPr>
            <w:r>
              <w:t>6.</w:t>
            </w:r>
          </w:p>
        </w:tc>
        <w:tc>
          <w:tcPr>
            <w:tcW w:w="1879" w:type="dxa"/>
          </w:tcPr>
          <w:p w:rsidR="003B7E7D" w:rsidRDefault="003B7E7D">
            <w:pPr>
              <w:pStyle w:val="Standardowytekst"/>
            </w:pPr>
            <w:r>
              <w:t>PN-EN-963:1999</w:t>
            </w:r>
          </w:p>
        </w:tc>
        <w:tc>
          <w:tcPr>
            <w:tcW w:w="5277" w:type="dxa"/>
          </w:tcPr>
          <w:p w:rsidR="003B7E7D" w:rsidRDefault="003B7E7D">
            <w:pPr>
              <w:pStyle w:val="Standardowytekst"/>
            </w:pPr>
            <w:proofErr w:type="spellStart"/>
            <w:r>
              <w:t>Geotekstylia</w:t>
            </w:r>
            <w:proofErr w:type="spellEnd"/>
            <w:r>
              <w:t xml:space="preserve"> i wyroby pokrewne</w:t>
            </w:r>
          </w:p>
        </w:tc>
      </w:tr>
      <w:tr w:rsidR="003B7E7D">
        <w:tc>
          <w:tcPr>
            <w:tcW w:w="354" w:type="dxa"/>
          </w:tcPr>
          <w:p w:rsidR="003B7E7D" w:rsidRDefault="003B7E7D">
            <w:pPr>
              <w:pStyle w:val="Standardowytekst"/>
              <w:jc w:val="center"/>
            </w:pPr>
            <w:r>
              <w:t>7.</w:t>
            </w:r>
          </w:p>
        </w:tc>
        <w:tc>
          <w:tcPr>
            <w:tcW w:w="1879" w:type="dxa"/>
          </w:tcPr>
          <w:p w:rsidR="003B7E7D" w:rsidRDefault="003B7E7D">
            <w:pPr>
              <w:pStyle w:val="Standardowytekst"/>
            </w:pPr>
            <w:r>
              <w:t>BN-64/8931-01</w:t>
            </w:r>
          </w:p>
        </w:tc>
        <w:tc>
          <w:tcPr>
            <w:tcW w:w="5277" w:type="dxa"/>
          </w:tcPr>
          <w:p w:rsidR="003B7E7D" w:rsidRDefault="003B7E7D">
            <w:pPr>
              <w:pStyle w:val="Standardowytekst"/>
            </w:pPr>
            <w:r>
              <w:t>Drogi samochodowe. Oznaczenie wskaźnika piaskowego</w:t>
            </w:r>
          </w:p>
        </w:tc>
      </w:tr>
      <w:tr w:rsidR="003B7E7D">
        <w:tc>
          <w:tcPr>
            <w:tcW w:w="354" w:type="dxa"/>
          </w:tcPr>
          <w:p w:rsidR="003B7E7D" w:rsidRDefault="003B7E7D">
            <w:pPr>
              <w:pStyle w:val="Standardowytekst"/>
              <w:jc w:val="center"/>
            </w:pPr>
            <w:r>
              <w:t>8.</w:t>
            </w:r>
          </w:p>
        </w:tc>
        <w:tc>
          <w:tcPr>
            <w:tcW w:w="1879" w:type="dxa"/>
          </w:tcPr>
          <w:p w:rsidR="003B7E7D" w:rsidRDefault="003B7E7D">
            <w:pPr>
              <w:pStyle w:val="Standardowytekst"/>
            </w:pPr>
            <w:r>
              <w:t>BN-64/8931-02</w:t>
            </w:r>
          </w:p>
        </w:tc>
        <w:tc>
          <w:tcPr>
            <w:tcW w:w="5277" w:type="dxa"/>
          </w:tcPr>
          <w:p w:rsidR="003B7E7D" w:rsidRDefault="003B7E7D">
            <w:pPr>
              <w:pStyle w:val="Standardowytekst"/>
            </w:pPr>
            <w:r>
              <w:t>Drogi samochodowe. Oznaczenie modułu odkształcenia nawierzchni podatnych i podłoża przez obciążenie płytą</w:t>
            </w:r>
          </w:p>
        </w:tc>
      </w:tr>
      <w:tr w:rsidR="003B7E7D">
        <w:tc>
          <w:tcPr>
            <w:tcW w:w="354" w:type="dxa"/>
          </w:tcPr>
          <w:p w:rsidR="003B7E7D" w:rsidRDefault="003B7E7D">
            <w:pPr>
              <w:pStyle w:val="Standardowytekst"/>
              <w:jc w:val="center"/>
            </w:pPr>
            <w:r>
              <w:t>9.</w:t>
            </w:r>
          </w:p>
        </w:tc>
        <w:tc>
          <w:tcPr>
            <w:tcW w:w="1879" w:type="dxa"/>
          </w:tcPr>
          <w:p w:rsidR="003B7E7D" w:rsidRDefault="003B7E7D">
            <w:pPr>
              <w:pStyle w:val="Standardowytekst"/>
            </w:pPr>
            <w:r>
              <w:t>BN-77/8931-12</w:t>
            </w:r>
          </w:p>
        </w:tc>
        <w:tc>
          <w:tcPr>
            <w:tcW w:w="5277" w:type="dxa"/>
          </w:tcPr>
          <w:p w:rsidR="003B7E7D" w:rsidRDefault="003B7E7D">
            <w:pPr>
              <w:pStyle w:val="Standardowytekst"/>
            </w:pPr>
            <w:r>
              <w:t>Oznaczenie wskaźnika zagęszczenia gruntu</w:t>
            </w:r>
          </w:p>
        </w:tc>
      </w:tr>
    </w:tbl>
    <w:p w:rsidR="003B7E7D" w:rsidRDefault="003B7E7D">
      <w:pPr>
        <w:pStyle w:val="Nagwek2"/>
      </w:pPr>
      <w:bookmarkStart w:id="125" w:name="_Toc405615064"/>
      <w:bookmarkStart w:id="126" w:name="_Toc407161212"/>
      <w:r>
        <w:t>10.2. Inne dokumenty</w:t>
      </w:r>
      <w:bookmarkEnd w:id="125"/>
      <w:bookmarkEnd w:id="126"/>
    </w:p>
    <w:p w:rsidR="003B7E7D" w:rsidRDefault="003B7E7D" w:rsidP="00342C6B">
      <w:pPr>
        <w:pStyle w:val="Standardowytekst"/>
        <w:numPr>
          <w:ilvl w:val="0"/>
          <w:numId w:val="6"/>
        </w:numPr>
        <w:tabs>
          <w:tab w:val="left" w:pos="426"/>
        </w:tabs>
      </w:pPr>
      <w:r>
        <w:t xml:space="preserve">Wykonanie i odbiór robót ziemnych dla dróg szybkiego ruchu, </w:t>
      </w:r>
      <w:proofErr w:type="spellStart"/>
      <w:r>
        <w:t>IBDiM</w:t>
      </w:r>
      <w:proofErr w:type="spellEnd"/>
      <w:r>
        <w:t>, Warszawa  1978.</w:t>
      </w:r>
    </w:p>
    <w:p w:rsidR="003B7E7D" w:rsidRDefault="003B7E7D" w:rsidP="00342C6B">
      <w:pPr>
        <w:pStyle w:val="Standardowytekst"/>
        <w:numPr>
          <w:ilvl w:val="0"/>
          <w:numId w:val="7"/>
        </w:numPr>
        <w:tabs>
          <w:tab w:val="left" w:pos="426"/>
        </w:tabs>
      </w:pPr>
      <w:r>
        <w:t xml:space="preserve">Instrukcja badań podłoża gruntowego budowli drogowych i mostowych, </w:t>
      </w:r>
      <w:proofErr w:type="spellStart"/>
      <w:r>
        <w:t>GDDP,Warszawa</w:t>
      </w:r>
      <w:proofErr w:type="spellEnd"/>
      <w:r>
        <w:t xml:space="preserve"> 1998.</w:t>
      </w:r>
    </w:p>
    <w:p w:rsidR="003B7E7D" w:rsidRDefault="003B7E7D" w:rsidP="00342C6B">
      <w:pPr>
        <w:pStyle w:val="Standardowytekst"/>
        <w:numPr>
          <w:ilvl w:val="0"/>
          <w:numId w:val="7"/>
        </w:numPr>
        <w:tabs>
          <w:tab w:val="left" w:pos="426"/>
        </w:tabs>
      </w:pPr>
      <w:r>
        <w:t xml:space="preserve">Katalog typowych konstrukcji nawierzchni podatnych i półsztywnych, </w:t>
      </w:r>
      <w:proofErr w:type="spellStart"/>
      <w:r>
        <w:t>IBDiM</w:t>
      </w:r>
      <w:proofErr w:type="spellEnd"/>
      <w:r>
        <w:t>, Warszawa 1997.</w:t>
      </w:r>
    </w:p>
    <w:p w:rsidR="003B7E7D" w:rsidRDefault="003B7E7D" w:rsidP="00342C6B">
      <w:pPr>
        <w:pStyle w:val="Standardowytekst"/>
        <w:numPr>
          <w:ilvl w:val="0"/>
          <w:numId w:val="7"/>
        </w:numPr>
        <w:tabs>
          <w:tab w:val="left" w:pos="426"/>
        </w:tabs>
      </w:pPr>
      <w:r>
        <w:t xml:space="preserve">Wytyczne wzmacniania podłoża gruntowego w budownictwie drogowym, </w:t>
      </w:r>
      <w:proofErr w:type="spellStart"/>
      <w:r>
        <w:t>IBDiM</w:t>
      </w:r>
      <w:proofErr w:type="spellEnd"/>
      <w:r>
        <w:t xml:space="preserve">, Warszawa 2002. </w:t>
      </w:r>
    </w:p>
    <w:sectPr w:rsidR="003B7E7D" w:rsidSect="00B532AB">
      <w:headerReference w:type="even" r:id="rId13"/>
      <w:pgSz w:w="11907" w:h="16840" w:code="9"/>
      <w:pgMar w:top="1418" w:right="1418" w:bottom="1418" w:left="226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673" w:rsidRDefault="003A6673">
      <w:r>
        <w:separator/>
      </w:r>
    </w:p>
  </w:endnote>
  <w:endnote w:type="continuationSeparator" w:id="0">
    <w:p w:rsidR="003A6673" w:rsidRDefault="003A6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673" w:rsidRDefault="003A6673">
      <w:r>
        <w:separator/>
      </w:r>
    </w:p>
  </w:footnote>
  <w:footnote w:type="continuationSeparator" w:id="0">
    <w:p w:rsidR="003A6673" w:rsidRDefault="003A6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7D" w:rsidRDefault="003B7E7D">
    <w:pPr>
      <w:pStyle w:val="Nagwek"/>
      <w:rPr>
        <w:rFonts w:ascii="Times New Roman" w:hAnsi="Times New Roman"/>
        <w:sz w:val="19"/>
      </w:rPr>
    </w:pPr>
  </w:p>
  <w:p w:rsidR="003B7E7D" w:rsidRDefault="003B7E7D">
    <w:pPr>
      <w:pStyle w:val="Nagwek"/>
      <w:rPr>
        <w:rFonts w:ascii="Times New Roman" w:hAnsi="Times New Roman"/>
        <w:sz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56B408"/>
    <w:lvl w:ilvl="0">
      <w:numFmt w:val="bullet"/>
      <w:lvlText w:val="*"/>
      <w:lvlJc w:val="left"/>
    </w:lvl>
  </w:abstractNum>
  <w:abstractNum w:abstractNumId="1">
    <w:nsid w:val="24F21583"/>
    <w:multiLevelType w:val="singleLevel"/>
    <w:tmpl w:val="1362DA62"/>
    <w:lvl w:ilvl="0">
      <w:start w:val="10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2">
    <w:nsid w:val="450E6339"/>
    <w:multiLevelType w:val="singleLevel"/>
    <w:tmpl w:val="B8D07D6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4C4364ED"/>
    <w:multiLevelType w:val="singleLevel"/>
    <w:tmpl w:val="3BEE671E"/>
    <w:lvl w:ilvl="0">
      <w:start w:val="10"/>
      <w:numFmt w:val="decimal"/>
      <w:lvlText w:val="1.4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1.4.%1. "/>
        <w:legacy w:legacy="1" w:legacySpace="0" w:legacyIndent="283"/>
        <w:lvlJc w:val="left"/>
        <w:pPr>
          <w:ind w:left="283" w:hanging="283"/>
        </w:pPr>
        <w:rPr>
          <w:b/>
          <w:i w:val="0"/>
          <w:sz w:val="20"/>
        </w:rPr>
      </w:lvl>
    </w:lvlOverride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C6B"/>
    <w:rsid w:val="000663F9"/>
    <w:rsid w:val="00193628"/>
    <w:rsid w:val="001C1881"/>
    <w:rsid w:val="00235DCE"/>
    <w:rsid w:val="00342C6B"/>
    <w:rsid w:val="003A6673"/>
    <w:rsid w:val="003B7E7D"/>
    <w:rsid w:val="003E4A7A"/>
    <w:rsid w:val="00553A2A"/>
    <w:rsid w:val="005870BA"/>
    <w:rsid w:val="006022FC"/>
    <w:rsid w:val="00672033"/>
    <w:rsid w:val="006D396C"/>
    <w:rsid w:val="006E30E8"/>
    <w:rsid w:val="0077067D"/>
    <w:rsid w:val="007C2A6A"/>
    <w:rsid w:val="008A40DD"/>
    <w:rsid w:val="009516F1"/>
    <w:rsid w:val="009C1389"/>
    <w:rsid w:val="00A2790D"/>
    <w:rsid w:val="00AF680A"/>
    <w:rsid w:val="00B37F06"/>
    <w:rsid w:val="00B532AB"/>
    <w:rsid w:val="00BF0A44"/>
    <w:rsid w:val="00C27465"/>
    <w:rsid w:val="00C56029"/>
    <w:rsid w:val="00C65BFD"/>
    <w:rsid w:val="00D11448"/>
    <w:rsid w:val="00E8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B532A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B532AB"/>
    <w:pPr>
      <w:keepNext/>
      <w:keepLines/>
      <w:suppressAutoHyphens/>
      <w:spacing w:before="12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B532AB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B532AB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B532AB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B532AB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B532AB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B532AB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B532AB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B532AB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B532AB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B532AB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B532AB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B532AB"/>
  </w:style>
  <w:style w:type="paragraph" w:customStyle="1" w:styleId="StylIwony">
    <w:name w:val="Styl Iwony"/>
    <w:basedOn w:val="Normalny"/>
    <w:rsid w:val="00B532AB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B532AB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B532A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B532AB"/>
  </w:style>
  <w:style w:type="paragraph" w:customStyle="1" w:styleId="tekstost">
    <w:name w:val="tekst ost"/>
    <w:basedOn w:val="Normalny"/>
    <w:rsid w:val="00B532AB"/>
  </w:style>
  <w:style w:type="character" w:styleId="Odwoanieprzypisudolnego">
    <w:name w:val="footnote reference"/>
    <w:basedOn w:val="Domylnaczcionkaakapitu"/>
    <w:semiHidden/>
    <w:rsid w:val="00B532AB"/>
    <w:rPr>
      <w:vertAlign w:val="superscript"/>
    </w:rPr>
  </w:style>
  <w:style w:type="paragraph" w:customStyle="1" w:styleId="Standardowytekst">
    <w:name w:val="Standardowy.tekst"/>
    <w:rsid w:val="00B532A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rsid w:val="00B532AB"/>
    <w:pPr>
      <w:ind w:left="360"/>
    </w:pPr>
  </w:style>
  <w:style w:type="paragraph" w:styleId="Tekstpodstawowy">
    <w:name w:val="Body Text"/>
    <w:basedOn w:val="Normalny"/>
    <w:rsid w:val="00B532AB"/>
    <w:pPr>
      <w:spacing w:line="180" w:lineRule="exact"/>
      <w:jc w:val="left"/>
    </w:pPr>
    <w:rPr>
      <w:sz w:val="16"/>
    </w:rPr>
  </w:style>
  <w:style w:type="paragraph" w:customStyle="1" w:styleId="Tekstpodstawowy22">
    <w:name w:val="Tekst podstawowy 22"/>
    <w:basedOn w:val="Normalny"/>
    <w:rsid w:val="00B532AB"/>
    <w:pPr>
      <w:pBdr>
        <w:top w:val="single" w:sz="6" w:space="1" w:color="auto"/>
        <w:bottom w:val="single" w:sz="6" w:space="1" w:color="auto"/>
      </w:pBdr>
      <w:spacing w:line="180" w:lineRule="exact"/>
      <w:jc w:val="left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Maryla\d020000bi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d020000bis</Template>
  <TotalTime>2</TotalTime>
  <Pages>8</Pages>
  <Words>2842</Words>
  <Characters>17053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D-02.00.00</vt:lpstr>
    </vt:vector>
  </TitlesOfParts>
  <Company>Warszawa      Skaryszewska 19</Company>
  <LinksUpToDate>false</LinksUpToDate>
  <CharactersWithSpaces>19856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D-02.00.00</dc:title>
  <dc:subject>ost</dc:subject>
  <dc:creator>Leszek Cupryjak</dc:creator>
  <cp:keywords>specyfikacje, drogi, drogownictwo, ost</cp:keywords>
  <dc:description>Roboty ziemne</dc:description>
  <cp:lastModifiedBy>Kompuer</cp:lastModifiedBy>
  <cp:revision>6</cp:revision>
  <cp:lastPrinted>1998-05-18T10:07:00Z</cp:lastPrinted>
  <dcterms:created xsi:type="dcterms:W3CDTF">2010-10-18T05:53:00Z</dcterms:created>
  <dcterms:modified xsi:type="dcterms:W3CDTF">2015-08-08T07:01:00Z</dcterms:modified>
</cp:coreProperties>
</file>