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E" w:rsidRDefault="001B1D1E">
      <w:pPr>
        <w:jc w:val="center"/>
        <w:rPr>
          <w:b/>
          <w:sz w:val="19"/>
        </w:rPr>
      </w:pPr>
      <w:bookmarkStart w:id="0" w:name="_GoBack"/>
      <w:bookmarkEnd w:id="0"/>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4C524B" w:rsidRDefault="004C524B">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sidR="0063542D">
        <w:rPr>
          <w:b w:val="0"/>
        </w:rPr>
        <w:fldChar w:fldCharType="begin"/>
      </w:r>
      <w:r>
        <w:rPr>
          <w:b w:val="0"/>
        </w:rPr>
        <w:instrText xml:space="preserve"> TOC \o "1-1" </w:instrText>
      </w:r>
      <w:r w:rsidR="0063542D">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63542D">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1" w:name="_Toc404150096"/>
      <w:bookmarkStart w:id="2" w:name="_Toc416830698"/>
      <w:bookmarkStart w:id="3" w:name="_Toc497107498"/>
      <w:r>
        <w:lastRenderedPageBreak/>
        <w:t>1. WSTĘP</w:t>
      </w:r>
      <w:bookmarkEnd w:id="1"/>
      <w:bookmarkEnd w:id="2"/>
      <w:bookmarkEnd w:id="3"/>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6045EA" w:rsidRDefault="001B1D1E" w:rsidP="004C524B">
      <w:pPr>
        <w:pStyle w:val="tekstost"/>
      </w:pPr>
      <w:r>
        <w:rPr>
          <w:b/>
        </w:rPr>
        <w:tab/>
      </w:r>
      <w:r>
        <w:t xml:space="preserve">Szczegółowa specyfikacja techniczna (SST) stanowi obowiązującą podstawę opracowania szczegółowej specyfikacji technicznej (SST) stosowanej jako dokument przetargowy i kontraktowy przy zlecaniu i realizacji robót  drogowych – </w:t>
      </w:r>
      <w:r w:rsidR="004C524B">
        <w:t xml:space="preserve">przebudowa ulicy </w:t>
      </w:r>
      <w:r w:rsidR="006045EA">
        <w:t>SŁOWACKIEGO w Czempiniu.</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umocnieniem biowłókniną;</w:t>
      </w:r>
    </w:p>
    <w:p w:rsidR="001B1D1E" w:rsidRDefault="001B1D1E" w:rsidP="003D6DB4">
      <w:pPr>
        <w:numPr>
          <w:ilvl w:val="0"/>
          <w:numId w:val="1"/>
        </w:numPr>
        <w:rPr>
          <w:b/>
        </w:rPr>
      </w:pPr>
      <w:r>
        <w:t>umocnieniem  geosyntetykami;</w:t>
      </w:r>
    </w:p>
    <w:p w:rsidR="001B1D1E" w:rsidRDefault="001B1D1E" w:rsidP="003D6DB4">
      <w:pPr>
        <w:numPr>
          <w:ilvl w:val="0"/>
          <w:numId w:val="1"/>
        </w:numPr>
        <w:rPr>
          <w:b/>
        </w:rPr>
      </w:pPr>
      <w:r>
        <w:t>wykonaniem hydroobsiewu.</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ograniczających powierzchnie skarpy o bokach np. 1,0 x 1,0 m,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r>
        <w:t>Hydroobsiew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Biowłóknina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r>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1B1D1E" w:rsidRDefault="001B1D1E">
      <w:pPr>
        <w:spacing w:before="120"/>
      </w:pPr>
      <w:r>
        <w:rPr>
          <w:b/>
        </w:rPr>
        <w:t xml:space="preserve">1.4.12. </w:t>
      </w:r>
      <w:r>
        <w:t>Mulczowanie - naniesienie na powierzchnię gruntu ściółki (np. sieczki, stróżyn, trocin, torfu) z lepiszczem w celu ochrony przed wysychaniem i erozją.</w:t>
      </w:r>
    </w:p>
    <w:p w:rsidR="001B1D1E" w:rsidRDefault="001B1D1E">
      <w:pPr>
        <w:spacing w:before="120"/>
      </w:pPr>
      <w:r>
        <w:rPr>
          <w:b/>
        </w:rPr>
        <w:t xml:space="preserve">1.4.13. </w:t>
      </w:r>
      <w:r>
        <w:t>Hydromulczowanie - sposób hydromechanicznego nanoszenia mieszaniny(o podobnych parametrach jak używanych do hydroobsiewu), w składzie której nie ma nasion traw i roślin motylkowatych.</w:t>
      </w:r>
    </w:p>
    <w:p w:rsidR="001B1D1E" w:rsidRDefault="001B1D1E">
      <w:pPr>
        <w:spacing w:before="120"/>
      </w:pPr>
      <w:r>
        <w:rPr>
          <w:b/>
        </w:rPr>
        <w:t xml:space="preserve">1.4.14. </w:t>
      </w:r>
      <w:r>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1B1D1E" w:rsidRDefault="001B1D1E">
      <w:pPr>
        <w:spacing w:before="120"/>
      </w:pPr>
      <w:r>
        <w:rPr>
          <w:b/>
        </w:rPr>
        <w:t xml:space="preserve">1.4.15. </w:t>
      </w:r>
      <w:r>
        <w:t>Ramka Webera - ramka o boku 50 cm,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Pozostałe określenia podstawowe są zgodne z odpowiednimi polskimi normami i z definicjami podanymi w SST D-M-00.00.00 „Wymagania ogólne” pkt 1.4.</w:t>
      </w:r>
    </w:p>
    <w:p w:rsidR="001B1D1E" w:rsidRDefault="001B1D1E">
      <w:pPr>
        <w:pStyle w:val="Nagwek2"/>
      </w:pPr>
      <w:r>
        <w:t>1.5. Ogólne wymagania dotyczące robót</w:t>
      </w:r>
    </w:p>
    <w:p w:rsidR="001B1D1E" w:rsidRDefault="001B1D1E">
      <w:r>
        <w:tab/>
        <w:t>Ogólne wymagania dotyczące robót podano w SST D-M-00.00.00 „Wymagania ogólne” pkt 1.5.</w:t>
      </w:r>
    </w:p>
    <w:p w:rsidR="001B1D1E" w:rsidRDefault="001B1D1E">
      <w:pPr>
        <w:pStyle w:val="Nagwek1"/>
      </w:pPr>
      <w:bookmarkStart w:id="4" w:name="_Toc428243643"/>
      <w:bookmarkStart w:id="5" w:name="_Toc497107499"/>
      <w:r>
        <w:t>2. MATERIAŁY</w:t>
      </w:r>
      <w:bookmarkEnd w:id="4"/>
      <w:bookmarkEnd w:id="5"/>
    </w:p>
    <w:p w:rsidR="001B1D1E" w:rsidRDefault="001B1D1E">
      <w:pPr>
        <w:pStyle w:val="Nagwek2"/>
      </w:pPr>
      <w:r>
        <w:t>2.1. Ogólne wymagania dotyczące materiałów</w:t>
      </w:r>
    </w:p>
    <w:p w:rsidR="001B1D1E" w:rsidRDefault="001B1D1E">
      <w:r>
        <w:tab/>
        <w:t>Ogólne wymagania dotyczące materiałów, ich pozyskiwania i składowania, podano w  SST D-M-00.00.00 „Wymagania ogólne” pkt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r>
        <w:t>biowłóknina i materiały do jej przytwierdzania,</w:t>
      </w:r>
    </w:p>
    <w:p w:rsidR="001B1D1E" w:rsidRDefault="001B1D1E" w:rsidP="003D6DB4">
      <w:pPr>
        <w:numPr>
          <w:ilvl w:val="0"/>
          <w:numId w:val="1"/>
        </w:numPr>
      </w:pPr>
      <w:r>
        <w:t>geosyntetyki i materiały do ich przytwierdzania,</w:t>
      </w:r>
    </w:p>
    <w:p w:rsidR="001B1D1E" w:rsidRDefault="001B1D1E" w:rsidP="003D6DB4">
      <w:pPr>
        <w:numPr>
          <w:ilvl w:val="0"/>
          <w:numId w:val="1"/>
        </w:numPr>
      </w:pPr>
      <w:r>
        <w:t>mieszaniny do mulczowania, hydromulczowania, hydroobsiewu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1B1D1E" w:rsidRDefault="001B1D1E">
      <w:r>
        <w:tab/>
        <w:t>Wycięta darnina powinna być w krótkim czasie wbudowana.</w:t>
      </w:r>
    </w:p>
    <w:p w:rsidR="001B1D1E" w:rsidRDefault="001B1D1E">
      <w:r>
        <w:lastRenderedPageBreak/>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Ziemia urodzajna powinna zawierać co najmniej 2% części organicznych. Ziemia urodzajna powinna być wilgotna i pozbawiona kamieni większych od 5 cm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0,002 mm)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frakcja piaszczysta (0,05 do 2,0 mm)</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kwasowość pH</w:t>
      </w:r>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Składowanie mchu polega na układaniu go w stosy lub pryzmy. Wysokość stosu nie powinna przekraczać 1 m.</w:t>
      </w:r>
    </w:p>
    <w:p w:rsidR="001B1D1E" w:rsidRDefault="001B1D1E">
      <w:pPr>
        <w:pStyle w:val="Nagwek2"/>
      </w:pPr>
      <w:r>
        <w:t>2.8. Szpilki do przybijania darniny</w:t>
      </w:r>
    </w:p>
    <w:p w:rsidR="001B1D1E" w:rsidRDefault="001B1D1E">
      <w:r>
        <w:tab/>
        <w:t>Szpilki do przybijania darniny powinny być wykonane z gałęzi, żerdzi lub drewna szczapowego. Szpilki powinny być proste, ostro zaciosane. Grubość szpilek powinna wynosić od 1,5 do 2,5 cm, a długość od 20 do 30 cm.</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2.13. Biowłóknina</w:t>
      </w:r>
    </w:p>
    <w:p w:rsidR="001B1D1E" w:rsidRDefault="001B1D1E">
      <w:r>
        <w:tab/>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rsidR="001B1D1E" w:rsidRDefault="001B1D1E">
      <w:r>
        <w:lastRenderedPageBreak/>
        <w:tab/>
        <w:t>Biowłóknina powinna być składowana i przechowywana w belach owiniętych folią, w suchym i przewiewnym pomieszczeniu, zgodnie z zaleceniami producenta. Pomieszczenie to powinno być niedostępne dla gryzoni.</w:t>
      </w:r>
    </w:p>
    <w:p w:rsidR="001B1D1E" w:rsidRDefault="001B1D1E">
      <w:r>
        <w:tab/>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1B1D1E" w:rsidRDefault="001B1D1E">
      <w:r>
        <w:tab/>
        <w:t>Sznurek polipropylenowy do przytwierdzania biowłókniny powinien spełniać wymagania PN-P-85012:1992 [8].</w:t>
      </w:r>
    </w:p>
    <w:p w:rsidR="001B1D1E" w:rsidRDefault="001B1D1E">
      <w:pPr>
        <w:pStyle w:val="Nagwek2"/>
      </w:pPr>
      <w:r>
        <w:t>2.14. Geosyntetyki</w:t>
      </w:r>
    </w:p>
    <w:p w:rsidR="001B1D1E" w:rsidRDefault="001B1D1E">
      <w:r>
        <w:tab/>
        <w:t>Do powierzchniowego umocnienia przeciwerozyjnego skarp należy stosować geosyntetyki określone w dokumentacji projektowej, np.:</w:t>
      </w:r>
    </w:p>
    <w:p w:rsidR="001B1D1E" w:rsidRDefault="001B1D1E" w:rsidP="003D6DB4">
      <w:pPr>
        <w:numPr>
          <w:ilvl w:val="0"/>
          <w:numId w:val="5"/>
        </w:numPr>
        <w:ind w:left="283" w:hanging="283"/>
      </w:pPr>
      <w:r>
        <w:t>geotekstylia, w tym geotkaniny (wytwarzane przez przeplatanie przędzy, włókien, filamentów, taśm) i geowłókniny (warstwa runa lub włóknin połączonych siłami tarcia lub kohezji albo adhezji),</w:t>
      </w:r>
    </w:p>
    <w:p w:rsidR="001B1D1E" w:rsidRDefault="001B1D1E" w:rsidP="003D6DB4">
      <w:pPr>
        <w:numPr>
          <w:ilvl w:val="0"/>
          <w:numId w:val="5"/>
        </w:numPr>
        <w:ind w:left="283" w:hanging="283"/>
      </w:pPr>
      <w:r>
        <w:t>gęste geosiatki bezwęzełkowe, tj. płaskie struktury w postaci siatki o małym oczku,</w:t>
      </w:r>
    </w:p>
    <w:p w:rsidR="001B1D1E" w:rsidRDefault="001B1D1E" w:rsidP="003D6DB4">
      <w:pPr>
        <w:numPr>
          <w:ilvl w:val="0"/>
          <w:numId w:val="5"/>
        </w:numPr>
        <w:ind w:left="283" w:hanging="283"/>
      </w:pPr>
      <w:r>
        <w:t xml:space="preserve">geokompozyty przepuszczalne, tj. materiały złożone z różnych geosyntetyków, </w:t>
      </w:r>
    </w:p>
    <w:p w:rsidR="001B1D1E" w:rsidRDefault="001B1D1E" w:rsidP="003D6DB4">
      <w:pPr>
        <w:numPr>
          <w:ilvl w:val="0"/>
          <w:numId w:val="5"/>
        </w:numPr>
        <w:ind w:left="283" w:hanging="283"/>
      </w:pPr>
      <w:r>
        <w:t>geosiatki komórkowe, tj. przestrzenne struktury zbliżone wyglądem do plastra miodu,</w:t>
      </w:r>
    </w:p>
    <w:p w:rsidR="001B1D1E" w:rsidRDefault="001B1D1E" w:rsidP="003D6DB4">
      <w:pPr>
        <w:numPr>
          <w:ilvl w:val="0"/>
          <w:numId w:val="5"/>
        </w:numPr>
        <w:ind w:left="283" w:hanging="283"/>
      </w:pPr>
      <w:r>
        <w:t>geomaty z siatki, tj. materiały geosyntetyczne w postaci siatki ze strukturą przestrzenną (odmianą jest geomata darniowa z wcześniej wyhodowaną trawą do natychmiastowego utworzenia roślinnego pokrycia skarpy).</w:t>
      </w:r>
    </w:p>
    <w:p w:rsidR="001B1D1E" w:rsidRDefault="001B1D1E" w:rsidP="003D6DB4">
      <w:pPr>
        <w:numPr>
          <w:ilvl w:val="12"/>
          <w:numId w:val="0"/>
        </w:numPr>
      </w:pPr>
      <w:r>
        <w:tab/>
        <w:t>Każdy zastosowany geosyntetyk powinien posiadać aprobatę techniczną, wydaną przez uprawnioną jednostkę.</w:t>
      </w:r>
    </w:p>
    <w:p w:rsidR="001B1D1E" w:rsidRDefault="001B1D1E" w:rsidP="003D6DB4">
      <w:pPr>
        <w:numPr>
          <w:ilvl w:val="12"/>
          <w:numId w:val="0"/>
        </w:numPr>
      </w:pPr>
      <w:r>
        <w:tab/>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2.15. Mieszanina do hydroobsiewu</w:t>
      </w:r>
    </w:p>
    <w:p w:rsidR="001B1D1E" w:rsidRDefault="001B1D1E" w:rsidP="003D6DB4">
      <w:pPr>
        <w:numPr>
          <w:ilvl w:val="12"/>
          <w:numId w:val="0"/>
        </w:numPr>
      </w:pPr>
      <w:r>
        <w:tab/>
        <w:t>Mieszanina do hydroobsiewu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Osady ściekowe powinny pochodzić z oczyszczalni komunalnych i powinny być przefermentowane lub kompostowane, a zawartość metali ciężkich nie może przekroczyć na 1 kg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Ramowy skład mieszaniny na 1 m</w:t>
      </w:r>
      <w:r>
        <w:rPr>
          <w:vertAlign w:val="superscript"/>
        </w:rPr>
        <w:t>2</w:t>
      </w:r>
      <w:r>
        <w:t xml:space="preserve"> hydroobsiewu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0,03 kg,</w:t>
      </w:r>
    </w:p>
    <w:p w:rsidR="001B1D1E" w:rsidRDefault="001B1D1E" w:rsidP="003D6DB4">
      <w:pPr>
        <w:numPr>
          <w:ilvl w:val="0"/>
          <w:numId w:val="5"/>
        </w:numPr>
        <w:ind w:left="283" w:hanging="283"/>
      </w:pPr>
      <w:r>
        <w:t>ściółka (sieczka, strużyny, substrat torfowy)       od 0,06   do 0,10 kg,</w:t>
      </w:r>
    </w:p>
    <w:p w:rsidR="001B1D1E" w:rsidRDefault="001B1D1E" w:rsidP="003D6DB4">
      <w:pPr>
        <w:numPr>
          <w:ilvl w:val="0"/>
          <w:numId w:val="5"/>
        </w:numPr>
        <w:ind w:left="283" w:hanging="283"/>
      </w:pPr>
      <w:r>
        <w:lastRenderedPageBreak/>
        <w:t>popioły lotne</w:t>
      </w:r>
      <w:r>
        <w:tab/>
      </w:r>
      <w:r>
        <w:tab/>
      </w:r>
      <w:r>
        <w:tab/>
      </w:r>
      <w:r>
        <w:tab/>
        <w:t xml:space="preserve">            od 0,08   do 0,14 kg,</w:t>
      </w:r>
    </w:p>
    <w:p w:rsidR="001B1D1E" w:rsidRDefault="001B1D1E" w:rsidP="003D6DB4">
      <w:pPr>
        <w:numPr>
          <w:ilvl w:val="0"/>
          <w:numId w:val="5"/>
        </w:numPr>
        <w:ind w:left="283" w:hanging="283"/>
      </w:pPr>
      <w:r>
        <w:t>nawozy mineralne (NPK)</w:t>
      </w:r>
      <w:r>
        <w:tab/>
      </w:r>
      <w:r>
        <w:tab/>
        <w:t xml:space="preserve">            od 0,02   do 0,05 kg.</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6" w:name="_Toc428243644"/>
      <w:bookmarkStart w:id="7" w:name="_Toc497107500"/>
      <w:r>
        <w:t>3. SPRZĘT</w:t>
      </w:r>
      <w:bookmarkEnd w:id="6"/>
      <w:bookmarkEnd w:id="7"/>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Ogólne wymagania dotyczące sprzętu podano wSST D-M-00.00.00 „Wymagania ogólne” pkt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r>
        <w:t>hydrosiewnika z ciągnikiem oraz osprzętu do agrouprawy (np. włóki obręczowo-pierścieniowej, brony chwastownika - zgrzebła, wałowłóki),</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8" w:name="_Toc428243645"/>
      <w:bookmarkStart w:id="9" w:name="_Toc497107501"/>
      <w:r>
        <w:t>4. TRANSPORT</w:t>
      </w:r>
      <w:bookmarkEnd w:id="8"/>
      <w:bookmarkEnd w:id="9"/>
    </w:p>
    <w:p w:rsidR="001B1D1E" w:rsidRDefault="001B1D1E">
      <w:pPr>
        <w:pStyle w:val="Nagwek2"/>
      </w:pPr>
      <w:r>
        <w:t>4.1. Ogólne wymagania dotyczące transportu</w:t>
      </w:r>
    </w:p>
    <w:p w:rsidR="001B1D1E" w:rsidRDefault="001B1D1E">
      <w:r>
        <w:tab/>
        <w:t>Ogólne wymagania dotyczące transportu podano w SST D-M-00.00.00 „Wymagania ogólne” pkt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Transport biowłókniny</w:t>
      </w:r>
    </w:p>
    <w:p w:rsidR="001B1D1E" w:rsidRDefault="001B1D1E">
      <w:pPr>
        <w:spacing w:before="120"/>
      </w:pPr>
      <w:r>
        <w:tab/>
        <w:t>Biowłókninę można przewozić dowolnymi środkami transportowymi w warunkach zabezpieczających przed zawilgoceniem.</w:t>
      </w:r>
    </w:p>
    <w:p w:rsidR="001B1D1E" w:rsidRDefault="001B1D1E" w:rsidP="003D6DB4">
      <w:pPr>
        <w:numPr>
          <w:ilvl w:val="0"/>
          <w:numId w:val="7"/>
        </w:numPr>
        <w:spacing w:before="120"/>
      </w:pPr>
      <w:r>
        <w:t>Transport geosyntetyków</w:t>
      </w:r>
    </w:p>
    <w:p w:rsidR="001B1D1E" w:rsidRDefault="001B1D1E">
      <w:pPr>
        <w:spacing w:before="120"/>
      </w:pPr>
      <w:r>
        <w:tab/>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hydroobsiewu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komunalnymi wozami asenizacyjnymi, o pojemności do 10,0 m</w:t>
      </w:r>
      <w:r>
        <w:rPr>
          <w:vertAlign w:val="superscript"/>
        </w:rPr>
        <w:t>3</w:t>
      </w:r>
      <w:r>
        <w:t>,</w:t>
      </w:r>
    </w:p>
    <w:p w:rsidR="001B1D1E" w:rsidRDefault="001B1D1E" w:rsidP="003D6DB4">
      <w:pPr>
        <w:numPr>
          <w:ilvl w:val="0"/>
          <w:numId w:val="5"/>
        </w:numPr>
        <w:ind w:left="283" w:hanging="283"/>
      </w:pPr>
      <w:r>
        <w:t>rolniczymi wozami asenizacyjnymi, wyposażonymi w pompy próżniowe (na odległości do około 5 km),</w:t>
      </w:r>
    </w:p>
    <w:p w:rsidR="001B1D1E" w:rsidRDefault="001B1D1E" w:rsidP="003D6DB4">
      <w:pPr>
        <w:numPr>
          <w:ilvl w:val="0"/>
          <w:numId w:val="5"/>
        </w:numPr>
        <w:ind w:left="283" w:hanging="283"/>
      </w:pPr>
      <w:r>
        <w:t>w specjalnych zbiornikach.</w:t>
      </w:r>
    </w:p>
    <w:p w:rsidR="001B1D1E" w:rsidRDefault="001B1D1E">
      <w:pPr>
        <w:pStyle w:val="Nagwek1"/>
      </w:pPr>
      <w:bookmarkStart w:id="10" w:name="_Toc428243646"/>
      <w:bookmarkStart w:id="11" w:name="_Toc497107502"/>
      <w:r>
        <w:t>5. WYKONANIE ROBÓT</w:t>
      </w:r>
      <w:bookmarkEnd w:id="10"/>
      <w:bookmarkEnd w:id="11"/>
    </w:p>
    <w:p w:rsidR="001B1D1E" w:rsidRDefault="001B1D1E">
      <w:pPr>
        <w:pStyle w:val="Nagwek2"/>
      </w:pPr>
      <w:r>
        <w:t>5.1. Ogólne zasady wykonania robót</w:t>
      </w:r>
    </w:p>
    <w:p w:rsidR="001B1D1E" w:rsidRDefault="001B1D1E">
      <w:r>
        <w:tab/>
        <w:t>Ogólne zasady wykonania robót podano w SST D-M-00.00.00 „Wymagania ogólne” pkt 5.</w:t>
      </w:r>
    </w:p>
    <w:p w:rsidR="001B1D1E" w:rsidRDefault="001B1D1E">
      <w:pPr>
        <w:pStyle w:val="Nagwek2"/>
      </w:pPr>
      <w:r>
        <w:t>5.2. Humusowanie</w:t>
      </w:r>
    </w:p>
    <w:p w:rsidR="001B1D1E" w:rsidRDefault="001B1D1E">
      <w:r>
        <w:rPr>
          <w:b/>
        </w:rPr>
        <w:tab/>
      </w:r>
      <w:r>
        <w:t>Humusowanie powinno być wykonywane od górnej krawędzi skarpy do jej dolnej krawędzi. Warstwa ziemi urodzajnej powinna sięgać poza górną krawędź skarpy i poza podnóże skarpy nasypu od 15 do 25 cm.</w:t>
      </w:r>
    </w:p>
    <w:p w:rsidR="001B1D1E" w:rsidRDefault="001B1D1E">
      <w:r>
        <w:tab/>
        <w:t>Grubość pokrycia ziemią urodzajną powinna wynosić od 10 do 15 cm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5 cm, w odstępach co 0,5</w:t>
      </w:r>
      <w:r>
        <w:rPr>
          <w:b/>
        </w:rPr>
        <w:t xml:space="preserve"> </w:t>
      </w:r>
      <w:r>
        <w:t>do</w:t>
      </w:r>
      <w:r>
        <w:rPr>
          <w:b/>
        </w:rPr>
        <w:t xml:space="preserve"> </w:t>
      </w:r>
      <w:r>
        <w:t>1,0 m. Ułożoną warstwę ziemi urodzajnej należy zagrabić (pobronować)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humusowanie (patrz pkt 5.2), lub,</w:t>
      </w:r>
    </w:p>
    <w:p w:rsidR="001B1D1E" w:rsidRDefault="001B1D1E" w:rsidP="003D6DB4">
      <w:pPr>
        <w:numPr>
          <w:ilvl w:val="0"/>
          <w:numId w:val="5"/>
        </w:numPr>
        <w:ind w:left="567" w:hanging="283"/>
      </w:pPr>
      <w:r>
        <w:t>wymieszanie gruntu skarpy z naniesionymi osadami ściekowymi za pomocą osprzętu agrouprawowego,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naniesieniu na obsianą powierzchnię tymczasowej warstwy przeciwerozyjnej (patrz pkt 5.4) metodą mulczowania lub hydromulczowania.</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Tymczasowa warstwa przeciwerozyjna może być wykonana z biowłókniny, geosyntetyków,  z płynnych osadów ściekowych, emulsji bitumicznych lub lateksowych np. metodą mulczowania lub hydromulczowania.</w:t>
      </w:r>
    </w:p>
    <w:p w:rsidR="001B1D1E" w:rsidRDefault="001B1D1E">
      <w:r>
        <w:tab/>
        <w:t>Mulczowanie polega na naniesieniu na powierzchnię gruntu ściółki (np. sieczki, stróżyn,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Umocnienie skarp przez darniowanie w kratę wykonuje się na wysokich nasypach (powyżej 3,5 m).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Przy umocnieniu rowów i ścieków na warstwie podkładu z kruszywa można ułożyć warstwę zaprawy cementowo-piaskowej w stosunku 1:4 i grubości od 3 cm do 5 cm.</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Pale należy wbijać „pod sznur” równo z poziomem górnej warstwy bruku. Szerokość szczelin między palami nie powinna przekraczać 1 cm.</w:t>
      </w:r>
    </w:p>
    <w:p w:rsidR="001B1D1E" w:rsidRDefault="001B1D1E">
      <w:pPr>
        <w:spacing w:before="120" w:after="120"/>
      </w:pPr>
      <w:r>
        <w:rPr>
          <w:b/>
        </w:rPr>
        <w:t xml:space="preserve">5.6.5. </w:t>
      </w:r>
      <w:r>
        <w:t>Układanie brukowca</w:t>
      </w:r>
    </w:p>
    <w:p w:rsidR="001B1D1E" w:rsidRDefault="001B1D1E">
      <w:r>
        <w:tab/>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Podłoże, na którym układane będą elementy prefabrykowane, powinno być zagęszczone do wskaźnika I</w:t>
      </w:r>
      <w:r>
        <w:rPr>
          <w:vertAlign w:val="subscript"/>
        </w:rPr>
        <w:t>s</w:t>
      </w:r>
      <w:r>
        <w:t xml:space="preserve"> </w:t>
      </w:r>
      <w:r>
        <w:sym w:font="Courier New" w:char="003D"/>
      </w:r>
      <w:r>
        <w:t xml:space="preserve"> 1,0. Na przygotowanym podłożu należy ułożyć podsypkę cementowo-piaskową o stosunku 1:4 i zagęścić do wskaźnika I</w:t>
      </w:r>
      <w:r>
        <w:rPr>
          <w:vertAlign w:val="subscript"/>
        </w:rPr>
        <w:t>s</w:t>
      </w:r>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5.8. Umacnianie powierzchni biowłókniną</w:t>
      </w:r>
    </w:p>
    <w:p w:rsidR="001B1D1E" w:rsidRDefault="001B1D1E">
      <w:pPr>
        <w:spacing w:after="120"/>
      </w:pPr>
      <w:r>
        <w:rPr>
          <w:b/>
        </w:rPr>
        <w:t xml:space="preserve">5.8.1. </w:t>
      </w:r>
      <w:r>
        <w:t>Zasady ogólne</w:t>
      </w:r>
    </w:p>
    <w:p w:rsidR="001B1D1E" w:rsidRDefault="001B1D1E">
      <w:r>
        <w:tab/>
        <w:t>Umacnianie powierzchni biowłókniną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rsidR="001B1D1E" w:rsidRDefault="001B1D1E">
      <w:pPr>
        <w:spacing w:before="120" w:after="120"/>
      </w:pPr>
      <w:r>
        <w:rPr>
          <w:b/>
        </w:rPr>
        <w:t xml:space="preserve">5.8.3. </w:t>
      </w:r>
      <w:r>
        <w:t>Układanie biowłókniny na skarpach wykopów</w:t>
      </w:r>
    </w:p>
    <w:p w:rsidR="001B1D1E" w:rsidRDefault="001B1D1E">
      <w:pPr>
        <w:ind w:firstLine="709"/>
      </w:pPr>
      <w:r>
        <w:t xml:space="preserve">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t>
      </w:r>
      <w:r>
        <w:lastRenderedPageBreak/>
        <w:t>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rsidR="001B1D1E" w:rsidRDefault="001B1D1E">
      <w:pPr>
        <w:spacing w:before="120" w:after="120"/>
      </w:pPr>
      <w:r>
        <w:rPr>
          <w:b/>
        </w:rPr>
        <w:t xml:space="preserve">5.8.4. </w:t>
      </w:r>
      <w:r>
        <w:t>Układanie biowłókniny na skarpach nasypów</w:t>
      </w:r>
    </w:p>
    <w:p w:rsidR="001B1D1E" w:rsidRDefault="001B1D1E">
      <w:pPr>
        <w:ind w:firstLine="709"/>
      </w:pPr>
      <w:r>
        <w:t>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rsidR="001B1D1E" w:rsidRDefault="001B1D1E">
      <w:pPr>
        <w:spacing w:before="120" w:after="120"/>
      </w:pPr>
      <w:r>
        <w:rPr>
          <w:b/>
        </w:rPr>
        <w:t xml:space="preserve">5.8.5. </w:t>
      </w:r>
      <w:r>
        <w:t>Zabiegi pielęgnacyjne</w:t>
      </w:r>
    </w:p>
    <w:p w:rsidR="001B1D1E" w:rsidRDefault="001B1D1E">
      <w:pPr>
        <w:ind w:firstLine="709"/>
      </w:pPr>
      <w:r>
        <w:t>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1B1D1E" w:rsidRDefault="001B1D1E">
      <w:pPr>
        <w:pStyle w:val="Nagwek2"/>
      </w:pPr>
      <w:r>
        <w:t>5.9. Umocnienie powierzchni geosyntetykami</w:t>
      </w:r>
    </w:p>
    <w:p w:rsidR="001B1D1E" w:rsidRDefault="001B1D1E">
      <w:r>
        <w:tab/>
        <w:t>Umocnienie skarp geosyntetykami powinno odpowiadać ustaleniom dokumentacji projektowej.</w:t>
      </w:r>
    </w:p>
    <w:p w:rsidR="001B1D1E" w:rsidRDefault="001B1D1E">
      <w:r>
        <w:tab/>
        <w:t>Ułożenie geosyntetyków na skarpie powinno być zgodne z zaleceniami producenta i aprobaty technicznej, a w przypadku ich braku lub niepełnych danych - zgodne ze wskazaniami podanymi w dalszym ciągu.</w:t>
      </w:r>
    </w:p>
    <w:p w:rsidR="001B1D1E" w:rsidRDefault="001B1D1E">
      <w:r>
        <w:tab/>
        <w:t>Folię, w którą są zapakowane rolki geosyntetyków, zaleca się zdejmować bezpośrednio przed układaniem. W celu uzyskania mniejszej szerokości rolki można ją przeciąć piłą.</w:t>
      </w:r>
    </w:p>
    <w:p w:rsidR="001B1D1E" w:rsidRDefault="001B1D1E">
      <w:r>
        <w:tab/>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rsidR="001B1D1E" w:rsidRDefault="001B1D1E">
      <w:r>
        <w:tab/>
        <w:t>Układanie geosyntetyków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Przy układaniu geosyntetyków należy unikać jakichkolwiek przeciągań lub przesunięć rozwiniętej beli, mogących spowodować uszkodzenie materiału.</w:t>
      </w:r>
    </w:p>
    <w:p w:rsidR="001B1D1E" w:rsidRDefault="001B1D1E">
      <w:r>
        <w:tab/>
        <w:t>Połączenia rozwiniętych rulonów powinny być wykonane zgodnie z zaleceniami producenta geotekstylii, w postaci: luźnego zakładu o ustalonej jego szerokości lub zszycia, zgrzewania, sklejenia, klamrowania, szpilkowania itp.</w:t>
      </w:r>
    </w:p>
    <w:p w:rsidR="001B1D1E" w:rsidRDefault="001B1D1E">
      <w:r>
        <w:tab/>
        <w:t>Zależnie od rodzaju materiału, geosyntetyk układa się, zgodnie z instrukcją producenta, przed lub po naniesieniu humusu i obsiewie wykonanymi według punktów 5.2   i 5.3, lub hydroobsiewie według punktu 5.10.</w:t>
      </w:r>
    </w:p>
    <w:p w:rsidR="001B1D1E" w:rsidRDefault="001B1D1E">
      <w:pPr>
        <w:pStyle w:val="Nagwek2"/>
      </w:pPr>
      <w:r>
        <w:t>5.10. Wykonanie hydroobsiewu</w:t>
      </w:r>
    </w:p>
    <w:p w:rsidR="001B1D1E" w:rsidRDefault="001B1D1E">
      <w:r>
        <w:tab/>
        <w:t>Hydroobsiew może być wykonywany wyłącznie przez przedsiębiorstwa posiadające doświadczenie w tej technologii umacniania skarp i rowów.</w:t>
      </w:r>
    </w:p>
    <w:p w:rsidR="001B1D1E" w:rsidRDefault="001B1D1E">
      <w:r>
        <w:tab/>
        <w:t>Materiały używane do hydroobsiewu powinny odpowiadać wymaganiom pktu 2,       a sprzęt - pktu 3.</w:t>
      </w:r>
    </w:p>
    <w:p w:rsidR="001B1D1E" w:rsidRDefault="001B1D1E">
      <w:r>
        <w:tab/>
        <w:t>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Pr>
          <w:vertAlign w:val="superscript"/>
        </w:rPr>
        <w:t>2</w:t>
      </w:r>
      <w:r>
        <w:t>, zlokalizowanych na zacienionej (np. północnej) i niezacienionej (np. południowej) skarpie.</w:t>
      </w:r>
    </w:p>
    <w:p w:rsidR="001B1D1E" w:rsidRDefault="001B1D1E">
      <w:r>
        <w:tab/>
        <w:t>Hydroobsiewu przy użyciu osadów ściekowych nie można wykonywać w strefach ujęć wody oraz w odległości mniejszej niż 20 m od budynków i kąpielisk.</w:t>
      </w:r>
    </w:p>
    <w:p w:rsidR="001B1D1E" w:rsidRDefault="001B1D1E">
      <w:r>
        <w:tab/>
        <w:t>Hydroobsiew powinien być wykonany możliwie w najkrótszym czasie po zakończeniu robót ziemnych, w okresie od 1 kwietnia do 15 października oraz, w razie potrzeby,  tuż po pierwszych jesiennych przymrozkach.</w:t>
      </w:r>
    </w:p>
    <w:p w:rsidR="001B1D1E" w:rsidRDefault="001B1D1E">
      <w:r>
        <w:tab/>
        <w:t>Hydroobsiew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gruntów ubogich i bezglebowych, z dawką odwodnionych osadów ściekowych zwiększoną do 30 l/m</w:t>
      </w:r>
      <w:r>
        <w:rPr>
          <w:vertAlign w:val="superscript"/>
        </w:rPr>
        <w:t>2</w:t>
      </w:r>
      <w:r>
        <w:t xml:space="preserve"> przy zawartości 5-10% suchej masy.</w:t>
      </w:r>
    </w:p>
    <w:p w:rsidR="001B1D1E" w:rsidRDefault="001B1D1E">
      <w:r>
        <w:tab/>
        <w:t>Hydroobsiew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(pratotechnicznych) należy: koszenie (po wschodach), użyźnianie (np. nawozami azotowymi do 100 kg/ha) oraz ścinanie nierówności, kęp oraz kretowisk oraz nawadnianie w okresach suszy.</w:t>
      </w:r>
    </w:p>
    <w:p w:rsidR="001B1D1E" w:rsidRDefault="001B1D1E">
      <w:pPr>
        <w:pStyle w:val="Nagwek1"/>
      </w:pPr>
      <w:bookmarkStart w:id="12" w:name="_Toc428243647"/>
      <w:bookmarkStart w:id="13" w:name="_Toc497107503"/>
      <w:r>
        <w:t>6. KONTROLA JAKOŚCI ROBÓT</w:t>
      </w:r>
      <w:bookmarkEnd w:id="12"/>
      <w:bookmarkEnd w:id="13"/>
    </w:p>
    <w:p w:rsidR="001B1D1E" w:rsidRDefault="001B1D1E">
      <w:pPr>
        <w:pStyle w:val="Nagwek2"/>
      </w:pPr>
      <w:r>
        <w:t>6.1. Ogólne zasady kontroli jakości robót</w:t>
      </w:r>
    </w:p>
    <w:p w:rsidR="001B1D1E" w:rsidRDefault="001B1D1E">
      <w:r>
        <w:tab/>
        <w:t>Ogólne zasady kontroli jakości robót podano w SST D-M-00.00.00 „Wymagania ogólne” pkt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Po wzejściu roślin, łączna powierzchnia nie porośniętych miejsc nie powinna być większa niż 2% powierzchni obsianej skarpy, a maksymalny wymiar pojedynczych nie zatrawionych miejsc nie powinien przekraczać 0,2 m</w:t>
      </w:r>
      <w:r>
        <w:rPr>
          <w:vertAlign w:val="superscript"/>
        </w:rPr>
        <w:t>2</w:t>
      </w:r>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Na powierzchni ok. 1 m</w:t>
      </w:r>
      <w:r>
        <w:rPr>
          <w:vertAlign w:val="superscript"/>
        </w:rPr>
        <w:t>2</w:t>
      </w:r>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Kontrola polega na rozebraniu ok. 1 m</w:t>
      </w:r>
      <w:r>
        <w:rPr>
          <w:vertAlign w:val="superscript"/>
        </w:rPr>
        <w:t>2</w:t>
      </w:r>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wskaźnika zagęszczenia gruntu w korycie - zgodnego z pktem 5.7,</w:t>
      </w:r>
    </w:p>
    <w:p w:rsidR="001B1D1E" w:rsidRDefault="001B1D1E" w:rsidP="003D6DB4">
      <w:pPr>
        <w:numPr>
          <w:ilvl w:val="0"/>
          <w:numId w:val="1"/>
        </w:numPr>
      </w:pPr>
      <w:r>
        <w:t xml:space="preserve">szerokości dna koryta - dopuszczalna odchyłka </w:t>
      </w:r>
      <w:r>
        <w:sym w:font="Symbol" w:char="F0B1"/>
      </w:r>
      <w:r>
        <w:t xml:space="preserve"> 2 cm,</w:t>
      </w:r>
    </w:p>
    <w:p w:rsidR="001B1D1E" w:rsidRDefault="001B1D1E" w:rsidP="003D6DB4">
      <w:pPr>
        <w:numPr>
          <w:ilvl w:val="0"/>
          <w:numId w:val="1"/>
        </w:numPr>
      </w:pPr>
      <w:r>
        <w:t xml:space="preserve">odchylenia linii ścieku w planie od linii projektowanej - na 100 m dopuszczalne </w:t>
      </w:r>
      <w:r>
        <w:sym w:font="Symbol" w:char="F0B1"/>
      </w:r>
      <w:r>
        <w:t xml:space="preserve"> 1 cm,</w:t>
      </w:r>
    </w:p>
    <w:p w:rsidR="001B1D1E" w:rsidRDefault="001B1D1E" w:rsidP="003D6DB4">
      <w:pPr>
        <w:numPr>
          <w:ilvl w:val="0"/>
          <w:numId w:val="1"/>
        </w:numPr>
      </w:pPr>
      <w:r>
        <w:t>równości górnej powierzchni ścieku - na 100 m dopuszczalny prześwit mierzony łatą  2 m - 1 cm,</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6.6. Kontrola jakości umocnienia powierzchni biowłókniną</w:t>
      </w:r>
    </w:p>
    <w:p w:rsidR="001B1D1E" w:rsidRDefault="001B1D1E" w:rsidP="003D6DB4">
      <w:pPr>
        <w:numPr>
          <w:ilvl w:val="12"/>
          <w:numId w:val="0"/>
        </w:numPr>
      </w:pPr>
      <w:r>
        <w:tab/>
        <w:t>Przed wykonaniem robót Wykonawca powinien przedstawić Inżynierowi atest wyrobu, stwierdzający charakterystykę, skład mieszanki nasion roślin i typ siedliska, dla którego przeznaczona jest biowłóknina.</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6.7. Kontrola jakości umocnienia powierzchni geosyntetykami</w:t>
      </w:r>
    </w:p>
    <w:p w:rsidR="001B1D1E" w:rsidRDefault="001B1D1E" w:rsidP="003D6DB4">
      <w:pPr>
        <w:numPr>
          <w:ilvl w:val="12"/>
          <w:numId w:val="0"/>
        </w:numPr>
      </w:pPr>
      <w:r>
        <w:tab/>
        <w:t>Przed wykonaniem robót Wykonawca powinien przedstawić Inżynierowi dokumenty dopuszczające wyroby budowlane (geosyntetyk) do obrotu i powszechnego stosowania (dotyczy aprobaty technicznej, certyfikatu, deklaracji zgodności).</w:t>
      </w:r>
    </w:p>
    <w:p w:rsidR="001B1D1E" w:rsidRDefault="001B1D1E" w:rsidP="003D6DB4">
      <w:pPr>
        <w:numPr>
          <w:ilvl w:val="12"/>
          <w:numId w:val="0"/>
        </w:numPr>
      </w:pPr>
      <w:r>
        <w:tab/>
        <w:t>Wszystkie nadesłane materiały geotekstylne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wyrównanie podłoża i usunięcie z niego przedmiotów mogących uszkadzać geosyntetyki,</w:t>
      </w:r>
    </w:p>
    <w:p w:rsidR="001B1D1E" w:rsidRDefault="001B1D1E" w:rsidP="003D6DB4">
      <w:pPr>
        <w:numPr>
          <w:ilvl w:val="0"/>
          <w:numId w:val="11"/>
        </w:numPr>
      </w:pPr>
      <w:r>
        <w:t>poprawność rozwijania i mocowania rulonów geosyntetyków oraz ich układania i łączenia, zgodnie z ew. projektem (rysunkiem) układania,</w:t>
      </w:r>
    </w:p>
    <w:p w:rsidR="001B1D1E" w:rsidRDefault="001B1D1E" w:rsidP="003D6DB4">
      <w:pPr>
        <w:numPr>
          <w:ilvl w:val="0"/>
          <w:numId w:val="11"/>
        </w:numPr>
      </w:pPr>
      <w:r>
        <w:t>naniesienie humusu i obsianie trawą lub wykonanie hydroobsiewu,</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6.8. Kontrola jakości wykonania hydroobsiewu</w:t>
      </w:r>
    </w:p>
    <w:p w:rsidR="001B1D1E" w:rsidRDefault="001B1D1E" w:rsidP="003D6DB4">
      <w:pPr>
        <w:numPr>
          <w:ilvl w:val="12"/>
          <w:numId w:val="0"/>
        </w:numPr>
      </w:pPr>
      <w:r>
        <w:tab/>
        <w:t>Przed wykonaniem robót Wykonawca powinien przedstawić Inżynierowi wyniki badań składników mieszaniny do hydroobsiewu z gruntem lub wyniki z wykonanego odcinka próbnego.</w:t>
      </w:r>
    </w:p>
    <w:p w:rsidR="001B1D1E" w:rsidRDefault="001B1D1E" w:rsidP="003D6DB4">
      <w:pPr>
        <w:numPr>
          <w:ilvl w:val="12"/>
          <w:numId w:val="0"/>
        </w:numPr>
      </w:pPr>
      <w:r>
        <w:tab/>
        <w:t>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4" w:name="_Toc428243648"/>
      <w:bookmarkStart w:id="15" w:name="_Toc497107504"/>
      <w:r>
        <w:lastRenderedPageBreak/>
        <w:t>7. OBMIAR ROBÓT</w:t>
      </w:r>
      <w:bookmarkEnd w:id="14"/>
      <w:bookmarkEnd w:id="15"/>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Ogólne zasady obmiaru robót podano w SST D-M-00.00.00 „Wymagania ogólne” pkt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hydroobsiew oraz umocnienie biowłókniną                    i geosyntetykami,</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6" w:name="_Toc428243649"/>
      <w:bookmarkStart w:id="17" w:name="_Toc497107505"/>
      <w:r>
        <w:t>8. ODBIÓR ROBÓT</w:t>
      </w:r>
      <w:bookmarkEnd w:id="16"/>
      <w:bookmarkEnd w:id="17"/>
    </w:p>
    <w:p w:rsidR="001B1D1E" w:rsidRDefault="001B1D1E" w:rsidP="003D6DB4">
      <w:pPr>
        <w:numPr>
          <w:ilvl w:val="12"/>
          <w:numId w:val="0"/>
        </w:numPr>
      </w:pPr>
      <w:r>
        <w:tab/>
        <w:t>Ogólne zasady odbioru robót podano w SST D-M-00.00.00 „Wymagania ogólne” pkt 8.</w:t>
      </w:r>
    </w:p>
    <w:p w:rsidR="001B1D1E" w:rsidRDefault="001B1D1E" w:rsidP="003D6DB4">
      <w:pPr>
        <w:numPr>
          <w:ilvl w:val="12"/>
          <w:numId w:val="0"/>
        </w:numPr>
      </w:pPr>
      <w:r>
        <w:tab/>
        <w:t>Roboty uznaje się za wykonane zgodnie z dokumentacją projektową, SST                        i wymaganiami Inżyniera, jeżeli wszystkie pomiary i badania z zachowaniem tolerancji wg pktu 6 dały wyniki pozytywne.</w:t>
      </w:r>
    </w:p>
    <w:p w:rsidR="001B1D1E" w:rsidRDefault="001B1D1E" w:rsidP="003D6DB4">
      <w:pPr>
        <w:pStyle w:val="Nagwek1"/>
        <w:numPr>
          <w:ilvl w:val="12"/>
          <w:numId w:val="0"/>
        </w:numPr>
      </w:pPr>
      <w:bookmarkStart w:id="18" w:name="_Toc428243650"/>
      <w:bookmarkStart w:id="19" w:name="_Toc497107506"/>
      <w:r>
        <w:t>9. PODSTAWA PŁATNOŚCI</w:t>
      </w:r>
      <w:bookmarkEnd w:id="18"/>
      <w:bookmarkEnd w:id="19"/>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Ogólne ustalenia dotyczące podstawy płatności podano w SST D-M-00.00.00 „Wymagania ogólne” pkt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hydroobsiew oraz umocnienie biowłókniną i geosyntetykami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Cena 1 m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20" w:name="_Toc428243651"/>
      <w:bookmarkStart w:id="21" w:name="_Toc497107507"/>
      <w:r>
        <w:t>10. PRZEPISY ZWIĄZANE</w:t>
      </w:r>
      <w:bookmarkEnd w:id="20"/>
      <w:bookmarkEnd w:id="21"/>
    </w:p>
    <w:p w:rsidR="001B1D1E" w:rsidRDefault="001B1D1E">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1B1D1E">
        <w:tc>
          <w:tcPr>
            <w:tcW w:w="2197" w:type="dxa"/>
          </w:tcPr>
          <w:p w:rsidR="001B1D1E" w:rsidRDefault="001B1D1E">
            <w:r>
              <w:t xml:space="preserve">  1.   PN-B-11104:1960</w:t>
            </w:r>
          </w:p>
        </w:tc>
        <w:tc>
          <w:tcPr>
            <w:tcW w:w="5244" w:type="dxa"/>
          </w:tcPr>
          <w:p w:rsidR="001B1D1E" w:rsidRDefault="001B1D1E">
            <w:r>
              <w:t>Materiały kamienne. Brukowiec</w:t>
            </w:r>
          </w:p>
        </w:tc>
      </w:tr>
      <w:tr w:rsidR="001B1D1E">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c>
          <w:tcPr>
            <w:tcW w:w="2197" w:type="dxa"/>
          </w:tcPr>
          <w:p w:rsidR="001B1D1E" w:rsidRDefault="001B1D1E">
            <w:r>
              <w:t xml:space="preserve">  4.   PN-B-12074:1998</w:t>
            </w:r>
          </w:p>
        </w:tc>
        <w:tc>
          <w:tcPr>
            <w:tcW w:w="5244" w:type="dxa"/>
          </w:tcPr>
          <w:p w:rsidR="001B1D1E" w:rsidRDefault="001B1D1E">
            <w:r>
              <w:t>Urządzenia wodno-melioracyjne. Umacnianie i zadarnianie powierzchni biowłókniną. Wymagania i badania przy odbiorze</w:t>
            </w:r>
          </w:p>
        </w:tc>
      </w:tr>
      <w:tr w:rsidR="001B1D1E">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c>
          <w:tcPr>
            <w:tcW w:w="2197" w:type="dxa"/>
          </w:tcPr>
          <w:p w:rsidR="001B1D1E" w:rsidRDefault="001B1D1E">
            <w:r>
              <w:t xml:space="preserve">  6.   PN-B-14501:1990</w:t>
            </w:r>
          </w:p>
        </w:tc>
        <w:tc>
          <w:tcPr>
            <w:tcW w:w="5244" w:type="dxa"/>
          </w:tcPr>
          <w:p w:rsidR="001B1D1E" w:rsidRDefault="001B1D1E">
            <w:r>
              <w:t>Zaprawy budowlane zwykłe</w:t>
            </w:r>
          </w:p>
        </w:tc>
      </w:tr>
      <w:tr w:rsidR="001B1D1E">
        <w:tc>
          <w:tcPr>
            <w:tcW w:w="2197" w:type="dxa"/>
          </w:tcPr>
          <w:p w:rsidR="001B1D1E" w:rsidRDefault="001B1D1E">
            <w:pPr>
              <w:rPr>
                <w:lang w:val="en-US"/>
              </w:rPr>
            </w:pPr>
            <w:r>
              <w:t xml:space="preserve">  </w:t>
            </w:r>
            <w:r>
              <w:rPr>
                <w:lang w:val="en-US"/>
              </w:rPr>
              <w:t>7.   PN-B-19701</w:t>
            </w:r>
            <w:proofErr w:type="gramStart"/>
            <w:r>
              <w:rPr>
                <w:lang w:val="en-US"/>
              </w:rPr>
              <w:t>:1997</w:t>
            </w:r>
            <w:proofErr w:type="gramEnd"/>
          </w:p>
        </w:tc>
        <w:tc>
          <w:tcPr>
            <w:tcW w:w="5244" w:type="dxa"/>
          </w:tcPr>
          <w:p w:rsidR="001B1D1E" w:rsidRDefault="001B1D1E">
            <w:r w:rsidRPr="003D6DB4">
              <w:t xml:space="preserve">Cement. </w:t>
            </w:r>
            <w:r>
              <w:t>Cement powszechnego użytku. Skład, wymagania                i ocena zgodności</w:t>
            </w:r>
          </w:p>
        </w:tc>
      </w:tr>
      <w:tr w:rsidR="001B1D1E">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c>
          <w:tcPr>
            <w:tcW w:w="2197" w:type="dxa"/>
          </w:tcPr>
          <w:p w:rsidR="001B1D1E" w:rsidRDefault="001B1D1E">
            <w:r>
              <w:t>11.   PN-S-96035:1997</w:t>
            </w:r>
          </w:p>
        </w:tc>
        <w:tc>
          <w:tcPr>
            <w:tcW w:w="5244" w:type="dxa"/>
          </w:tcPr>
          <w:p w:rsidR="001B1D1E" w:rsidRDefault="001B1D1E">
            <w:r>
              <w:t>Drogi samochodowe. Popioły lotne</w:t>
            </w:r>
          </w:p>
        </w:tc>
      </w:tr>
      <w:tr w:rsidR="001B1D1E">
        <w:tc>
          <w:tcPr>
            <w:tcW w:w="2197" w:type="dxa"/>
          </w:tcPr>
          <w:p w:rsidR="001B1D1E" w:rsidRDefault="001B1D1E">
            <w:r>
              <w:t>12.   BN-88/6731-08</w:t>
            </w:r>
          </w:p>
        </w:tc>
        <w:tc>
          <w:tcPr>
            <w:tcW w:w="5244" w:type="dxa"/>
          </w:tcPr>
          <w:p w:rsidR="001B1D1E" w:rsidRDefault="001B1D1E">
            <w:r>
              <w:t>Cement. Transport i przechowywanie</w:t>
            </w:r>
          </w:p>
        </w:tc>
      </w:tr>
      <w:tr w:rsidR="001B1D1E">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Transprojekt-Warszawa, 1979.</w:t>
      </w:r>
    </w:p>
    <w:p w:rsidR="001B1D1E" w:rsidRDefault="001B1D1E" w:rsidP="003D6DB4">
      <w:pPr>
        <w:numPr>
          <w:ilvl w:val="0"/>
          <w:numId w:val="12"/>
        </w:numPr>
      </w:pPr>
      <w:r>
        <w:t>Warunki techniczne. Drogowe kationowe emulsje asfaltowe EmA-99. Informacje, instrukcje - zeszyt 60, IBDiM, Warszawa, 1999.</w:t>
      </w:r>
    </w:p>
    <w:p w:rsidR="001B1D1E" w:rsidRDefault="001B1D1E"/>
    <w:p w:rsidR="001B1D1E" w:rsidRDefault="001B1D1E">
      <w:pPr>
        <w:pStyle w:val="Nagwek3"/>
      </w:pPr>
    </w:p>
    <w:sectPr w:rsidR="001B1D1E" w:rsidSect="00107B87">
      <w:pgSz w:w="11907" w:h="16840" w:code="9"/>
      <w:pgMar w:top="1418" w:right="1418" w:bottom="1418" w:left="226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B4"/>
    <w:rsid w:val="00085980"/>
    <w:rsid w:val="00107B87"/>
    <w:rsid w:val="00192818"/>
    <w:rsid w:val="001B1D1E"/>
    <w:rsid w:val="003973F1"/>
    <w:rsid w:val="003D6DB4"/>
    <w:rsid w:val="004C524B"/>
    <w:rsid w:val="006045EA"/>
    <w:rsid w:val="0063542D"/>
    <w:rsid w:val="00737AE0"/>
    <w:rsid w:val="0082521C"/>
    <w:rsid w:val="008F63D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07B87"/>
    <w:pPr>
      <w:overflowPunct w:val="0"/>
      <w:autoSpaceDE w:val="0"/>
      <w:autoSpaceDN w:val="0"/>
      <w:adjustRightInd w:val="0"/>
      <w:jc w:val="both"/>
      <w:textAlignment w:val="baseline"/>
    </w:pPr>
  </w:style>
  <w:style w:type="paragraph" w:styleId="Nagwek1">
    <w:name w:val="heading 1"/>
    <w:basedOn w:val="Normalny"/>
    <w:next w:val="Normalny"/>
    <w:qFormat/>
    <w:rsid w:val="00107B87"/>
    <w:pPr>
      <w:keepNext/>
      <w:keepLines/>
      <w:suppressAutoHyphens/>
      <w:spacing w:before="240" w:after="120"/>
      <w:outlineLvl w:val="0"/>
    </w:pPr>
    <w:rPr>
      <w:b/>
      <w:caps/>
      <w:kern w:val="28"/>
    </w:rPr>
  </w:style>
  <w:style w:type="paragraph" w:styleId="Nagwek2">
    <w:name w:val="heading 2"/>
    <w:basedOn w:val="Normalny"/>
    <w:next w:val="Normalny"/>
    <w:qFormat/>
    <w:rsid w:val="00107B87"/>
    <w:pPr>
      <w:keepNext/>
      <w:spacing w:before="120" w:after="120"/>
      <w:outlineLvl w:val="1"/>
    </w:pPr>
    <w:rPr>
      <w:b/>
    </w:rPr>
  </w:style>
  <w:style w:type="paragraph" w:styleId="Nagwek3">
    <w:name w:val="heading 3"/>
    <w:basedOn w:val="Normalny"/>
    <w:next w:val="Normalny"/>
    <w:qFormat/>
    <w:rsid w:val="00107B87"/>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07B87"/>
    <w:pPr>
      <w:tabs>
        <w:tab w:val="right" w:leader="dot" w:pos="7371"/>
      </w:tabs>
      <w:spacing w:before="120" w:after="120"/>
      <w:jc w:val="left"/>
    </w:pPr>
    <w:rPr>
      <w:b/>
      <w:caps/>
    </w:rPr>
  </w:style>
  <w:style w:type="paragraph" w:styleId="Spistreci2">
    <w:name w:val="toc 2"/>
    <w:basedOn w:val="Normalny"/>
    <w:next w:val="Normalny"/>
    <w:semiHidden/>
    <w:rsid w:val="00107B87"/>
    <w:pPr>
      <w:tabs>
        <w:tab w:val="right" w:leader="dot" w:pos="7371"/>
      </w:tabs>
      <w:ind w:left="200"/>
      <w:jc w:val="left"/>
    </w:pPr>
  </w:style>
  <w:style w:type="paragraph" w:styleId="Spistreci3">
    <w:name w:val="toc 3"/>
    <w:basedOn w:val="Normalny"/>
    <w:next w:val="Normalny"/>
    <w:semiHidden/>
    <w:rsid w:val="00107B87"/>
    <w:pPr>
      <w:tabs>
        <w:tab w:val="right" w:leader="dot" w:pos="7371"/>
      </w:tabs>
      <w:ind w:left="400"/>
      <w:jc w:val="left"/>
    </w:pPr>
  </w:style>
  <w:style w:type="paragraph" w:styleId="Spistreci4">
    <w:name w:val="toc 4"/>
    <w:basedOn w:val="Normalny"/>
    <w:next w:val="Normalny"/>
    <w:semiHidden/>
    <w:rsid w:val="00107B87"/>
    <w:pPr>
      <w:tabs>
        <w:tab w:val="right" w:leader="dot" w:pos="7371"/>
      </w:tabs>
      <w:ind w:left="600"/>
      <w:jc w:val="left"/>
    </w:pPr>
    <w:rPr>
      <w:sz w:val="18"/>
    </w:rPr>
  </w:style>
  <w:style w:type="paragraph" w:styleId="Spistreci5">
    <w:name w:val="toc 5"/>
    <w:basedOn w:val="Normalny"/>
    <w:next w:val="Normalny"/>
    <w:semiHidden/>
    <w:rsid w:val="00107B87"/>
    <w:pPr>
      <w:tabs>
        <w:tab w:val="right" w:leader="dot" w:pos="7371"/>
      </w:tabs>
      <w:ind w:left="800"/>
      <w:jc w:val="left"/>
    </w:pPr>
    <w:rPr>
      <w:sz w:val="18"/>
    </w:rPr>
  </w:style>
  <w:style w:type="paragraph" w:styleId="Spistreci6">
    <w:name w:val="toc 6"/>
    <w:basedOn w:val="Normalny"/>
    <w:next w:val="Normalny"/>
    <w:semiHidden/>
    <w:rsid w:val="00107B87"/>
    <w:pPr>
      <w:tabs>
        <w:tab w:val="right" w:leader="dot" w:pos="7371"/>
      </w:tabs>
      <w:ind w:left="1000"/>
      <w:jc w:val="left"/>
    </w:pPr>
    <w:rPr>
      <w:sz w:val="18"/>
    </w:rPr>
  </w:style>
  <w:style w:type="paragraph" w:styleId="Spistreci7">
    <w:name w:val="toc 7"/>
    <w:basedOn w:val="Normalny"/>
    <w:next w:val="Normalny"/>
    <w:semiHidden/>
    <w:rsid w:val="00107B87"/>
    <w:pPr>
      <w:tabs>
        <w:tab w:val="right" w:leader="dot" w:pos="7371"/>
      </w:tabs>
      <w:ind w:left="1200"/>
      <w:jc w:val="left"/>
    </w:pPr>
    <w:rPr>
      <w:sz w:val="18"/>
    </w:rPr>
  </w:style>
  <w:style w:type="paragraph" w:styleId="Spistreci8">
    <w:name w:val="toc 8"/>
    <w:basedOn w:val="Normalny"/>
    <w:next w:val="Normalny"/>
    <w:semiHidden/>
    <w:rsid w:val="00107B87"/>
    <w:pPr>
      <w:tabs>
        <w:tab w:val="right" w:leader="dot" w:pos="7371"/>
      </w:tabs>
      <w:ind w:left="1400"/>
      <w:jc w:val="left"/>
    </w:pPr>
    <w:rPr>
      <w:sz w:val="18"/>
    </w:rPr>
  </w:style>
  <w:style w:type="paragraph" w:styleId="Spistreci9">
    <w:name w:val="toc 9"/>
    <w:basedOn w:val="Normalny"/>
    <w:next w:val="Normalny"/>
    <w:semiHidden/>
    <w:rsid w:val="00107B87"/>
    <w:pPr>
      <w:tabs>
        <w:tab w:val="right" w:leader="dot" w:pos="7371"/>
      </w:tabs>
      <w:ind w:left="1600"/>
      <w:jc w:val="left"/>
    </w:pPr>
    <w:rPr>
      <w:sz w:val="18"/>
    </w:rPr>
  </w:style>
  <w:style w:type="character" w:styleId="Numerstrony">
    <w:name w:val="page number"/>
    <w:basedOn w:val="Domylnaczcionkaakapitu"/>
    <w:rsid w:val="00107B87"/>
  </w:style>
  <w:style w:type="paragraph" w:customStyle="1" w:styleId="StylIwony">
    <w:name w:val="Styl Iwony"/>
    <w:basedOn w:val="Normalny"/>
    <w:rsid w:val="00107B87"/>
    <w:pPr>
      <w:spacing w:before="120" w:after="120"/>
    </w:pPr>
    <w:rPr>
      <w:rFonts w:ascii="Bookman Old Style" w:hAnsi="Bookman Old Style"/>
      <w:sz w:val="24"/>
    </w:rPr>
  </w:style>
  <w:style w:type="paragraph" w:styleId="Nagwek">
    <w:name w:val="header"/>
    <w:basedOn w:val="Normalny"/>
    <w:rsid w:val="00107B87"/>
    <w:pPr>
      <w:tabs>
        <w:tab w:val="center" w:pos="4536"/>
        <w:tab w:val="right" w:pos="9072"/>
      </w:tabs>
      <w:jc w:val="left"/>
    </w:pPr>
    <w:rPr>
      <w:rFonts w:ascii="Century Gothic" w:hAnsi="Century Gothic"/>
      <w:sz w:val="24"/>
    </w:rPr>
  </w:style>
  <w:style w:type="paragraph" w:styleId="Stopka">
    <w:name w:val="footer"/>
    <w:basedOn w:val="Normalny"/>
    <w:rsid w:val="00107B87"/>
    <w:pPr>
      <w:tabs>
        <w:tab w:val="center" w:pos="4536"/>
        <w:tab w:val="right" w:pos="9072"/>
      </w:tabs>
    </w:pPr>
  </w:style>
  <w:style w:type="paragraph" w:styleId="Tekstprzypisudolnego">
    <w:name w:val="footnote text"/>
    <w:basedOn w:val="Normalny"/>
    <w:semiHidden/>
    <w:rsid w:val="00107B87"/>
  </w:style>
  <w:style w:type="paragraph" w:customStyle="1" w:styleId="tekstost">
    <w:name w:val="tekst ost"/>
    <w:basedOn w:val="Normalny"/>
    <w:rsid w:val="00107B87"/>
  </w:style>
  <w:style w:type="character" w:styleId="Odwoanieprzypisudolnego">
    <w:name w:val="footnote reference"/>
    <w:basedOn w:val="Domylnaczcionkaakapitu"/>
    <w:semiHidden/>
    <w:rsid w:val="00107B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07B87"/>
    <w:pPr>
      <w:overflowPunct w:val="0"/>
      <w:autoSpaceDE w:val="0"/>
      <w:autoSpaceDN w:val="0"/>
      <w:adjustRightInd w:val="0"/>
      <w:jc w:val="both"/>
      <w:textAlignment w:val="baseline"/>
    </w:pPr>
  </w:style>
  <w:style w:type="paragraph" w:styleId="Nagwek1">
    <w:name w:val="heading 1"/>
    <w:basedOn w:val="Normalny"/>
    <w:next w:val="Normalny"/>
    <w:qFormat/>
    <w:rsid w:val="00107B87"/>
    <w:pPr>
      <w:keepNext/>
      <w:keepLines/>
      <w:suppressAutoHyphens/>
      <w:spacing w:before="240" w:after="120"/>
      <w:outlineLvl w:val="0"/>
    </w:pPr>
    <w:rPr>
      <w:b/>
      <w:caps/>
      <w:kern w:val="28"/>
    </w:rPr>
  </w:style>
  <w:style w:type="paragraph" w:styleId="Nagwek2">
    <w:name w:val="heading 2"/>
    <w:basedOn w:val="Normalny"/>
    <w:next w:val="Normalny"/>
    <w:qFormat/>
    <w:rsid w:val="00107B87"/>
    <w:pPr>
      <w:keepNext/>
      <w:spacing w:before="120" w:after="120"/>
      <w:outlineLvl w:val="1"/>
    </w:pPr>
    <w:rPr>
      <w:b/>
    </w:rPr>
  </w:style>
  <w:style w:type="paragraph" w:styleId="Nagwek3">
    <w:name w:val="heading 3"/>
    <w:basedOn w:val="Normalny"/>
    <w:next w:val="Normalny"/>
    <w:qFormat/>
    <w:rsid w:val="00107B87"/>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07B87"/>
    <w:pPr>
      <w:tabs>
        <w:tab w:val="right" w:leader="dot" w:pos="7371"/>
      </w:tabs>
      <w:spacing w:before="120" w:after="120"/>
      <w:jc w:val="left"/>
    </w:pPr>
    <w:rPr>
      <w:b/>
      <w:caps/>
    </w:rPr>
  </w:style>
  <w:style w:type="paragraph" w:styleId="Spistreci2">
    <w:name w:val="toc 2"/>
    <w:basedOn w:val="Normalny"/>
    <w:next w:val="Normalny"/>
    <w:semiHidden/>
    <w:rsid w:val="00107B87"/>
    <w:pPr>
      <w:tabs>
        <w:tab w:val="right" w:leader="dot" w:pos="7371"/>
      </w:tabs>
      <w:ind w:left="200"/>
      <w:jc w:val="left"/>
    </w:pPr>
  </w:style>
  <w:style w:type="paragraph" w:styleId="Spistreci3">
    <w:name w:val="toc 3"/>
    <w:basedOn w:val="Normalny"/>
    <w:next w:val="Normalny"/>
    <w:semiHidden/>
    <w:rsid w:val="00107B87"/>
    <w:pPr>
      <w:tabs>
        <w:tab w:val="right" w:leader="dot" w:pos="7371"/>
      </w:tabs>
      <w:ind w:left="400"/>
      <w:jc w:val="left"/>
    </w:pPr>
  </w:style>
  <w:style w:type="paragraph" w:styleId="Spistreci4">
    <w:name w:val="toc 4"/>
    <w:basedOn w:val="Normalny"/>
    <w:next w:val="Normalny"/>
    <w:semiHidden/>
    <w:rsid w:val="00107B87"/>
    <w:pPr>
      <w:tabs>
        <w:tab w:val="right" w:leader="dot" w:pos="7371"/>
      </w:tabs>
      <w:ind w:left="600"/>
      <w:jc w:val="left"/>
    </w:pPr>
    <w:rPr>
      <w:sz w:val="18"/>
    </w:rPr>
  </w:style>
  <w:style w:type="paragraph" w:styleId="Spistreci5">
    <w:name w:val="toc 5"/>
    <w:basedOn w:val="Normalny"/>
    <w:next w:val="Normalny"/>
    <w:semiHidden/>
    <w:rsid w:val="00107B87"/>
    <w:pPr>
      <w:tabs>
        <w:tab w:val="right" w:leader="dot" w:pos="7371"/>
      </w:tabs>
      <w:ind w:left="800"/>
      <w:jc w:val="left"/>
    </w:pPr>
    <w:rPr>
      <w:sz w:val="18"/>
    </w:rPr>
  </w:style>
  <w:style w:type="paragraph" w:styleId="Spistreci6">
    <w:name w:val="toc 6"/>
    <w:basedOn w:val="Normalny"/>
    <w:next w:val="Normalny"/>
    <w:semiHidden/>
    <w:rsid w:val="00107B87"/>
    <w:pPr>
      <w:tabs>
        <w:tab w:val="right" w:leader="dot" w:pos="7371"/>
      </w:tabs>
      <w:ind w:left="1000"/>
      <w:jc w:val="left"/>
    </w:pPr>
    <w:rPr>
      <w:sz w:val="18"/>
    </w:rPr>
  </w:style>
  <w:style w:type="paragraph" w:styleId="Spistreci7">
    <w:name w:val="toc 7"/>
    <w:basedOn w:val="Normalny"/>
    <w:next w:val="Normalny"/>
    <w:semiHidden/>
    <w:rsid w:val="00107B87"/>
    <w:pPr>
      <w:tabs>
        <w:tab w:val="right" w:leader="dot" w:pos="7371"/>
      </w:tabs>
      <w:ind w:left="1200"/>
      <w:jc w:val="left"/>
    </w:pPr>
    <w:rPr>
      <w:sz w:val="18"/>
    </w:rPr>
  </w:style>
  <w:style w:type="paragraph" w:styleId="Spistreci8">
    <w:name w:val="toc 8"/>
    <w:basedOn w:val="Normalny"/>
    <w:next w:val="Normalny"/>
    <w:semiHidden/>
    <w:rsid w:val="00107B87"/>
    <w:pPr>
      <w:tabs>
        <w:tab w:val="right" w:leader="dot" w:pos="7371"/>
      </w:tabs>
      <w:ind w:left="1400"/>
      <w:jc w:val="left"/>
    </w:pPr>
    <w:rPr>
      <w:sz w:val="18"/>
    </w:rPr>
  </w:style>
  <w:style w:type="paragraph" w:styleId="Spistreci9">
    <w:name w:val="toc 9"/>
    <w:basedOn w:val="Normalny"/>
    <w:next w:val="Normalny"/>
    <w:semiHidden/>
    <w:rsid w:val="00107B87"/>
    <w:pPr>
      <w:tabs>
        <w:tab w:val="right" w:leader="dot" w:pos="7371"/>
      </w:tabs>
      <w:ind w:left="1600"/>
      <w:jc w:val="left"/>
    </w:pPr>
    <w:rPr>
      <w:sz w:val="18"/>
    </w:rPr>
  </w:style>
  <w:style w:type="character" w:styleId="Numerstrony">
    <w:name w:val="page number"/>
    <w:basedOn w:val="Domylnaczcionkaakapitu"/>
    <w:rsid w:val="00107B87"/>
  </w:style>
  <w:style w:type="paragraph" w:customStyle="1" w:styleId="StylIwony">
    <w:name w:val="Styl Iwony"/>
    <w:basedOn w:val="Normalny"/>
    <w:rsid w:val="00107B87"/>
    <w:pPr>
      <w:spacing w:before="120" w:after="120"/>
    </w:pPr>
    <w:rPr>
      <w:rFonts w:ascii="Bookman Old Style" w:hAnsi="Bookman Old Style"/>
      <w:sz w:val="24"/>
    </w:rPr>
  </w:style>
  <w:style w:type="paragraph" w:styleId="Nagwek">
    <w:name w:val="header"/>
    <w:basedOn w:val="Normalny"/>
    <w:rsid w:val="00107B87"/>
    <w:pPr>
      <w:tabs>
        <w:tab w:val="center" w:pos="4536"/>
        <w:tab w:val="right" w:pos="9072"/>
      </w:tabs>
      <w:jc w:val="left"/>
    </w:pPr>
    <w:rPr>
      <w:rFonts w:ascii="Century Gothic" w:hAnsi="Century Gothic"/>
      <w:sz w:val="24"/>
    </w:rPr>
  </w:style>
  <w:style w:type="paragraph" w:styleId="Stopka">
    <w:name w:val="footer"/>
    <w:basedOn w:val="Normalny"/>
    <w:rsid w:val="00107B87"/>
    <w:pPr>
      <w:tabs>
        <w:tab w:val="center" w:pos="4536"/>
        <w:tab w:val="right" w:pos="9072"/>
      </w:tabs>
    </w:pPr>
  </w:style>
  <w:style w:type="paragraph" w:styleId="Tekstprzypisudolnego">
    <w:name w:val="footnote text"/>
    <w:basedOn w:val="Normalny"/>
    <w:semiHidden/>
    <w:rsid w:val="00107B87"/>
  </w:style>
  <w:style w:type="paragraph" w:customStyle="1" w:styleId="tekstost">
    <w:name w:val="tekst ost"/>
    <w:basedOn w:val="Normalny"/>
    <w:rsid w:val="00107B87"/>
  </w:style>
  <w:style w:type="character" w:styleId="Odwoanieprzypisudolnego">
    <w:name w:val="footnote reference"/>
    <w:basedOn w:val="Domylnaczcionkaakapitu"/>
    <w:semiHidden/>
    <w:rsid w:val="00107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\MSOFFICE\Szablony\ost 2000dot.dot</Template>
  <TotalTime>0</TotalTime>
  <Pages>14</Pages>
  <Words>5707</Words>
  <Characters>34247</Characters>
  <Application>Microsoft Macintosh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Anna Dancewicz Krzywania</cp:lastModifiedBy>
  <cp:revision>2</cp:revision>
  <cp:lastPrinted>2006-05-15T10:43:00Z</cp:lastPrinted>
  <dcterms:created xsi:type="dcterms:W3CDTF">2016-03-06T17:51:00Z</dcterms:created>
  <dcterms:modified xsi:type="dcterms:W3CDTF">2016-03-06T17:51:00Z</dcterms:modified>
</cp:coreProperties>
</file>