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D-04.05.01</w:t>
      </w: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I  ULEPSZONE  PODŁOŻE</w:t>
      </w: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 xml:space="preserve">Z  GRUNTU  LUB  KRUSZYWA </w:t>
      </w:r>
    </w:p>
    <w:p w:rsidR="000141EE" w:rsidRDefault="000141EE">
      <w:pPr>
        <w:pStyle w:val="Standardowytekst"/>
        <w:jc w:val="center"/>
        <w:rPr>
          <w:b/>
          <w:sz w:val="24"/>
        </w:rPr>
      </w:pPr>
      <w:r>
        <w:rPr>
          <w:b/>
          <w:sz w:val="28"/>
        </w:rPr>
        <w:t xml:space="preserve"> STABILIZOWANEGO   CEMENTEM</w:t>
      </w: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974FC5">
      <w:pPr>
        <w:pStyle w:val="Spistreci1"/>
        <w:spacing w:before="0" w:after="0"/>
        <w:ind w:left="142"/>
        <w:rPr>
          <w:noProof/>
        </w:rPr>
      </w:pPr>
      <w:r w:rsidRPr="00974FC5">
        <w:rPr>
          <w:sz w:val="24"/>
        </w:rPr>
        <w:fldChar w:fldCharType="begin"/>
      </w:r>
      <w:r w:rsidR="000141EE">
        <w:rPr>
          <w:sz w:val="24"/>
        </w:rPr>
        <w:instrText xml:space="preserve"> TOC \o "1-1" </w:instrText>
      </w:r>
      <w:r w:rsidRPr="00974FC5">
        <w:rPr>
          <w:sz w:val="24"/>
        </w:rPr>
        <w:fldChar w:fldCharType="separate"/>
      </w:r>
      <w:r w:rsidR="000141EE">
        <w:rPr>
          <w:noProof/>
        </w:rPr>
        <w:t>1. WSTĘP</w:t>
      </w:r>
      <w:r w:rsidR="000141EE"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</w:p>
    <w:p w:rsidR="000141EE" w:rsidRDefault="00974FC5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sz w:val="24"/>
        </w:rPr>
        <w:fldChar w:fldCharType="end"/>
      </w:r>
    </w:p>
    <w:p w:rsidR="000141EE" w:rsidRDefault="000141EE">
      <w:pPr>
        <w:pStyle w:val="Nagwek1"/>
      </w:pPr>
      <w:r>
        <w:rPr>
          <w:b w:val="0"/>
        </w:rPr>
        <w:br w:type="page"/>
      </w:r>
      <w:r>
        <w:lastRenderedPageBreak/>
        <w:t>1. WSTĘP</w:t>
      </w:r>
    </w:p>
    <w:p w:rsidR="000141EE" w:rsidRDefault="000141EE">
      <w:pPr>
        <w:pStyle w:val="Nagwek2"/>
      </w:pPr>
      <w:r>
        <w:t>1.1. Przedmiot SST</w:t>
      </w:r>
    </w:p>
    <w:p w:rsidR="000141EE" w:rsidRDefault="000141EE">
      <w:r>
        <w:tab/>
        <w:t>Przedmiotem niniejszej szczegółowej specyfikacji technicznej (SST) są wymagania ogólne dotyczące wykonania i odbioru robót związanych z wykonywaniem podbudowy  i ulepszonego podłoża z gruntu lub kruszywa stabilizowanego cementem.</w:t>
      </w:r>
    </w:p>
    <w:p w:rsidR="000141EE" w:rsidRDefault="000141EE">
      <w:pPr>
        <w:pStyle w:val="Nagwek2"/>
      </w:pPr>
      <w:r>
        <w:t>1.2. Zakres stosowania SST</w:t>
      </w:r>
    </w:p>
    <w:p w:rsidR="00742AFF" w:rsidRDefault="000141EE" w:rsidP="00742AFF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</w:t>
      </w:r>
      <w:r w:rsidR="00742AFF">
        <w:t xml:space="preserve">przebudowa ulicy  </w:t>
      </w:r>
    </w:p>
    <w:p w:rsidR="00C177F6" w:rsidRDefault="00C177F6" w:rsidP="00C177F6">
      <w:pPr>
        <w:pStyle w:val="tekstost"/>
      </w:pPr>
      <w:r>
        <w:t>SŁOWACKIEGO w Czempiniu.</w:t>
      </w:r>
    </w:p>
    <w:p w:rsidR="00C177F6" w:rsidRDefault="00C177F6" w:rsidP="00C177F6">
      <w:pPr>
        <w:pStyle w:val="Nagwek2"/>
      </w:pPr>
      <w:r>
        <w:t>1.3. Zakres robót objętych SST</w:t>
      </w:r>
    </w:p>
    <w:p w:rsidR="000141EE" w:rsidRDefault="000141EE">
      <w:r>
        <w:tab/>
        <w:t>Ustalenia zawarte w niniejszej specyfikacji dotyczą zasad prowadzenia robót związanych z wykonaniem podbudowy i ulepszonego podłoża z gruntu lub kruszywa stabilizowanego cementem wg PN-S-96012 [17].</w:t>
      </w:r>
    </w:p>
    <w:p w:rsidR="000141EE" w:rsidRDefault="000141EE">
      <w:r>
        <w:tab/>
        <w:t>Grunty lub kruszywa stabilizowane cementem mogą być stosowane do wykonania podbudów zasadniczych, pomocniczych i ulepszonego podłoża wg Katalogu typowych konstrukcji nawierzchni podatnych i półsztywnych [29].</w:t>
      </w:r>
    </w:p>
    <w:p w:rsidR="000141EE" w:rsidRDefault="000141EE">
      <w:pPr>
        <w:pStyle w:val="Nagwek2"/>
      </w:pPr>
      <w:r>
        <w:t>1.4. Określenia podstawowe</w:t>
      </w:r>
    </w:p>
    <w:p w:rsidR="000141EE" w:rsidRDefault="000141EE">
      <w:r>
        <w:rPr>
          <w:b/>
        </w:rPr>
        <w:t xml:space="preserve">1.4.1. </w:t>
      </w:r>
      <w:r>
        <w:t>Podbudowa z gruntu stabilizowanego cementem - jedna lub dwie warstwy zagęszczonej mieszanki cementowo-gruntowej, która po osiągnięciu właściwej wytrzymałości na ściskanie, stanowi fragment nośnej części nawierzchni drogowej.</w:t>
      </w:r>
    </w:p>
    <w:p w:rsidR="000141EE" w:rsidRDefault="000141EE">
      <w:pPr>
        <w:spacing w:before="120"/>
      </w:pPr>
      <w:r>
        <w:rPr>
          <w:b/>
        </w:rPr>
        <w:t xml:space="preserve">1.4.2. </w:t>
      </w:r>
      <w:r>
        <w:t>Mieszanka cementowo-gruntowa - mieszanka gruntu, cementu i wody, a w razie potrzeby również dodatków ulepszających, np. popiołów lotnych lub chlorku wapniowego, dobranych w optymalnych ilościach.</w:t>
      </w:r>
    </w:p>
    <w:p w:rsidR="000141EE" w:rsidRDefault="000141EE">
      <w:pPr>
        <w:spacing w:before="120"/>
      </w:pPr>
      <w:r>
        <w:rPr>
          <w:b/>
        </w:rPr>
        <w:t xml:space="preserve">1.4.3. </w:t>
      </w:r>
      <w:r>
        <w:t>Grunt stabilizowany cementem - mieszanka cementowo-gruntowa zagęszczona i stwardniała w wyniku ukończenia procesu wiązania cementu.</w:t>
      </w:r>
    </w:p>
    <w:p w:rsidR="000141EE" w:rsidRDefault="000141EE">
      <w:pPr>
        <w:spacing w:before="120"/>
      </w:pPr>
      <w:r>
        <w:rPr>
          <w:b/>
        </w:rPr>
        <w:t xml:space="preserve">1.4.4. </w:t>
      </w:r>
      <w:r>
        <w:t>Kruszywo stabilizowane cementem - mieszanka kruszywa naturalnego, cementu i wody, a w razie potrzeby dodatków ulepszających, np. popiołów lotnych lub chlorku wapniowego, dobranych w optymalnych ilościach, zagęszczona i stwardniała w wyniku ukończenia procesu wiązania cementu.</w:t>
      </w:r>
    </w:p>
    <w:p w:rsidR="000141EE" w:rsidRDefault="000141EE">
      <w:pPr>
        <w:spacing w:before="120"/>
      </w:pPr>
      <w:r>
        <w:rPr>
          <w:b/>
        </w:rPr>
        <w:t xml:space="preserve">1.4.5. </w:t>
      </w:r>
      <w:r>
        <w:t>Podłoże gruntowe ulepszone cementem - jedna lub dwie warstwy zagęszczonej mieszanki cementowo-gruntowej, na której układana jest warstwa podbudowy.</w:t>
      </w:r>
    </w:p>
    <w:p w:rsidR="000141EE" w:rsidRDefault="000141EE">
      <w:pPr>
        <w:spacing w:before="120"/>
      </w:pPr>
      <w:r>
        <w:rPr>
          <w:b/>
        </w:rPr>
        <w:t xml:space="preserve">1.4.6. </w:t>
      </w:r>
      <w:r>
        <w:t xml:space="preserve">Pozostałe określenia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0141EE" w:rsidRDefault="000141EE">
      <w:pPr>
        <w:pStyle w:val="Nagwek2"/>
      </w:pPr>
      <w:r>
        <w:t>1.5. Ogólne wymagania dotyczące robót</w:t>
      </w:r>
    </w:p>
    <w:p w:rsidR="000141EE" w:rsidRDefault="000141EE">
      <w:pPr>
        <w:pStyle w:val="tekstost"/>
      </w:pPr>
      <w:r>
        <w:tab/>
        <w:t xml:space="preserve">Ogólne wymagania dotyczące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1.5.</w:t>
      </w:r>
    </w:p>
    <w:p w:rsidR="000141EE" w:rsidRDefault="000141EE">
      <w:pPr>
        <w:pStyle w:val="Nagwek1"/>
      </w:pPr>
      <w:r>
        <w:t>2. materiały</w:t>
      </w:r>
    </w:p>
    <w:p w:rsidR="000141EE" w:rsidRDefault="000141EE">
      <w:pPr>
        <w:pStyle w:val="Nagwek2"/>
      </w:pPr>
      <w:r>
        <w:t>2.1. Ogólne wymagania dotyczące materiałów</w:t>
      </w:r>
    </w:p>
    <w:p w:rsidR="000141EE" w:rsidRDefault="000141EE">
      <w:r>
        <w:tab/>
        <w:t xml:space="preserve">Ogólne wymagania dotyczące materiałów, ich pozyskiwania i składowania,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2.</w:t>
      </w:r>
    </w:p>
    <w:p w:rsidR="000141EE" w:rsidRDefault="000141EE">
      <w:pPr>
        <w:pStyle w:val="Nagwek2"/>
      </w:pPr>
      <w:r>
        <w:t>2.2. Cement</w:t>
      </w:r>
    </w:p>
    <w:p w:rsidR="000141EE" w:rsidRDefault="000141EE">
      <w:r>
        <w:tab/>
        <w:t>Należy stosować cement portlandzki klasy 32,5 wg PN-B-19701 [11], portlandzki z dodatkami wg PN-B-19701 [11] lub hutniczy wg PN-B-19701 [11].</w:t>
      </w:r>
    </w:p>
    <w:p w:rsidR="000141EE" w:rsidRDefault="000141EE">
      <w:r>
        <w:tab/>
        <w:t>Wymagania dla cementu zestawiono w tablicy 1.</w:t>
      </w:r>
    </w:p>
    <w:p w:rsidR="000141EE" w:rsidRDefault="000141EE">
      <w:pPr>
        <w:spacing w:before="120" w:after="120"/>
      </w:pPr>
      <w:r>
        <w:lastRenderedPageBreak/>
        <w:t>Tablica 1. Właściwości mechaniczne i fizyczne cementu wg PN-B-19701 [11]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244"/>
        <w:gridCol w:w="1770"/>
      </w:tblGrid>
      <w:tr w:rsidR="000141EE"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120"/>
              <w:jc w:val="center"/>
            </w:pPr>
            <w:r>
              <w:t>Lp.</w:t>
            </w:r>
          </w:p>
        </w:tc>
        <w:tc>
          <w:tcPr>
            <w:tcW w:w="524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120"/>
              <w:jc w:val="center"/>
            </w:pPr>
            <w:r>
              <w:t>Właściwości</w:t>
            </w:r>
          </w:p>
        </w:tc>
        <w:tc>
          <w:tcPr>
            <w:tcW w:w="1770" w:type="dxa"/>
            <w:tcBorders>
              <w:bottom w:val="double" w:sz="6" w:space="0" w:color="auto"/>
            </w:tcBorders>
          </w:tcPr>
          <w:p w:rsidR="000141EE" w:rsidRDefault="000141EE">
            <w:pPr>
              <w:pBdr>
                <w:bottom w:val="single" w:sz="6" w:space="1" w:color="auto"/>
              </w:pBdr>
              <w:jc w:val="center"/>
            </w:pPr>
            <w:r>
              <w:t>Klasa cementu</w:t>
            </w:r>
          </w:p>
          <w:p w:rsidR="000141EE" w:rsidRDefault="000141EE">
            <w:pPr>
              <w:jc w:val="center"/>
            </w:pPr>
            <w:r>
              <w:t>32,5</w:t>
            </w:r>
          </w:p>
        </w:tc>
      </w:tr>
      <w:tr w:rsidR="000141EE"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Wytrzymałość na ściskanie (</w:t>
            </w:r>
            <w:proofErr w:type="spellStart"/>
            <w:r>
              <w:t>MPa</w:t>
            </w:r>
            <w:proofErr w:type="spellEnd"/>
            <w:r>
              <w:t>), po 7 dniach, nie mniej niż:</w:t>
            </w:r>
          </w:p>
          <w:p w:rsidR="000141EE" w:rsidRDefault="000141EE">
            <w:r>
              <w:t>- cement portlandzki bez dodatków</w:t>
            </w:r>
          </w:p>
          <w:p w:rsidR="000141EE" w:rsidRDefault="000141EE">
            <w:r>
              <w:t>- cement hutniczy</w:t>
            </w:r>
          </w:p>
          <w:p w:rsidR="000141EE" w:rsidRDefault="000141EE">
            <w:pPr>
              <w:spacing w:after="60"/>
            </w:pPr>
            <w:r>
              <w:t>- cement portlandzki z dodatkami</w:t>
            </w:r>
          </w:p>
        </w:tc>
        <w:tc>
          <w:tcPr>
            <w:tcW w:w="1770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spacing w:before="60"/>
              <w:jc w:val="center"/>
            </w:pPr>
            <w:r>
              <w:t>16</w:t>
            </w:r>
          </w:p>
          <w:p w:rsidR="000141EE" w:rsidRDefault="000141EE">
            <w:pPr>
              <w:jc w:val="center"/>
            </w:pPr>
            <w:r>
              <w:t>16</w:t>
            </w:r>
          </w:p>
          <w:p w:rsidR="000141EE" w:rsidRDefault="000141EE">
            <w:pPr>
              <w:jc w:val="center"/>
            </w:pPr>
            <w:r>
              <w:t>16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0141EE" w:rsidRDefault="000141EE">
            <w:pPr>
              <w:spacing w:before="60" w:after="60"/>
            </w:pPr>
            <w:r>
              <w:t>Wytrzymałość na ściskanie (</w:t>
            </w:r>
            <w:proofErr w:type="spellStart"/>
            <w:r>
              <w:t>MPa</w:t>
            </w:r>
            <w:proofErr w:type="spellEnd"/>
            <w:r>
              <w:t>), po 28 dniach, nie mniej niż:</w:t>
            </w:r>
          </w:p>
        </w:tc>
        <w:tc>
          <w:tcPr>
            <w:tcW w:w="1770" w:type="dxa"/>
          </w:tcPr>
          <w:p w:rsidR="000141EE" w:rsidRDefault="000141EE">
            <w:pPr>
              <w:spacing w:before="60" w:after="60"/>
              <w:jc w:val="center"/>
            </w:pPr>
            <w:r>
              <w:t>32,5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/>
              <w:jc w:val="center"/>
            </w:pPr>
            <w:r>
              <w:t>3</w:t>
            </w:r>
          </w:p>
        </w:tc>
        <w:tc>
          <w:tcPr>
            <w:tcW w:w="5244" w:type="dxa"/>
          </w:tcPr>
          <w:p w:rsidR="000141EE" w:rsidRDefault="000141EE">
            <w:pPr>
              <w:spacing w:before="60"/>
            </w:pPr>
            <w:r>
              <w:t>Czas wiązania:</w:t>
            </w:r>
          </w:p>
          <w:p w:rsidR="000141EE" w:rsidRDefault="000141EE">
            <w:pPr>
              <w:pBdr>
                <w:bottom w:val="single" w:sz="6" w:space="1" w:color="auto"/>
              </w:pBdr>
            </w:pPr>
            <w:r>
              <w:t>- początek wiązania, najwcześniej po upływie, min.</w:t>
            </w:r>
          </w:p>
          <w:p w:rsidR="000141EE" w:rsidRDefault="000141EE">
            <w:pPr>
              <w:spacing w:after="60"/>
            </w:pPr>
            <w:r>
              <w:t>- koniec wiązania, najpóźniej po upływie, h</w:t>
            </w:r>
          </w:p>
        </w:tc>
        <w:tc>
          <w:tcPr>
            <w:tcW w:w="1770" w:type="dxa"/>
          </w:tcPr>
          <w:p w:rsidR="000141EE" w:rsidRDefault="000141EE">
            <w:pPr>
              <w:jc w:val="center"/>
            </w:pPr>
          </w:p>
          <w:p w:rsidR="000141EE" w:rsidRDefault="000141EE">
            <w:pPr>
              <w:pBdr>
                <w:bottom w:val="single" w:sz="6" w:space="1" w:color="auto"/>
              </w:pBdr>
              <w:spacing w:before="60"/>
              <w:jc w:val="center"/>
            </w:pPr>
            <w:r>
              <w:t>60</w:t>
            </w:r>
          </w:p>
          <w:p w:rsidR="000141EE" w:rsidRDefault="000141EE">
            <w:pPr>
              <w:jc w:val="center"/>
            </w:pPr>
            <w:r>
              <w:t>12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244" w:type="dxa"/>
          </w:tcPr>
          <w:p w:rsidR="000141EE" w:rsidRDefault="000141EE">
            <w:pPr>
              <w:spacing w:before="60" w:after="60"/>
            </w:pPr>
            <w:r>
              <w:t>Stałość objętości, mm, nie więcej niż</w:t>
            </w:r>
          </w:p>
        </w:tc>
        <w:tc>
          <w:tcPr>
            <w:tcW w:w="1770" w:type="dxa"/>
          </w:tcPr>
          <w:p w:rsidR="000141EE" w:rsidRDefault="000141EE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0141EE" w:rsidRDefault="000141EE"/>
    <w:p w:rsidR="000141EE" w:rsidRDefault="000141EE">
      <w:r>
        <w:tab/>
        <w:t>Badania cementu należy wykonać zgodnie z PN-B-04300 [1].</w:t>
      </w:r>
    </w:p>
    <w:p w:rsidR="000141EE" w:rsidRDefault="000141EE">
      <w:r>
        <w:tab/>
        <w:t>Przechowywanie cementu powinno odbywać się zgodnie z BN-88/6731-08 [19].</w:t>
      </w:r>
    </w:p>
    <w:p w:rsidR="000141EE" w:rsidRDefault="000141EE">
      <w:r>
        <w:tab/>
        <w:t>W przypadku, gdy czas przechowywania cementu będzie dłuższy od trzech miesięcy, można go stosować za zgodą Inżyniera tylko wtedy, gdy badania laboratoryjne wykażą jego przydatność do robót.</w:t>
      </w:r>
    </w:p>
    <w:p w:rsidR="000141EE" w:rsidRDefault="000141EE">
      <w:pPr>
        <w:pStyle w:val="Nagwek2"/>
      </w:pPr>
      <w:r>
        <w:t>2.3. Grunty</w:t>
      </w:r>
    </w:p>
    <w:p w:rsidR="000141EE" w:rsidRDefault="000141EE">
      <w:r>
        <w:tab/>
        <w:t>Przydatność gruntów przeznaczonych do stabilizacji cementem należy ocenić na podstawie wyników badań laboratoryjnych, wykonanych według metod podanych w PN-S-96012 [17].</w:t>
      </w:r>
    </w:p>
    <w:p w:rsidR="000141EE" w:rsidRDefault="000141EE">
      <w:r>
        <w:tab/>
        <w:t>Do wykonania podbudów i ulepszonego podłoża z gruntów stabilizowanych cementem należy stosować grunty spełniające wymagania podane w tablicy 2.</w:t>
      </w:r>
    </w:p>
    <w:p w:rsidR="000141EE" w:rsidRDefault="000141EE">
      <w:r>
        <w:tab/>
        <w:t>Grunt można uznać za przydatny do stabilizacji cementem wtedy, gdy wyniki badań laboratoryjnych wykażą, że wytrzymałość na ściskanie i mrozoodporność próbek gruntu stabilizowanego są zgodne z wymaganiami określonymi w p. 2.7 tablica 4.</w:t>
      </w:r>
    </w:p>
    <w:p w:rsidR="000141EE" w:rsidRDefault="000141EE">
      <w:pPr>
        <w:spacing w:before="120"/>
      </w:pPr>
      <w:r>
        <w:t xml:space="preserve">Tablica 2. Wymagania dla gruntów przeznaczonych do stabilizacji cementem </w:t>
      </w:r>
    </w:p>
    <w:p w:rsidR="000141EE" w:rsidRDefault="000141EE">
      <w:pPr>
        <w:spacing w:after="120"/>
        <w:rPr>
          <w:lang w:val="en-US"/>
        </w:rPr>
      </w:pPr>
      <w:r>
        <w:tab/>
        <w:t xml:space="preserve">  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PN-S-96012 [17]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134"/>
        <w:gridCol w:w="1626"/>
      </w:tblGrid>
      <w:tr w:rsidR="000141EE"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Właściwości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Wymagania</w:t>
            </w:r>
          </w:p>
        </w:tc>
        <w:tc>
          <w:tcPr>
            <w:tcW w:w="162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Badania według</w:t>
            </w:r>
          </w:p>
        </w:tc>
      </w:tr>
      <w:tr w:rsidR="000141EE"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Uziarnienie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t>40 mm</w:t>
              </w:r>
            </w:smartTag>
            <w:r>
              <w:t>,           % (m/m), nie mniej niż: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t>20 mm</w:t>
              </w:r>
            </w:smartTag>
            <w:r>
              <w:t>,             % (m/m), powyżej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t>4 mm</w:t>
              </w:r>
            </w:smartTag>
            <w:r>
              <w:t>,             % (m/m), powyżej</w:t>
            </w:r>
          </w:p>
          <w:p w:rsidR="000141EE" w:rsidRDefault="000141EE" w:rsidP="00785FA0">
            <w:pPr>
              <w:numPr>
                <w:ilvl w:val="0"/>
                <w:numId w:val="1"/>
              </w:numPr>
              <w:spacing w:after="60"/>
              <w:ind w:left="284" w:hanging="284"/>
            </w:pPr>
            <w:r>
              <w:t xml:space="preserve">cząstek mniejszych od </w:t>
            </w:r>
            <w:smartTag w:uri="urn:schemas-microsoft-com:office:smarttags" w:element="metricconverter">
              <w:smartTagPr>
                <w:attr w:name="ProductID" w:val="0,002 mm"/>
              </w:smartTagPr>
              <w:r>
                <w:t>0,002 mm</w:t>
              </w:r>
            </w:smartTag>
            <w:r>
              <w:t>, % (m/m), poniżej</w:t>
            </w:r>
          </w:p>
        </w:tc>
        <w:tc>
          <w:tcPr>
            <w:tcW w:w="1134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100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85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50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20</w:t>
            </w:r>
          </w:p>
        </w:tc>
        <w:tc>
          <w:tcPr>
            <w:tcW w:w="1626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spacing w:before="12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Granica płynności,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Wskaźnik plastyczności,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 xml:space="preserve">Odczyn </w:t>
            </w:r>
            <w:proofErr w:type="spellStart"/>
            <w:r>
              <w:t>pH</w:t>
            </w:r>
            <w:proofErr w:type="spellEnd"/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od 5 do 8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części organicznych,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2</w:t>
            </w:r>
          </w:p>
        </w:tc>
        <w:tc>
          <w:tcPr>
            <w:tcW w:w="1626" w:type="dxa"/>
          </w:tcPr>
          <w:p w:rsidR="000141EE" w:rsidRDefault="000141EE">
            <w:pPr>
              <w:spacing w:before="18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siarczanów, w przeliczeniu na SO</w:t>
            </w:r>
            <w:r>
              <w:rPr>
                <w:vertAlign w:val="subscript"/>
              </w:rPr>
              <w:t>3</w:t>
            </w:r>
            <w:r>
              <w:t>,           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PN-B-06714-28 [6]</w:t>
            </w:r>
          </w:p>
        </w:tc>
      </w:tr>
    </w:tbl>
    <w:p w:rsidR="000141EE" w:rsidRDefault="000141EE"/>
    <w:p w:rsidR="000141EE" w:rsidRDefault="000141EE">
      <w:r>
        <w:tab/>
        <w:t>Grunty nie spełniające wymagań określonych w tablicy 2, mogą być poddane stabilizacji po uprzednim ulepszeniu chlorkiem wapniowym, wapnem, popiołami lotnymi.</w:t>
      </w:r>
    </w:p>
    <w:p w:rsidR="000141EE" w:rsidRDefault="000141EE">
      <w:r>
        <w:tab/>
        <w:t xml:space="preserve">Grunty o granicy płynności od 40 do 60 % i wskaźniku plastyczności od 15 do          30 % mogą być stabilizowane cementem dla podbudów pomocniczych i ulepszonego </w:t>
      </w:r>
      <w:r>
        <w:lastRenderedPageBreak/>
        <w:t>podłoża pod warunkiem użycia specjalnych maszyn, umożliwiających ich rozdrobnienie             i przemieszanie z cementem.</w:t>
      </w:r>
    </w:p>
    <w:p w:rsidR="000141EE" w:rsidRDefault="000141EE">
      <w:r>
        <w:tab/>
        <w:t>Dodatkowe kryteria oceny przydatności gruntu do stabilizacji cementem; zaleca się użycie gruntów o:</w:t>
      </w:r>
    </w:p>
    <w:p w:rsidR="000141EE" w:rsidRDefault="000141EE" w:rsidP="00785FA0">
      <w:pPr>
        <w:numPr>
          <w:ilvl w:val="0"/>
          <w:numId w:val="2"/>
        </w:numPr>
      </w:pPr>
      <w:r>
        <w:t>wskaźniku piaskowym od 20 do 50, wg BN-64/8931-01 [20],</w:t>
      </w:r>
    </w:p>
    <w:p w:rsidR="000141EE" w:rsidRDefault="000141EE" w:rsidP="00785FA0">
      <w:pPr>
        <w:numPr>
          <w:ilvl w:val="0"/>
          <w:numId w:val="2"/>
        </w:numPr>
      </w:pPr>
      <w:r>
        <w:t xml:space="preserve">zawartości </w:t>
      </w:r>
      <w:proofErr w:type="spellStart"/>
      <w:r>
        <w:t>ziarn</w:t>
      </w:r>
      <w:proofErr w:type="spellEnd"/>
      <w:r>
        <w:t xml:space="preserve"> pozostających na sicie #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- co najmniej 30%,</w:t>
      </w:r>
    </w:p>
    <w:p w:rsidR="000141EE" w:rsidRDefault="000141EE" w:rsidP="00785FA0">
      <w:pPr>
        <w:numPr>
          <w:ilvl w:val="0"/>
          <w:numId w:val="2"/>
        </w:numPr>
      </w:pPr>
      <w:r>
        <w:t xml:space="preserve">zawartości </w:t>
      </w:r>
      <w:proofErr w:type="spellStart"/>
      <w:r>
        <w:t>ziarn</w:t>
      </w:r>
      <w:proofErr w:type="spellEnd"/>
      <w:r>
        <w:t xml:space="preserve"> przechodzących przez sito </w:t>
      </w:r>
      <w:smartTag w:uri="urn:schemas-microsoft-com:office:smarttags" w:element="metricconverter">
        <w:smartTagPr>
          <w:attr w:name="ProductID" w:val="0,075 mm"/>
        </w:smartTagPr>
        <w:r>
          <w:t>0,075 mm</w:t>
        </w:r>
      </w:smartTag>
      <w:r>
        <w:t xml:space="preserve"> - nie więcej niż 15%.</w:t>
      </w:r>
    </w:p>
    <w:p w:rsidR="000141EE" w:rsidRDefault="000141EE">
      <w:r>
        <w:tab/>
        <w:t>Decydującym sprawdzianem przydatności gruntu do stabilizacji cementem są wyniki wytrzymałości na ściskanie próbek gruntu stabilizowanego cementem.</w:t>
      </w:r>
    </w:p>
    <w:p w:rsidR="000141EE" w:rsidRDefault="000141EE">
      <w:pPr>
        <w:pStyle w:val="Nagwek2"/>
      </w:pPr>
      <w:r>
        <w:t>2.4. Kruszywa</w:t>
      </w:r>
    </w:p>
    <w:p w:rsidR="000141EE" w:rsidRDefault="000141EE">
      <w:r>
        <w:tab/>
        <w:t>Do stabilizacji cementem można stosować piaski, mieszanki i żwiry albo mieszankę tych kruszyw, spełniające wymagania podane w tablicy 3.</w:t>
      </w:r>
    </w:p>
    <w:p w:rsidR="000141EE" w:rsidRDefault="000141EE">
      <w:r>
        <w:tab/>
        <w:t>Kruszywo można uznać za przydatne do stabilizacji cementem wtedy, gdy wyniki badań laboratoryjnych wykażą, że wytrzymałość na ściskanie i mrozoodporność próbek kruszywa stabilizowanego będą  zgodne z wymaganiami określonymi w p. 2.7 tablica 4.</w:t>
      </w:r>
    </w:p>
    <w:p w:rsidR="000141EE" w:rsidRDefault="000141EE">
      <w:pPr>
        <w:spacing w:before="120" w:after="120"/>
      </w:pPr>
      <w:r>
        <w:t xml:space="preserve">Tablica 3. Wymagania dla kruszyw przeznaczonych do stabilizacji cementem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134"/>
        <w:gridCol w:w="1626"/>
      </w:tblGrid>
      <w:tr w:rsidR="000141EE"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 xml:space="preserve"> Lp.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Właściwości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Wymagania</w:t>
            </w:r>
          </w:p>
        </w:tc>
        <w:tc>
          <w:tcPr>
            <w:tcW w:w="162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Badania według</w:t>
            </w:r>
          </w:p>
        </w:tc>
      </w:tr>
      <w:tr w:rsidR="000141EE"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Uziarnienie</w:t>
            </w:r>
          </w:p>
          <w:p w:rsidR="000141EE" w:rsidRDefault="000141EE" w:rsidP="00785FA0">
            <w:pPr>
              <w:numPr>
                <w:ilvl w:val="0"/>
                <w:numId w:val="3"/>
              </w:numPr>
            </w:pPr>
            <w:proofErr w:type="spellStart"/>
            <w:r>
              <w:t>ziarn</w:t>
            </w:r>
            <w:proofErr w:type="spellEnd"/>
            <w:r>
              <w:t xml:space="preserve"> pozostających na sicie  #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t>2 mm</w:t>
              </w:r>
            </w:smartTag>
            <w:r>
              <w:t>,  %,           nie mniej niż:</w:t>
            </w:r>
          </w:p>
          <w:p w:rsidR="000141EE" w:rsidRDefault="000141EE" w:rsidP="00785FA0">
            <w:pPr>
              <w:numPr>
                <w:ilvl w:val="0"/>
                <w:numId w:val="3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t>0,075 mm</w:t>
              </w:r>
            </w:smartTag>
            <w:r>
              <w:t>,             %, nie więcej niż:</w:t>
            </w:r>
          </w:p>
        </w:tc>
        <w:tc>
          <w:tcPr>
            <w:tcW w:w="1134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30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15</w:t>
            </w:r>
          </w:p>
        </w:tc>
        <w:tc>
          <w:tcPr>
            <w:tcW w:w="1626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PN-B-06714-15 [4]</w:t>
            </w:r>
          </w:p>
          <w:p w:rsidR="000141EE" w:rsidRDefault="000141EE">
            <w:pPr>
              <w:spacing w:before="120"/>
              <w:jc w:val="center"/>
            </w:pP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części organicznych, barwa cieczy nad kruszywem nie ciemniejsza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wzorcowa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PN-B-06714-26 [5]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zanieczyszczeń obcych, %,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0,5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PN-B-06714-12 [3]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siarczanów, w przeliczeniu na SO</w:t>
            </w:r>
            <w:r>
              <w:rPr>
                <w:vertAlign w:val="subscript"/>
              </w:rPr>
              <w:t>3</w:t>
            </w:r>
            <w:r>
              <w:t>,            %, poniżej: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PN-B-06714-28 [6]</w:t>
            </w:r>
          </w:p>
        </w:tc>
      </w:tr>
    </w:tbl>
    <w:p w:rsidR="000141EE" w:rsidRDefault="000141EE"/>
    <w:p w:rsidR="000141EE" w:rsidRDefault="000141EE">
      <w:r>
        <w:tab/>
        <w:t>Jeżeli kruszywo przeznaczone do wykonania warstwy nie jest wbudowane bezpośrednio po dostarczeniu na budowę i zachodzi potrzeba jego okresowego składowania na terenie budowy, to powinno być ono składowane w pryzmach, na utwardzonym i dobrze odwodnionym placu, w warunkach zabezpieczających przed zanieczyszczeniem i przed wymieszaniem różnych rodzajów kruszyw.</w:t>
      </w:r>
    </w:p>
    <w:p w:rsidR="000141EE" w:rsidRDefault="000141EE">
      <w:pPr>
        <w:pStyle w:val="Nagwek2"/>
      </w:pPr>
      <w:r>
        <w:t>2.5. Woda</w:t>
      </w:r>
    </w:p>
    <w:p w:rsidR="000141EE" w:rsidRDefault="000141EE">
      <w:r>
        <w:tab/>
        <w:t>Woda stosowana do stabilizacji gruntu lub kruszywa cementem i ewentualnie do pielęgnacji wykonanej warstwy powinna odpowiadać wymaganiom PN-B-32250 [13]. Bez badań laboratoryjnych można stosować wodociągową wodę pitną. Gdy woda pochodzi z wątpliwych źródeł nie może być użyta do momentu jej przebadania, zgodnie z wyżej podaną normą lub do momentu porównania wyników wytrzymałości na ściskanie próbek gruntowo-cementowych wykonanych z wodą wątpliwą i z wodą wodociągową. Brak różnic potwierdza przydatność wody do stabilizacji gruntu lub kruszywa cementem.</w:t>
      </w:r>
    </w:p>
    <w:p w:rsidR="000141EE" w:rsidRDefault="000141EE">
      <w:pPr>
        <w:pStyle w:val="Nagwek2"/>
      </w:pPr>
      <w:r>
        <w:t>2.6. Dodatki ulepszające</w:t>
      </w:r>
    </w:p>
    <w:p w:rsidR="000141EE" w:rsidRDefault="000141EE">
      <w:r>
        <w:tab/>
        <w:t>Przy stabilizacji gruntów cementem, w przypadkach uzasadnionych, stosuje się następujące dodatki ulepszające:</w:t>
      </w:r>
    </w:p>
    <w:p w:rsidR="000141EE" w:rsidRDefault="000141EE" w:rsidP="00785FA0">
      <w:pPr>
        <w:numPr>
          <w:ilvl w:val="0"/>
          <w:numId w:val="2"/>
        </w:numPr>
      </w:pPr>
      <w:r>
        <w:t>wapno wg PN-B-30020 [12],</w:t>
      </w:r>
    </w:p>
    <w:p w:rsidR="000141EE" w:rsidRDefault="000141EE" w:rsidP="00785FA0">
      <w:pPr>
        <w:numPr>
          <w:ilvl w:val="0"/>
          <w:numId w:val="2"/>
        </w:numPr>
      </w:pPr>
      <w:r>
        <w:t>popioły lotne wg PN-S-96035 [18],</w:t>
      </w:r>
    </w:p>
    <w:p w:rsidR="000141EE" w:rsidRDefault="000141EE" w:rsidP="00785FA0">
      <w:pPr>
        <w:numPr>
          <w:ilvl w:val="0"/>
          <w:numId w:val="2"/>
        </w:numPr>
      </w:pPr>
      <w:r>
        <w:t>chlorek wapniowy wg PN-C-84127 [15].</w:t>
      </w:r>
    </w:p>
    <w:p w:rsidR="000141EE" w:rsidRDefault="000141EE" w:rsidP="00785FA0">
      <w:pPr>
        <w:numPr>
          <w:ilvl w:val="12"/>
          <w:numId w:val="0"/>
        </w:numPr>
      </w:pPr>
      <w:r>
        <w:tab/>
        <w:t>Za zgodą Inżyniera mogą być stosowane inne dodatki o sprawdzonym działaniu, posiadające aprobatę techniczną wydaną przez uprawnioną jednostkę.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lastRenderedPageBreak/>
        <w:t>2.7. Grunt lub kruszywo stabilizowane cementem</w:t>
      </w:r>
    </w:p>
    <w:p w:rsidR="000141EE" w:rsidRDefault="000141EE" w:rsidP="00785FA0">
      <w:pPr>
        <w:numPr>
          <w:ilvl w:val="12"/>
          <w:numId w:val="0"/>
        </w:numPr>
      </w:pPr>
      <w:r>
        <w:tab/>
        <w:t>W zależności od rodzaju warstwy w konstrukcji nawierzchni drogowej, wytrzymałość gruntu lub kruszywa stabilizowanego cementem wg PN-S-96012 [17], powinna spełniać wymagania określone w tablicy 4.</w:t>
      </w:r>
    </w:p>
    <w:p w:rsidR="000141EE" w:rsidRDefault="000141EE" w:rsidP="00785FA0">
      <w:pPr>
        <w:numPr>
          <w:ilvl w:val="12"/>
          <w:numId w:val="0"/>
        </w:numPr>
        <w:spacing w:before="120"/>
      </w:pPr>
      <w:r>
        <w:t xml:space="preserve">Tablica 4. Wymagania dla gruntów lub kruszyw stabilizowanych cementem dla </w:t>
      </w:r>
      <w:proofErr w:type="spellStart"/>
      <w:r>
        <w:t>poszczegól</w:t>
      </w:r>
      <w:proofErr w:type="spellEnd"/>
      <w:r>
        <w:t>-</w:t>
      </w:r>
    </w:p>
    <w:p w:rsidR="000141EE" w:rsidRDefault="000141EE" w:rsidP="00785FA0">
      <w:pPr>
        <w:numPr>
          <w:ilvl w:val="12"/>
          <w:numId w:val="0"/>
        </w:numPr>
        <w:spacing w:after="120"/>
      </w:pPr>
      <w:r>
        <w:t xml:space="preserve">                 </w:t>
      </w:r>
      <w:proofErr w:type="spellStart"/>
      <w:r>
        <w:t>nych</w:t>
      </w:r>
      <w:proofErr w:type="spellEnd"/>
      <w:r>
        <w:t xml:space="preserve"> warstw podbudowy i ulepszonego podłoża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1134"/>
        <w:gridCol w:w="1276"/>
        <w:gridCol w:w="1064"/>
      </w:tblGrid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Rodzaj warstwy w konstrukcji</w:t>
            </w: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nawierzchni drogowej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Wytrzymałość na ściskanie próbek nasyconych wodą (</w:t>
            </w: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 xml:space="preserve">Wskaźnik </w:t>
            </w:r>
            <w:proofErr w:type="spellStart"/>
            <w:r>
              <w:t>mrozood</w:t>
            </w:r>
            <w:proofErr w:type="spellEnd"/>
            <w:r>
              <w:t>-</w:t>
            </w:r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</w:pP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po 7 dniach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po 28 dniach</w:t>
            </w:r>
          </w:p>
        </w:tc>
        <w:tc>
          <w:tcPr>
            <w:tcW w:w="1064" w:type="dxa"/>
            <w:tcBorders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porności</w:t>
            </w:r>
            <w:proofErr w:type="spellEnd"/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>Podbudowa zasadnicza dla KR1 lub podbudowa pomocnicza dla KR2 do KR6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1,6            do 2,2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2,5         do 5,0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0,7</w:t>
            </w:r>
          </w:p>
        </w:tc>
      </w:tr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 xml:space="preserve">Górna część warstwy ulepszonego podłoża gruntowego o grubości co najmniej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>
              <w:t xml:space="preserve"> dla KR5 i KR6 lub górna część warstwy ulepszenia słabego podłoża z gruntów wątpliwych oraz </w:t>
            </w:r>
            <w:proofErr w:type="spellStart"/>
            <w:r>
              <w:t>wysadzinowych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od 1,0           do 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od 1,5              do 2,5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240" w:after="60"/>
              <w:jc w:val="center"/>
            </w:pPr>
            <w:r>
              <w:t>0,6</w:t>
            </w:r>
          </w:p>
        </w:tc>
      </w:tr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 xml:space="preserve">Dolna część warstwy ulepszonego podłoża gruntowego w przypadku posadowienia konstrukcji nawierzchni na podłożu z gruntów wątpliwych                       i </w:t>
            </w:r>
            <w:proofErr w:type="spellStart"/>
            <w:r>
              <w:t>wysadzinowych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0,5 do 1,5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0,6</w:t>
            </w:r>
          </w:p>
        </w:tc>
      </w:tr>
    </w:tbl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pStyle w:val="Nagwek1"/>
        <w:numPr>
          <w:ilvl w:val="12"/>
          <w:numId w:val="0"/>
        </w:numPr>
      </w:pPr>
      <w:r>
        <w:t>3. sprzęt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Wymagania dotyczące sprzętu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3.</w:t>
      </w:r>
    </w:p>
    <w:p w:rsidR="000141EE" w:rsidRDefault="000141EE" w:rsidP="00785FA0">
      <w:pPr>
        <w:numPr>
          <w:ilvl w:val="12"/>
          <w:numId w:val="0"/>
        </w:numPr>
      </w:pPr>
      <w:r>
        <w:t xml:space="preserve">4. transport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4.</w:t>
      </w:r>
    </w:p>
    <w:p w:rsidR="000141EE" w:rsidRDefault="000141EE" w:rsidP="00785FA0">
      <w:pPr>
        <w:pStyle w:val="Nagwek1"/>
        <w:numPr>
          <w:ilvl w:val="12"/>
          <w:numId w:val="0"/>
        </w:numPr>
      </w:pPr>
      <w:r>
        <w:t>5. wykonanie robót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5.1. Ogólne zasady wykonania robót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Ogólne zasady wykonania robót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5.2. Warunki przystąpienia do robót</w:t>
      </w:r>
    </w:p>
    <w:p w:rsidR="000141EE" w:rsidRDefault="000141EE" w:rsidP="00785FA0">
      <w:pPr>
        <w:numPr>
          <w:ilvl w:val="12"/>
          <w:numId w:val="0"/>
        </w:numPr>
      </w:pPr>
      <w:r>
        <w:tab/>
        <w:t>Podbudowa z gruntu lub kruszywa stabilizowanego cementem nie może być wykonywana wtedy, gdy podłoże jest zamarznięte i podczas opadów deszczu. Nie należy rozpoczynać stabilizacji gruntu lub kruszywa cementem, jeżeli prognozy meteorologiczne wskazują na możliwy spadek temperatury poniżej 5</w:t>
      </w:r>
      <w:r>
        <w:rPr>
          <w:vertAlign w:val="superscript"/>
        </w:rPr>
        <w:t>o</w:t>
      </w:r>
      <w:r>
        <w:t>C w czasie najbliższych 7 dni.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5.3. Przygotowanie podłoża</w:t>
      </w:r>
    </w:p>
    <w:p w:rsidR="000141EE" w:rsidRDefault="000141EE" w:rsidP="00785FA0">
      <w:pPr>
        <w:numPr>
          <w:ilvl w:val="12"/>
          <w:numId w:val="0"/>
        </w:numPr>
      </w:pPr>
      <w:r>
        <w:t xml:space="preserve">Podłoże powinno być przygotowane zgodnie z wymaganiami określonymi w SST                       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5.2.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lastRenderedPageBreak/>
        <w:t>5.4. Skład mieszanki cementowo-gruntowej i cementowo-kruszywowej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tab/>
      </w:r>
      <w:r>
        <w:rPr>
          <w:b w:val="0"/>
        </w:rPr>
        <w:t>Zawartość cementu w mieszance nie może przekraczać wartości podanych w tablicy 5. Zaleca się taki dobór mieszanki, aby spełnić wymagania wytrzymałościowe określone w p. 2.7 tablica 4, przy jak najmniejszej zawartości cementu.</w:t>
      </w:r>
    </w:p>
    <w:p w:rsidR="000141EE" w:rsidRDefault="000141EE" w:rsidP="00785FA0">
      <w:pPr>
        <w:pStyle w:val="Nagwek2"/>
        <w:numPr>
          <w:ilvl w:val="12"/>
          <w:numId w:val="0"/>
        </w:numPr>
        <w:spacing w:after="0"/>
        <w:rPr>
          <w:b w:val="0"/>
        </w:rPr>
      </w:pPr>
      <w:r>
        <w:rPr>
          <w:b w:val="0"/>
        </w:rPr>
        <w:t>Tablica 5. Maksymalna zawartość cementu w mieszance cementowo-gruntowej lub w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                 mieszance kruszywa stabilizowanego cementem dla poszczególnych warstw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/>
        <w:rPr>
          <w:b w:val="0"/>
        </w:rPr>
      </w:pPr>
      <w:r>
        <w:rPr>
          <w:b w:val="0"/>
        </w:rPr>
        <w:t xml:space="preserve">                 podbudowy i ulepszonego podłoża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725"/>
        <w:gridCol w:w="1725"/>
        <w:gridCol w:w="1725"/>
      </w:tblGrid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Kategoria</w:t>
            </w:r>
          </w:p>
        </w:tc>
        <w:tc>
          <w:tcPr>
            <w:tcW w:w="5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Maksymalna zawartość cementu, % w stosunku do masy suchego gruntu lub kruszywa</w:t>
            </w:r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bottom w:val="doub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ruchu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podbudowa zasadnicza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podbudowa pomocnicza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ulepszone         podłoże</w:t>
            </w:r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  <w:r>
              <w:rPr>
                <w:b w:val="0"/>
              </w:rPr>
              <w:t>KR 2  do  KR 6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  <w:r>
              <w:rPr>
                <w:b w:val="0"/>
              </w:rPr>
              <w:t>KR 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</w:tbl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rPr>
          <w:b w:val="0"/>
        </w:rPr>
        <w:tab/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Zawartość wody w mieszance powinna odpowiadać wilgotności optymalnej, określonej według normalnej próby </w:t>
      </w:r>
      <w:proofErr w:type="spellStart"/>
      <w:r>
        <w:t>Proctora</w:t>
      </w:r>
      <w:proofErr w:type="spellEnd"/>
      <w:r>
        <w:t>, zgodnie z PN-B-04481 [2], z tolerancją +10%,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Zaprojektowany skład mieszanki powinien zapewniać otrzymanie w czasie budowy właściwości gruntu lub kruszywa stabilizowanego cementem zgodnych z wymaganiami określonymi w tablicy 4.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5.5. Stabilizacja metodą mieszania na miejscu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Do stabilizacji gruntu metodą mieszania na miejscu można użyć specjalistycznych mieszarek </w:t>
      </w:r>
      <w:proofErr w:type="spellStart"/>
      <w:r>
        <w:t>wieloprzejściowych</w:t>
      </w:r>
      <w:proofErr w:type="spellEnd"/>
      <w:r>
        <w:t xml:space="preserve"> lub </w:t>
      </w:r>
      <w:proofErr w:type="spellStart"/>
      <w:r>
        <w:t>jednoprzejściowych</w:t>
      </w:r>
      <w:proofErr w:type="spellEnd"/>
      <w:r>
        <w:t xml:space="preserve"> albo maszyn rolniczych.</w:t>
      </w:r>
    </w:p>
    <w:p w:rsidR="000141EE" w:rsidRDefault="000141EE" w:rsidP="00785FA0">
      <w:pPr>
        <w:numPr>
          <w:ilvl w:val="12"/>
          <w:numId w:val="0"/>
        </w:numPr>
      </w:pPr>
      <w:r>
        <w:tab/>
        <w:t>Grunt przewidziany do stabilizacji powinien być spulchniony i rozdrobniony.</w:t>
      </w:r>
    </w:p>
    <w:p w:rsidR="000141EE" w:rsidRDefault="000141EE" w:rsidP="00785FA0">
      <w:pPr>
        <w:numPr>
          <w:ilvl w:val="12"/>
          <w:numId w:val="0"/>
        </w:numPr>
      </w:pPr>
      <w:r>
        <w:tab/>
        <w:t>Po spulchnieniu gruntu należy sprawdzić jego wilgotność i w razie potrzeby ją zwiększyć w celu ułatwienia rozdrobnienia. Woda powinna być dozowana przy użyciu beczkowozów zapewniających równomierne i kontrolowane dozowanie. Wraz z wodą można dodawać do gruntu dodatki ulepszające rozpuszczalne w wodzie, np. chlorek wapniowy.</w:t>
      </w:r>
    </w:p>
    <w:p w:rsidR="000141EE" w:rsidRDefault="000141EE" w:rsidP="00785FA0">
      <w:pPr>
        <w:numPr>
          <w:ilvl w:val="12"/>
          <w:numId w:val="0"/>
        </w:numPr>
      </w:pPr>
      <w:r>
        <w:tab/>
        <w:t>Jeżeli wilgotność naturalna gruntu jest większa od wilgotności optymalnej o więcej niż 10% jej wartości, grunt powinien być osuszony przez mieszanie i napowietrzanie w czasie suchej pogody.</w:t>
      </w:r>
    </w:p>
    <w:p w:rsidR="000141EE" w:rsidRDefault="000141EE" w:rsidP="00785FA0">
      <w:pPr>
        <w:numPr>
          <w:ilvl w:val="12"/>
          <w:numId w:val="0"/>
        </w:numPr>
      </w:pPr>
      <w:r>
        <w:tab/>
        <w:t>Po spulchnieniu i rozdrobnieniu gruntu należy dodać i przemieszać z gruntem dodatki ulepszające, np. wapno lub popioły lotne, w ilości określonej w recepcie laboratoryjnej, o ile ich użycie jest przewidziane w tejże recepcie.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Cement należy dodawać do rozdrobnionego i ewentualnie ulepszonego gruntu w ilości ustalonej w recepcie laboratoryjnej. Cement i dodatki ulepszające powinny być dodawane przy użyciu </w:t>
      </w:r>
      <w:proofErr w:type="spellStart"/>
      <w:r>
        <w:t>rozsypywarek</w:t>
      </w:r>
      <w:proofErr w:type="spellEnd"/>
      <w:r>
        <w:t xml:space="preserve"> cementu lub w inny sposób zaakceptowany przez Inżyniera.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Grunt powinien  być wymieszany z cementem w sposób zapewniający jednorodność na określoną głębokość, gwarantującą uzyskanie projektowanej grubości warstwy po zagęszczeniu. W przypadku wykonywania stabilizacji w prowadnicach, szczególną uwagę należy zwrócić na jednorodność wymieszania gruntu w obrębie skrajnych pasów o szerokości od 30 do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 xml:space="preserve">, przyległych do prowadnic. </w:t>
      </w:r>
    </w:p>
    <w:p w:rsidR="000141EE" w:rsidRDefault="000141EE" w:rsidP="00785FA0">
      <w:pPr>
        <w:numPr>
          <w:ilvl w:val="12"/>
          <w:numId w:val="0"/>
        </w:numPr>
      </w:pPr>
      <w:r>
        <w:tab/>
        <w:t>Po wymieszaniu gruntu z cementem należy sprawdzić wilgotność mieszanki. Jeżeli jej wilgotność jest mniejsza od optymalnej o więcej niż 20%, należy dodać odpowiednią ilość wody i mieszankę ponownie dokładnie wymieszać. Wilgotność mieszanki przed zagęszczeniem nie może różnić się od wilgotności optymalnej o więcej niż +10%,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Czas od momentu rozłożenia cementu na gruncie do momentu zakończenia mieszania nie powinien być dłuższy od 2 godzin.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Po zakończeniu mieszania należy powierzchnię warstwy wyrównać i wyprofilować do wymaganych w dokumentacji projektowej rzędnych oraz spadków poprzecznych i podłużnych. Do tego celu należy użyć równiarek i wykorzystać prowadnice </w:t>
      </w:r>
      <w:r>
        <w:lastRenderedPageBreak/>
        <w:t>podłużne, układane każdorazowo na odcinku roboczym. Od użycia prowadnic można odstąpić przy zastosowaniu specjalistycznych mieszarek i technologii gwarantującej odpowiednią równość warstwy, po uzyskaniu zgody Inżyniera. Po wyprofilowaniu należy natychmiast przystąpić do zagęszczania warstwy. Zagęszczenie należy przeprowadzić w sposób określony w p. 5.8.</w:t>
      </w: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pStyle w:val="Nagwek2"/>
        <w:numPr>
          <w:ilvl w:val="12"/>
          <w:numId w:val="0"/>
        </w:numPr>
      </w:pPr>
      <w:r>
        <w:t>5.6. Stabilizacja metodą mieszania w mieszarkach stacjonarnych</w:t>
      </w:r>
    </w:p>
    <w:p w:rsidR="000141EE" w:rsidRDefault="000141EE" w:rsidP="00785FA0">
      <w:pPr>
        <w:numPr>
          <w:ilvl w:val="12"/>
          <w:numId w:val="0"/>
        </w:numPr>
      </w:pPr>
      <w:r>
        <w:tab/>
        <w:t>Składniki mieszanki i w razie potrzeby dodatki ulepszające, powinny być dozowane w ilości określonej w recepcie laboratoryjnej. Mieszarka stacjonarna powinna być wyposażona w urządzenia do wagowego dozowania kruszywa lub gruntu i cementu oraz objętościowego dozowania wody.</w:t>
      </w:r>
    </w:p>
    <w:p w:rsidR="000141EE" w:rsidRDefault="000141EE" w:rsidP="00785FA0">
      <w:pPr>
        <w:numPr>
          <w:ilvl w:val="12"/>
          <w:numId w:val="0"/>
        </w:numPr>
      </w:pPr>
      <w:r>
        <w:tab/>
        <w:t>Czas mieszania w mieszarkach cyklicznych nie powinien być krótszy od 1 minuty, o ile krótszy czas mieszania nie zostanie dozwolony przez Inżyniera po wstępnych próbach. W mieszarkach typu ciągłego prędkość podawania materiałów powinna być ustalona i na bieżąco kontrolowana w taki sposób, aby zapewnić jednorodność mieszanki.</w:t>
      </w:r>
    </w:p>
    <w:p w:rsidR="000141EE" w:rsidRDefault="000141EE" w:rsidP="00785FA0">
      <w:pPr>
        <w:numPr>
          <w:ilvl w:val="12"/>
          <w:numId w:val="0"/>
        </w:numPr>
      </w:pPr>
      <w:r>
        <w:tab/>
        <w:t>Wilgotność mieszanki powinna odpowiadać wilgotności optymalnej z tolerancją +10% i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Przed ułożeniem mieszanki należy ustawić prowadnice i podłoże zwilżyć wodą.</w:t>
      </w:r>
    </w:p>
    <w:p w:rsidR="000141EE" w:rsidRDefault="000141EE" w:rsidP="00785FA0">
      <w:pPr>
        <w:numPr>
          <w:ilvl w:val="12"/>
          <w:numId w:val="0"/>
        </w:numPr>
      </w:pPr>
      <w:r>
        <w:tab/>
        <w:t>Mieszanka dowieziona z wytwórni powinna być układana przy pomocy układarek lub równiarek. Grubość układania mieszanki powinna być taka, aby zapewnić uzyskanie wymaganej grubości warstwy po zagęszczeniu.</w:t>
      </w:r>
    </w:p>
    <w:p w:rsidR="000141EE" w:rsidRDefault="000141EE" w:rsidP="00785FA0">
      <w:pPr>
        <w:numPr>
          <w:ilvl w:val="12"/>
          <w:numId w:val="0"/>
        </w:numPr>
      </w:pPr>
      <w:r>
        <w:tab/>
        <w:t>Przed zagęszczeniem warstwa powinna być wyprofilowana do wymaganych rzędnych, spadków podłużnych i poprzecznych. Przy użyciu równiarek do rozkładania mieszanki należy wykorzystać prowadnice, w celu uzyskania odpowiedniej równości profilu warstwy. Od użycia prowadnic można odstąpić przy zastosowaniu technologii gwarantującej odpowiednią równość warstwy, po uzyskaniu zgody Inżyniera. Po wyprofilowaniu należy natychmiast przystąpić do zagęszczania warstwy.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5.7. Grubość warstwy</w:t>
      </w:r>
    </w:p>
    <w:p w:rsidR="000141EE" w:rsidRDefault="000141EE" w:rsidP="00785FA0">
      <w:pPr>
        <w:numPr>
          <w:ilvl w:val="12"/>
          <w:numId w:val="0"/>
        </w:numPr>
      </w:pPr>
      <w:r>
        <w:tab/>
        <w:t>Orientacyjna grubość poszczególnych warstw podbudowy z gruntu lub kruszywa stabilizowanego cementem nie powinna przekraczać: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- przy mieszaniu na miejscu sprzętem rolniczym,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8 cm"/>
        </w:smartTagPr>
        <w:r>
          <w:t>18 cm</w:t>
        </w:r>
      </w:smartTag>
      <w:r>
        <w:t xml:space="preserve"> - przy mieszaniu na miejscu sprzętem specjalistycznym,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22 cm"/>
        </w:smartTagPr>
        <w:r>
          <w:t>22 cm</w:t>
        </w:r>
      </w:smartTag>
      <w:r>
        <w:t xml:space="preserve"> - przy mieszaniu w mieszarce stacjonarnej.</w:t>
      </w:r>
    </w:p>
    <w:p w:rsidR="000141EE" w:rsidRDefault="000141EE">
      <w:r>
        <w:tab/>
        <w:t>Jeżeli projektowana grubość warstwy podbudowy jest większa od maksymalnej, to stabilizację należy wykonywać w dwóch warstwach.</w:t>
      </w:r>
    </w:p>
    <w:p w:rsidR="000141EE" w:rsidRDefault="000141EE">
      <w:r>
        <w:tab/>
        <w:t>Jeżeli stabilizacja będzie wykonywana w dwóch lub więcej warstwach, to tylko najniżej położona warstwa może być wykonana przy zastosowaniu technologii mieszania na miejscu. Wszystkie warstwy leżące wyżej powinny być wykonywane według metody mieszania w mieszarkach stacjonarnych.</w:t>
      </w:r>
    </w:p>
    <w:p w:rsidR="000141EE" w:rsidRDefault="000141EE">
      <w:r>
        <w:tab/>
        <w:t>Warstwy podbudowy zasadniczej powinny być wykonywane według technologii mieszania w mieszarkach stacjonarnych.</w:t>
      </w:r>
    </w:p>
    <w:p w:rsidR="000141EE" w:rsidRDefault="000141EE">
      <w:pPr>
        <w:pStyle w:val="Nagwek2"/>
      </w:pPr>
      <w:r>
        <w:t>5.8. Zagęszczanie</w:t>
      </w:r>
    </w:p>
    <w:p w:rsidR="000141EE" w:rsidRDefault="000141EE">
      <w:r>
        <w:tab/>
        <w:t>Zagęszczanie warstwy gruntu lub kruszywa stabilizowanego cementem należy prowadzić przy użyciu walców gładkich, wibracyjnych lub ogumionych, w zestawie wskazanym w SST.</w:t>
      </w:r>
    </w:p>
    <w:p w:rsidR="000141EE" w:rsidRDefault="000141EE"/>
    <w:p w:rsidR="000141EE" w:rsidRDefault="000141EE"/>
    <w:p w:rsidR="000141EE" w:rsidRDefault="000141EE">
      <w:r>
        <w:tab/>
        <w:t xml:space="preserve">Zagęszczanie podbudowy oraz ulepszonego podłoża o przekroju daszkowym powinno rozpocząć się od krawędzi i przesuwać pasami podłużnymi, częściowo nakładającymi się w stronę osi jezdni. Zagęszczenie warstwy o jednostronnym spadku poprzecznym powinno rozpocząć się od niżej położonej krawędzi i przesuwać pasami podłużnymi, częściowo nakładającymi się, w stronę wyżej położonej krawędzi. Pojawiające się w czasie zagęszczania zaniżenia, ubytki, rozwarstwienia i podobne wady, muszą być natychmiast naprawiane przez wymianę mieszanki  na pełną głębokość, </w:t>
      </w:r>
      <w:r>
        <w:lastRenderedPageBreak/>
        <w:t>wyrównanie i ponowne zagęszczenie. Powierzchnia zagęszczonej warstwy powinna mieć prawidłowy przekrój poprzeczny i jednolity wygląd.</w:t>
      </w:r>
    </w:p>
    <w:p w:rsidR="000141EE" w:rsidRDefault="000141EE">
      <w:r>
        <w:tab/>
        <w:t>W przypadku technologii mieszania w mieszarkach stacjonarnych operacje zagęszczania i obróbki powierzchniowej muszą być zakończone przed upływem dwóch godzin od chwili dodania wody do mieszanki.</w:t>
      </w:r>
    </w:p>
    <w:p w:rsidR="000141EE" w:rsidRDefault="000141EE">
      <w:r>
        <w:tab/>
        <w:t>W przypadku technologii mieszania na miejscu, operacje zagęszczania i obróbki powierzchniowej muszą być zakończone nie później niż w ciągu 5 godzin, licząc od momentu rozpoczęcia mieszania gruntu z cementem.</w:t>
      </w:r>
    </w:p>
    <w:p w:rsidR="000141EE" w:rsidRDefault="000141EE">
      <w:r>
        <w:tab/>
        <w:t>Zagęszczanie należy kontynuować do osiągnięcia wskaźnika zagęszczenia mieszanki określonego wg BN-77/8931-12 [25] nie mniejszego od podanego w PN-S-96012 [17] i SST.</w:t>
      </w:r>
    </w:p>
    <w:p w:rsidR="000141EE" w:rsidRDefault="000141EE">
      <w:r>
        <w:tab/>
        <w:t>Specjalną uwagę należy poświęcić zagęszczeniu mieszanki w sąsiedztwie spoin roboczych podłużnych i poprzecznych oraz wszelkich urządzeń obcych.</w:t>
      </w:r>
    </w:p>
    <w:p w:rsidR="000141EE" w:rsidRDefault="000141EE">
      <w:r>
        <w:tab/>
        <w:t>Wszelkie miejsca luźne, rozsegregowane, spękane podczas zagęszczania lub w inny sposób wadliwe, muszą być naprawione przez zerwanie warstwy na pełną grubość, wbudowanie nowej mieszanki o odpowiednim składzie i ponowne zagęszczenie. Roboty te są wykonywane na koszt Wykonawcy.</w:t>
      </w:r>
    </w:p>
    <w:p w:rsidR="000141EE" w:rsidRDefault="000141EE">
      <w:pPr>
        <w:pStyle w:val="Nagwek2"/>
      </w:pPr>
      <w:r>
        <w:t>5.9. Spoiny robocze</w:t>
      </w:r>
    </w:p>
    <w:p w:rsidR="000141EE" w:rsidRDefault="000141EE">
      <w:r>
        <w:tab/>
        <w:t>W miarę możliwości należy unikać podłużnych spoin roboczych, poprzez wykonanie warstwy na całej szerokości.</w:t>
      </w:r>
    </w:p>
    <w:p w:rsidR="000141EE" w:rsidRDefault="000141EE">
      <w:r>
        <w:tab/>
        <w:t>Jeśli jest to niemożliwe, przy warstwie wykonywanej w prowadnicach, przed wykonaniem kolejnego pasa  należy pionową krawędź wykonanego pasa zwilżyć wodą. Przy warstwie wykonanej bez prowadnic w ułożonej i zagęszczonej mieszance, należy niezwłocznie obciąć pionową krawędź. Po zwilżeniu jej wodą należy wbudować kolejny pas. W podobny sposób należy wykonać poprzeczną spoinę roboczą na połączeniu działek roboczych. Od obcięcia pionowej krawędzi w wykonanej mieszance można odstąpić wtedy, gdy czas pomiędzy zakończeniem zagęszczania jednego pasa, a rozpoczęciem wbudowania sąsiedniego pasa, nie przekracza 60 minut.</w:t>
      </w:r>
    </w:p>
    <w:p w:rsidR="000141EE" w:rsidRDefault="000141EE">
      <w:r>
        <w:tab/>
        <w:t xml:space="preserve">Jeżeli w niżej położonej warstwie występują spoiny robocze, to spoiny w warstwie leżącej wyżej powinny być względem nich przesunięte o co najmniej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dla spoiny podłużnej i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dla spoiny poprzecznej.</w:t>
      </w:r>
    </w:p>
    <w:p w:rsidR="000141EE" w:rsidRDefault="000141EE">
      <w:pPr>
        <w:pStyle w:val="Nagwek2"/>
      </w:pPr>
      <w:r>
        <w:t>5.10. Pielęgnacja warstwy z gruntu lub kruszywa stabilizowanego cementem</w:t>
      </w:r>
    </w:p>
    <w:p w:rsidR="000141EE" w:rsidRDefault="000141EE">
      <w:r>
        <w:tab/>
        <w:t xml:space="preserve">Zasady pielęgnacji warstwy gruntu lub kruszywa stabilizowanego cementem podano w OST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5.5.</w:t>
      </w:r>
    </w:p>
    <w:p w:rsidR="000141EE" w:rsidRDefault="000141EE">
      <w:pPr>
        <w:pStyle w:val="Nagwek2"/>
      </w:pPr>
      <w:r>
        <w:t>5.11. Odcinek próbny</w:t>
      </w:r>
    </w:p>
    <w:p w:rsidR="000141EE" w:rsidRDefault="000141EE">
      <w:r>
        <w:tab/>
        <w:t xml:space="preserve">O ile przewidziano to w SST, Wykonawca powinien wykonać odcinek próbny, zgodnie z zasadami określonymi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5.3.</w:t>
      </w:r>
    </w:p>
    <w:p w:rsidR="000141EE" w:rsidRDefault="000141EE">
      <w:pPr>
        <w:pStyle w:val="Nagwek2"/>
      </w:pPr>
      <w:r>
        <w:t>5.12. Utrzymanie podbudowy i ulepszonego podłoża</w:t>
      </w:r>
    </w:p>
    <w:p w:rsidR="000141EE" w:rsidRDefault="000141EE">
      <w:r>
        <w:tab/>
        <w:t xml:space="preserve">Podbudowa i ulepszone podłoże powinny być utrzymywane przez Wykonawcę zgodnie z zasadami określonymi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5.4.</w:t>
      </w:r>
    </w:p>
    <w:p w:rsidR="000141EE" w:rsidRDefault="000141EE">
      <w:pPr>
        <w:pStyle w:val="Nagwek1"/>
      </w:pPr>
      <w:r>
        <w:t>6. kontrola jakości robót</w:t>
      </w:r>
    </w:p>
    <w:p w:rsidR="000141EE" w:rsidRDefault="000141EE">
      <w:pPr>
        <w:pStyle w:val="Nagwek2"/>
      </w:pPr>
      <w:r>
        <w:t>6.1. Ogólne zasady kontroli jakości robót</w:t>
      </w:r>
    </w:p>
    <w:p w:rsidR="000141EE" w:rsidRDefault="000141EE">
      <w:r>
        <w:tab/>
        <w:t xml:space="preserve">Ogólne zasady kontroli jakości robót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6.</w:t>
      </w:r>
    </w:p>
    <w:p w:rsidR="000141EE" w:rsidRDefault="000141EE">
      <w:pPr>
        <w:pStyle w:val="Nagwek2"/>
      </w:pPr>
      <w:r>
        <w:lastRenderedPageBreak/>
        <w:t>6.2. Badania przed przystąpieniem do robót</w:t>
      </w:r>
    </w:p>
    <w:p w:rsidR="000141EE" w:rsidRDefault="000141EE">
      <w:r>
        <w:tab/>
        <w:t xml:space="preserve">Przed przystąpieniem do robót Wykonawca powinien wykonać badania gruntów lub kruszyw zgodnie z ustaleniami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6.2.</w:t>
      </w:r>
    </w:p>
    <w:p w:rsidR="000141EE" w:rsidRDefault="000141EE">
      <w:pPr>
        <w:pStyle w:val="Nagwek2"/>
      </w:pPr>
      <w:r>
        <w:t>6.3. Badania w czasie robót</w:t>
      </w:r>
    </w:p>
    <w:p w:rsidR="000141EE" w:rsidRDefault="000141EE">
      <w:r>
        <w:tab/>
        <w:t xml:space="preserve">Częstotliwość oraz zakres badań i pomiarów kontrolnych w czasie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6.3.</w:t>
      </w:r>
    </w:p>
    <w:p w:rsidR="000141EE" w:rsidRDefault="000141EE">
      <w:pPr>
        <w:pStyle w:val="Nagwek2"/>
      </w:pPr>
      <w:r>
        <w:t>6.4. Wymagania dotyczące cech geometrycznych podbudowy i ulepszonego podłoża</w:t>
      </w:r>
    </w:p>
    <w:p w:rsidR="000141EE" w:rsidRDefault="000141EE">
      <w:r>
        <w:tab/>
        <w:t xml:space="preserve">Wymagania dotyczące cech geometrycznych podbudowy i ulepszonego podłoża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6.4.</w:t>
      </w:r>
    </w:p>
    <w:p w:rsidR="000141EE" w:rsidRDefault="000141EE">
      <w:pPr>
        <w:pStyle w:val="Nagwek2"/>
        <w:spacing w:after="0"/>
      </w:pPr>
      <w:r>
        <w:t>6.5. Zasady postępowania z wadliwie wykonanymi odcinkami podbudowy</w:t>
      </w:r>
    </w:p>
    <w:p w:rsidR="000141EE" w:rsidRDefault="000141EE">
      <w:pPr>
        <w:keepNext/>
        <w:spacing w:after="120"/>
        <w:rPr>
          <w:b/>
        </w:rPr>
      </w:pPr>
      <w:r>
        <w:rPr>
          <w:b/>
        </w:rPr>
        <w:t xml:space="preserve">       i ulepszonego podłoża</w:t>
      </w:r>
    </w:p>
    <w:p w:rsidR="000141EE" w:rsidRDefault="000141EE">
      <w:pPr>
        <w:pStyle w:val="tekstost"/>
      </w:pPr>
      <w:r>
        <w:tab/>
        <w:t xml:space="preserve">Zasady postępowania z wadliwie wykonanymi odcinkami podbudowy i ulepszonego podłoża podano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6.5.</w:t>
      </w:r>
    </w:p>
    <w:p w:rsidR="000141EE" w:rsidRDefault="000141EE">
      <w:pPr>
        <w:pStyle w:val="Nagwek1"/>
      </w:pPr>
      <w:r>
        <w:t>7. obmiar robót</w:t>
      </w:r>
    </w:p>
    <w:p w:rsidR="000141EE" w:rsidRDefault="000141EE">
      <w:r>
        <w:tab/>
        <w:t xml:space="preserve">Zasady obmiaru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7.</w:t>
      </w:r>
    </w:p>
    <w:p w:rsidR="000141EE" w:rsidRDefault="000141EE">
      <w:pPr>
        <w:pStyle w:val="Nagwek1"/>
      </w:pPr>
      <w:r>
        <w:t>8. odbiór robót</w:t>
      </w:r>
    </w:p>
    <w:p w:rsidR="000141EE" w:rsidRDefault="000141EE">
      <w:r>
        <w:tab/>
        <w:t xml:space="preserve">Zasady odbioru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8.</w:t>
      </w:r>
    </w:p>
    <w:p w:rsidR="000141EE" w:rsidRDefault="000141EE">
      <w:pPr>
        <w:pStyle w:val="Nagwek1"/>
      </w:pPr>
      <w:r>
        <w:t>9. podstawa płatności</w:t>
      </w:r>
    </w:p>
    <w:p w:rsidR="000141EE" w:rsidRDefault="000141EE">
      <w:r>
        <w:tab/>
        <w:t xml:space="preserve">Zasady dotyczące ustalenia podstawy płatności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9.</w:t>
      </w:r>
    </w:p>
    <w:p w:rsidR="000141EE" w:rsidRDefault="000141EE">
      <w:pPr>
        <w:pStyle w:val="Nagwek1"/>
      </w:pPr>
      <w:r>
        <w:t>10. przepisy związane</w:t>
      </w:r>
    </w:p>
    <w:p w:rsidR="000141EE" w:rsidRDefault="000141EE">
      <w:r>
        <w:tab/>
        <w:t xml:space="preserve">Normy i przepisy związane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10.</w:t>
      </w:r>
    </w:p>
    <w:p w:rsidR="000141EE" w:rsidRDefault="000141EE"/>
    <w:p w:rsidR="000141EE" w:rsidRDefault="000141EE">
      <w:pPr>
        <w:spacing w:after="120"/>
      </w:pPr>
      <w:r>
        <w:t xml:space="preserve">       </w:t>
      </w:r>
    </w:p>
    <w:p w:rsidR="000141EE" w:rsidRDefault="000141EE">
      <w:r>
        <w:tab/>
      </w:r>
    </w:p>
    <w:p w:rsidR="000141EE" w:rsidRDefault="000141EE"/>
    <w:p w:rsidR="000141EE" w:rsidRDefault="000141EE">
      <w:r>
        <w:tab/>
      </w:r>
    </w:p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sectPr w:rsidR="000141EE" w:rsidSect="00E778B5">
      <w:headerReference w:type="even" r:id="rId7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E7" w:rsidRDefault="00567AE7">
      <w:r>
        <w:separator/>
      </w:r>
    </w:p>
  </w:endnote>
  <w:endnote w:type="continuationSeparator" w:id="0">
    <w:p w:rsidR="00567AE7" w:rsidRDefault="0056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E7" w:rsidRDefault="00567AE7">
      <w:r>
        <w:separator/>
      </w:r>
    </w:p>
  </w:footnote>
  <w:footnote w:type="continuationSeparator" w:id="0">
    <w:p w:rsidR="00567AE7" w:rsidRDefault="0056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EE" w:rsidRDefault="000141EE">
    <w:pPr>
      <w:pStyle w:val="Nagwek"/>
      <w:rPr>
        <w:rFonts w:ascii="Times New Roman" w:hAnsi="Times New Roman"/>
        <w:sz w:val="20"/>
      </w:rPr>
    </w:pPr>
  </w:p>
  <w:p w:rsidR="000141EE" w:rsidRDefault="000141EE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87618"/>
    <w:lvl w:ilvl="0">
      <w:numFmt w:val="bullet"/>
      <w:lvlText w:val="*"/>
      <w:lvlJc w:val="left"/>
    </w:lvl>
  </w:abstractNum>
  <w:abstractNum w:abstractNumId="1">
    <w:nsid w:val="57B74782"/>
    <w:multiLevelType w:val="singleLevel"/>
    <w:tmpl w:val="085286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78760872"/>
    <w:multiLevelType w:val="singleLevel"/>
    <w:tmpl w:val="085286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85FA0"/>
    <w:rsid w:val="000141EE"/>
    <w:rsid w:val="00086544"/>
    <w:rsid w:val="00136066"/>
    <w:rsid w:val="001A7249"/>
    <w:rsid w:val="005204F4"/>
    <w:rsid w:val="00567AE7"/>
    <w:rsid w:val="00742AFF"/>
    <w:rsid w:val="00785FA0"/>
    <w:rsid w:val="009635FD"/>
    <w:rsid w:val="00974FC5"/>
    <w:rsid w:val="009F018F"/>
    <w:rsid w:val="00B00211"/>
    <w:rsid w:val="00B815CA"/>
    <w:rsid w:val="00C177F6"/>
    <w:rsid w:val="00C23D74"/>
    <w:rsid w:val="00DB11DB"/>
    <w:rsid w:val="00E34176"/>
    <w:rsid w:val="00E778B5"/>
    <w:rsid w:val="00E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E778B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778B5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E778B5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778B5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E778B5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E778B5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E778B5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E778B5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E778B5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E778B5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E778B5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E778B5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E778B5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E778B5"/>
  </w:style>
  <w:style w:type="paragraph" w:customStyle="1" w:styleId="StylIwony">
    <w:name w:val="Styl Iwony"/>
    <w:basedOn w:val="Normalny"/>
    <w:rsid w:val="00E778B5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E778B5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E778B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778B5"/>
  </w:style>
  <w:style w:type="paragraph" w:customStyle="1" w:styleId="tekstost">
    <w:name w:val="tekst ost"/>
    <w:basedOn w:val="Normalny"/>
    <w:rsid w:val="00E778B5"/>
  </w:style>
  <w:style w:type="character" w:styleId="Odwoanieprzypisudolnego">
    <w:name w:val="footnote reference"/>
    <w:basedOn w:val="Domylnaczcionkaakapitu"/>
    <w:semiHidden/>
    <w:rsid w:val="00E778B5"/>
    <w:rPr>
      <w:vertAlign w:val="superscript"/>
    </w:rPr>
  </w:style>
  <w:style w:type="paragraph" w:customStyle="1" w:styleId="Standardowytekst">
    <w:name w:val="Standardowy.tekst"/>
    <w:rsid w:val="00E778B5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3270</Words>
  <Characters>19621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D-04.05.00:04.05.04</vt:lpstr>
    </vt:vector>
  </TitlesOfParts>
  <Company>Warszawa      Skaryszewska 19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D-04.05.00:04.05.04</dc:title>
  <dc:subject>ost</dc:subject>
  <dc:creator>BZD BDIM Sp. z o.o.</dc:creator>
  <cp:keywords>specyfikacje, drogi, drogownictwo</cp:keywords>
  <dc:description>Podbudowy i ulepszone podłoże z gruntów lub kruszyw stabilizowanych spoiwami hydraulicznymi</dc:description>
  <cp:lastModifiedBy>Kompuer</cp:lastModifiedBy>
  <cp:revision>6</cp:revision>
  <cp:lastPrinted>2006-05-15T11:32:00Z</cp:lastPrinted>
  <dcterms:created xsi:type="dcterms:W3CDTF">2010-10-18T06:08:00Z</dcterms:created>
  <dcterms:modified xsi:type="dcterms:W3CDTF">2015-08-08T07:11:00Z</dcterms:modified>
</cp:coreProperties>
</file>