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7" w:rsidRDefault="00430DE7">
      <w:pPr>
        <w:jc w:val="center"/>
        <w:rPr>
          <w:b/>
          <w:sz w:val="19"/>
        </w:rPr>
      </w:pPr>
    </w:p>
    <w:p w:rsidR="00430DE7" w:rsidRDefault="00430DE7">
      <w:pPr>
        <w:jc w:val="center"/>
        <w:rPr>
          <w:b/>
          <w:sz w:val="28"/>
        </w:rPr>
      </w:pPr>
    </w:p>
    <w:p w:rsidR="00430DE7" w:rsidRDefault="00430DE7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bookmarkStart w:id="0" w:name="_Toc404150096"/>
      <w:bookmarkStart w:id="1" w:name="_Toc416830698"/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D-04.04.00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KRUSZYW.</w:t>
      </w:r>
    </w:p>
    <w:p w:rsidR="00430DE7" w:rsidRDefault="00430DE7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>WYMAGANIA OGÓLNE</w:t>
      </w: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30DE7" w:rsidRDefault="001C61E8">
      <w:pPr>
        <w:pStyle w:val="Spistreci1"/>
        <w:spacing w:before="0" w:after="0"/>
        <w:ind w:left="142"/>
        <w:rPr>
          <w:noProof/>
        </w:rPr>
      </w:pPr>
      <w:r w:rsidRPr="001C61E8">
        <w:rPr>
          <w:sz w:val="24"/>
        </w:rPr>
        <w:fldChar w:fldCharType="begin"/>
      </w:r>
      <w:r w:rsidR="00430DE7">
        <w:rPr>
          <w:sz w:val="24"/>
        </w:rPr>
        <w:instrText xml:space="preserve"> TOC \o "1-1" </w:instrText>
      </w:r>
      <w:r w:rsidRPr="001C61E8">
        <w:rPr>
          <w:sz w:val="24"/>
        </w:rPr>
        <w:fldChar w:fldCharType="separate"/>
      </w:r>
      <w:r w:rsidR="00430DE7">
        <w:rPr>
          <w:noProof/>
        </w:rPr>
        <w:t>1. WSTĘP</w:t>
      </w:r>
      <w:r w:rsidR="00430DE7"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</w:p>
    <w:p w:rsidR="00430DE7" w:rsidRDefault="001C61E8">
      <w:pPr>
        <w:pStyle w:val="Nagwek1"/>
      </w:pPr>
      <w:r>
        <w:rPr>
          <w:sz w:val="24"/>
        </w:rPr>
        <w:fldChar w:fldCharType="end"/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Nagwek1"/>
      </w:pPr>
      <w:r>
        <w:lastRenderedPageBreak/>
        <w:t>1. WSTĘP</w:t>
      </w:r>
      <w:bookmarkEnd w:id="0"/>
      <w:bookmarkEnd w:id="1"/>
    </w:p>
    <w:p w:rsidR="00430DE7" w:rsidRDefault="00430DE7">
      <w:pPr>
        <w:pStyle w:val="Nagwek2"/>
      </w:pPr>
      <w:bookmarkStart w:id="2" w:name="_Toc405704473"/>
      <w:bookmarkStart w:id="3" w:name="_Toc405780134"/>
      <w:bookmarkStart w:id="4" w:name="_Toc406295846"/>
      <w:bookmarkStart w:id="5" w:name="_Toc406913835"/>
      <w:bookmarkStart w:id="6" w:name="_Toc406914080"/>
      <w:bookmarkStart w:id="7" w:name="_Toc406914738"/>
      <w:bookmarkStart w:id="8" w:name="_Toc406915316"/>
      <w:bookmarkStart w:id="9" w:name="_Toc406984009"/>
      <w:bookmarkStart w:id="10" w:name="_Toc406984156"/>
      <w:bookmarkStart w:id="11" w:name="_Toc406984347"/>
      <w:bookmarkStart w:id="12" w:name="_Toc407069555"/>
      <w:bookmarkStart w:id="13" w:name="_Toc407081520"/>
      <w:bookmarkStart w:id="14" w:name="_Toc407083319"/>
      <w:bookmarkStart w:id="15" w:name="_Toc407084153"/>
      <w:bookmarkStart w:id="16" w:name="_Toc407085272"/>
      <w:bookmarkStart w:id="17" w:name="_Toc407085415"/>
      <w:bookmarkStart w:id="18" w:name="_Toc407085558"/>
      <w:bookmarkStart w:id="19" w:name="_Toc407086006"/>
      <w:r>
        <w:t>1.1. Przedmiot SST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30DE7" w:rsidRDefault="00430DE7">
      <w:r>
        <w:tab/>
        <w:t>Przedmiotem niniejszej szczegółowej specyfikacji technicznej (SST) są wymagania ogólne dotyczące wykonania i odbioru robót związanych z wykonywaniem podbudowy   z kruszyw stabilizowanych mechanicznie.</w:t>
      </w:r>
    </w:p>
    <w:p w:rsidR="00430DE7" w:rsidRDefault="00430DE7">
      <w:pPr>
        <w:pStyle w:val="Nagwek2"/>
      </w:pPr>
      <w:bookmarkStart w:id="20" w:name="_Toc405704474"/>
      <w:bookmarkStart w:id="21" w:name="_Toc405780135"/>
      <w:bookmarkStart w:id="22" w:name="_Toc406295847"/>
      <w:bookmarkStart w:id="23" w:name="_Toc406913836"/>
      <w:bookmarkStart w:id="24" w:name="_Toc406914081"/>
      <w:bookmarkStart w:id="25" w:name="_Toc406914739"/>
      <w:bookmarkStart w:id="26" w:name="_Toc406915317"/>
      <w:bookmarkStart w:id="27" w:name="_Toc406984010"/>
      <w:bookmarkStart w:id="28" w:name="_Toc406984157"/>
      <w:bookmarkStart w:id="29" w:name="_Toc406984348"/>
      <w:bookmarkStart w:id="30" w:name="_Toc407069556"/>
      <w:bookmarkStart w:id="31" w:name="_Toc407081521"/>
      <w:bookmarkStart w:id="32" w:name="_Toc407083320"/>
      <w:bookmarkStart w:id="33" w:name="_Toc407084154"/>
      <w:bookmarkStart w:id="34" w:name="_Toc407085273"/>
      <w:bookmarkStart w:id="35" w:name="_Toc407085416"/>
      <w:bookmarkStart w:id="36" w:name="_Toc407085559"/>
      <w:bookmarkStart w:id="37" w:name="_Toc407086007"/>
      <w:r>
        <w:t>1.2. Zakres stosowania SST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30DE7" w:rsidRDefault="00430DE7">
      <w:pPr>
        <w:pStyle w:val="tekstost"/>
      </w:pPr>
      <w:r>
        <w:tab/>
        <w:t xml:space="preserve">Szczegółowa specyfikacja techniczna (SST) stanowi obowiązując dokument przetargowy i kontraktowy przy zlecaniu i realizacji robót rogowych – </w:t>
      </w:r>
      <w:r w:rsidR="00943C25">
        <w:t xml:space="preserve">przebudowa ulicy  </w:t>
      </w:r>
      <w:r w:rsidR="000901E3">
        <w:t>SŁOWACKIEGO w Czempiniu.</w:t>
      </w:r>
    </w:p>
    <w:p w:rsidR="000901E3" w:rsidRDefault="000901E3">
      <w:pPr>
        <w:pStyle w:val="tekstost"/>
      </w:pPr>
    </w:p>
    <w:p w:rsidR="000901E3" w:rsidRDefault="00430DE7" w:rsidP="000901E3">
      <w:pPr>
        <w:pStyle w:val="tekstost"/>
      </w:pPr>
      <w:bookmarkStart w:id="38" w:name="_Toc405704475"/>
      <w:bookmarkStart w:id="39" w:name="_Toc405780136"/>
      <w:bookmarkStart w:id="40" w:name="_Toc406295848"/>
      <w:bookmarkStart w:id="41" w:name="_Toc406913837"/>
      <w:bookmarkStart w:id="42" w:name="_Toc406914082"/>
      <w:bookmarkStart w:id="43" w:name="_Toc406914740"/>
      <w:bookmarkStart w:id="44" w:name="_Toc406915318"/>
      <w:bookmarkStart w:id="45" w:name="_Toc406984011"/>
      <w:bookmarkStart w:id="46" w:name="_Toc406984158"/>
      <w:bookmarkStart w:id="47" w:name="_Toc406984349"/>
      <w:bookmarkStart w:id="48" w:name="_Toc407069557"/>
      <w:bookmarkStart w:id="49" w:name="_Toc407081522"/>
      <w:bookmarkStart w:id="50" w:name="_Toc407083321"/>
      <w:bookmarkStart w:id="51" w:name="_Toc407084155"/>
      <w:bookmarkStart w:id="52" w:name="_Toc407085274"/>
      <w:bookmarkStart w:id="53" w:name="_Toc407085417"/>
      <w:bookmarkStart w:id="54" w:name="_Toc407085560"/>
      <w:bookmarkStart w:id="55" w:name="_Toc407086008"/>
      <w:r>
        <w:t>1. 3. Zakres robót objętych SST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0901E3" w:rsidRPr="000901E3">
        <w:t xml:space="preserve"> </w:t>
      </w:r>
    </w:p>
    <w:p w:rsidR="00430DE7" w:rsidRDefault="00430DE7">
      <w:r>
        <w:tab/>
        <w:t>Ustalenia zawarte w niniejszej specyfikacji dotyczą zasad prowadzenia robót związanych z wykonywaniem podbudów z kruszyw stabilizowanych mechanicznie wg PN-S-06102 [21]  i obejmują SST: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r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430DE7" w:rsidRDefault="00430DE7">
      <w:pPr>
        <w:pStyle w:val="Nagwek2"/>
      </w:pPr>
      <w:bookmarkStart w:id="56" w:name="_Toc405704476"/>
      <w:bookmarkStart w:id="57" w:name="_Toc405780137"/>
      <w:bookmarkStart w:id="58" w:name="_Toc406295849"/>
      <w:bookmarkStart w:id="59" w:name="_Toc406913838"/>
      <w:bookmarkStart w:id="60" w:name="_Toc406914083"/>
      <w:bookmarkStart w:id="61" w:name="_Toc406914741"/>
      <w:bookmarkStart w:id="62" w:name="_Toc406915319"/>
      <w:bookmarkStart w:id="63" w:name="_Toc406984012"/>
      <w:bookmarkStart w:id="64" w:name="_Toc406984159"/>
      <w:bookmarkStart w:id="65" w:name="_Toc406984350"/>
      <w:bookmarkStart w:id="66" w:name="_Toc407069558"/>
      <w:bookmarkStart w:id="67" w:name="_Toc407081523"/>
      <w:bookmarkStart w:id="68" w:name="_Toc407083322"/>
      <w:bookmarkStart w:id="69" w:name="_Toc407084156"/>
      <w:bookmarkStart w:id="70" w:name="_Toc407085275"/>
      <w:bookmarkStart w:id="71" w:name="_Toc407085418"/>
      <w:bookmarkStart w:id="72" w:name="_Toc407085561"/>
      <w:bookmarkStart w:id="73" w:name="_Toc407086009"/>
      <w:r>
        <w:t>1.4. Określenia podstawowe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30DE7" w:rsidRDefault="00430DE7">
      <w:r>
        <w:rPr>
          <w:b/>
        </w:rPr>
        <w:t xml:space="preserve">1.4.1. </w:t>
      </w:r>
      <w:r>
        <w:t>Stabilizacja mechaniczna - proces technologiczny, polegający na odpowiednim zagęszczeniu w optymalnej wilgotności kruszywa o właściwie dobranym uziarnieniu.</w:t>
      </w:r>
    </w:p>
    <w:p w:rsidR="00430DE7" w:rsidRDefault="00430DE7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 oraz w SST dotyczących poszczególnych rodzajów podbudów z kruszyw stabilizowanych mechanicznie: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bookmarkStart w:id="74" w:name="_Toc405704477"/>
      <w:bookmarkStart w:id="75" w:name="_Toc405780138"/>
      <w:bookmarkStart w:id="76" w:name="_Toc406295850"/>
      <w:bookmarkStart w:id="77" w:name="_Toc406913839"/>
      <w:bookmarkStart w:id="78" w:name="_Toc406914084"/>
      <w:bookmarkStart w:id="79" w:name="_Toc406914742"/>
      <w:bookmarkStart w:id="80" w:name="_Toc406915320"/>
      <w:bookmarkStart w:id="81" w:name="_Toc406984013"/>
      <w:bookmarkStart w:id="82" w:name="_Toc406984160"/>
      <w:bookmarkStart w:id="83" w:name="_Toc406984351"/>
      <w:bookmarkStart w:id="84" w:name="_Toc407069559"/>
      <w:bookmarkStart w:id="85" w:name="_Toc407081524"/>
      <w:bookmarkStart w:id="86" w:name="_Toc407083323"/>
      <w:bookmarkStart w:id="87" w:name="_Toc407084157"/>
      <w:bookmarkStart w:id="88" w:name="_Toc407085276"/>
      <w:bookmarkStart w:id="89" w:name="_Toc407085419"/>
      <w:bookmarkStart w:id="90" w:name="_Toc407085562"/>
      <w:bookmarkStart w:id="91" w:name="_Toc407086010"/>
      <w:r>
        <w:t>1.5. Ogólne wymagania dotyczące robót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30DE7" w:rsidRDefault="00430DE7">
      <w:pPr>
        <w:pStyle w:val="tekstost"/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30DE7" w:rsidRDefault="00430DE7">
      <w:pPr>
        <w:pStyle w:val="Nagwek1"/>
      </w:pPr>
      <w:r>
        <w:t>2. materiały</w:t>
      </w:r>
    </w:p>
    <w:p w:rsidR="00430DE7" w:rsidRDefault="00430DE7">
      <w:pPr>
        <w:pStyle w:val="Nagwek2"/>
      </w:pPr>
      <w:r>
        <w:t>2.1. Ogólne wymagania dotyczące materiałów</w:t>
      </w:r>
    </w:p>
    <w:p w:rsidR="00430DE7" w:rsidRDefault="00430DE7"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30DE7" w:rsidRDefault="00430DE7">
      <w:pPr>
        <w:pStyle w:val="Nagwek2"/>
      </w:pPr>
      <w:r>
        <w:t>2.2. Rodzaje materiałów</w:t>
      </w:r>
    </w:p>
    <w:p w:rsidR="00430DE7" w:rsidRDefault="00430DE7">
      <w:r>
        <w:tab/>
        <w:t>Materiały stosowane do wykonania podbudów z kruszyw stabilizowanych mechanicznie podano w SST dotyczących poszczególnych rodzajów podbudów: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r>
        <w:t>2.3. Wymagania dla materiałów</w:t>
      </w:r>
    </w:p>
    <w:p w:rsidR="00430DE7" w:rsidRDefault="00430DE7">
      <w:r>
        <w:rPr>
          <w:b/>
        </w:rPr>
        <w:t xml:space="preserve">2.3.1. </w:t>
      </w:r>
      <w:r>
        <w:t>Uziarnienie kruszywa</w:t>
      </w:r>
    </w:p>
    <w:p w:rsidR="00430DE7" w:rsidRDefault="00B37B75">
      <w:pPr>
        <w:framePr w:hSpace="141" w:wrap="auto" w:vAnchor="text" w:hAnchor="page" w:x="2409" w:y="756"/>
      </w:pPr>
      <w:r>
        <w:rPr>
          <w:noProof/>
        </w:rPr>
        <w:lastRenderedPageBreak/>
        <w:drawing>
          <wp:inline distT="0" distB="0" distL="0" distR="0">
            <wp:extent cx="4676775" cy="3095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E7" w:rsidRDefault="00430DE7">
      <w:pPr>
        <w:spacing w:before="120"/>
      </w:pPr>
      <w:r>
        <w:tab/>
        <w:t>Krzywa uziarnienia kruszywa, określona według PN-B-06714-15 [3] powinna leżeć między krzywymi granicznymi pól dobrego uziarnienia podanymi na rysunku 1.</w:t>
      </w:r>
    </w:p>
    <w:p w:rsidR="00430DE7" w:rsidRDefault="00430DE7">
      <w:pPr>
        <w:spacing w:before="120"/>
      </w:pPr>
      <w:r>
        <w:t>Rysunek 1. Pole dobrego uziarnienia kruszyw przeznaczonych na podbudowy</w:t>
      </w:r>
    </w:p>
    <w:p w:rsidR="00430DE7" w:rsidRDefault="00430DE7">
      <w:r>
        <w:tab/>
        <w:t xml:space="preserve">     wykonywane metodą stabilizacji mechanicznej</w:t>
      </w:r>
    </w:p>
    <w:p w:rsidR="00430DE7" w:rsidRDefault="00430DE7">
      <w:r>
        <w:t>1-2  kruszywo na podbudowę zasadniczą (górną warstwę) lub podbudowę jednowarstwową</w:t>
      </w:r>
    </w:p>
    <w:p w:rsidR="00430DE7" w:rsidRDefault="00430DE7">
      <w:r>
        <w:t>1-3  kruszywo na podbudowę pomocniczą (dolną warstwę)</w:t>
      </w:r>
    </w:p>
    <w:p w:rsidR="00430DE7" w:rsidRDefault="00430DE7">
      <w:r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430DE7" w:rsidRDefault="00430DE7">
      <w:pPr>
        <w:spacing w:before="120"/>
      </w:pPr>
      <w:r>
        <w:rPr>
          <w:b/>
        </w:rPr>
        <w:t xml:space="preserve">2.3.2. </w:t>
      </w:r>
      <w:r>
        <w:t>Właściwości kruszywa</w:t>
      </w:r>
    </w:p>
    <w:p w:rsidR="00430DE7" w:rsidRDefault="00430DE7">
      <w:pPr>
        <w:spacing w:before="60" w:after="60"/>
      </w:pPr>
      <w:r>
        <w:tab/>
        <w:t>Kruszywa powinny spełniać wymagania określone w tablicy 1.</w:t>
      </w:r>
    </w:p>
    <w:p w:rsidR="00430DE7" w:rsidRDefault="00430DE7">
      <w:r>
        <w:t>Tablica 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567"/>
        <w:gridCol w:w="709"/>
        <w:gridCol w:w="586"/>
        <w:gridCol w:w="642"/>
        <w:gridCol w:w="614"/>
        <w:gridCol w:w="709"/>
        <w:gridCol w:w="992"/>
      </w:tblGrid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Wymagania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Lp.</w:t>
            </w:r>
          </w:p>
        </w:tc>
        <w:tc>
          <w:tcPr>
            <w:tcW w:w="2126" w:type="dxa"/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naturalne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łamane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Żużel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t>Badania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430DE7" w:rsidRDefault="00430DE7">
            <w:pPr>
              <w:jc w:val="center"/>
              <w:rPr>
                <w:sz w:val="16"/>
              </w:rPr>
            </w:pPr>
            <w:r>
              <w:t>właściwości</w:t>
            </w:r>
          </w:p>
        </w:tc>
        <w:tc>
          <w:tcPr>
            <w:tcW w:w="382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Podbudowa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według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992" w:type="dxa"/>
            <w:tcBorders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mniejszych niż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rPr>
                  <w:sz w:val="16"/>
                </w:rPr>
                <w:t>0,075 mm</w:t>
              </w:r>
            </w:smartTag>
            <w:r>
              <w:rPr>
                <w:sz w:val="16"/>
              </w:rPr>
              <w:t>, % (m/m)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nadziarna,                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nieforemnych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-16 [4]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zanieczyszczeń organicznych,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PN-B-04481 [1]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Wskaźnik piaskowy po </w:t>
            </w:r>
            <w:proofErr w:type="spellStart"/>
            <w:r>
              <w:rPr>
                <w:sz w:val="16"/>
              </w:rPr>
              <w:t>pięcio-krotnym</w:t>
            </w:r>
            <w:proofErr w:type="spellEnd"/>
            <w:r>
              <w:rPr>
                <w:sz w:val="16"/>
              </w:rPr>
              <w:t xml:space="preserve"> zagęszczeniu metodą I lub II wg PN-B-04481,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 do 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BN-64/8931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-01 [26]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Ścieralność w bębnie Los Angeles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ścieralność całkowita po pełnej liczbie obrotów, nie więcej niż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ścieralność częściowa po 1/5 pełnej liczby obrotów,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-42 [12]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Nasiąkliwość,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-18 [6]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Mrozoodporność, ubytek masy po 25 cyklach zamraża-</w:t>
            </w:r>
          </w:p>
          <w:p w:rsidR="00430DE7" w:rsidRDefault="00430DE7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nia</w:t>
            </w:r>
            <w:proofErr w:type="spellEnd"/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-19 [7]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Rozpad krzemianowy i żela-</w:t>
            </w:r>
          </w:p>
          <w:p w:rsidR="00430DE7" w:rsidRDefault="00430D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zawy</w:t>
            </w:r>
            <w:proofErr w:type="spellEnd"/>
            <w:r>
              <w:rPr>
                <w:sz w:val="16"/>
              </w:rPr>
              <w:t xml:space="preserve"> łącznie,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-37 [10]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-39 [11]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Zawartość związków siarki w przeliczeniu na SO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-28 [9]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Wskaźnik nośności w</w:t>
            </w:r>
            <w:r>
              <w:rPr>
                <w:sz w:val="16"/>
                <w:vertAlign w:val="subscript"/>
              </w:rPr>
              <w:t>noś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mie-szanki</w:t>
            </w:r>
            <w:proofErr w:type="spellEnd"/>
            <w:r>
              <w:rPr>
                <w:sz w:val="16"/>
              </w:rPr>
              <w:t xml:space="preserve"> kruszywa, %, nie mniejszy niż: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1,00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PN-S-06102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[21]</w:t>
            </w:r>
          </w:p>
        </w:tc>
      </w:tr>
    </w:tbl>
    <w:p w:rsidR="00430DE7" w:rsidRDefault="00430DE7">
      <w:r>
        <w:rPr>
          <w:b/>
        </w:rPr>
        <w:t xml:space="preserve">2.3.3. </w:t>
      </w:r>
      <w:r>
        <w:t>Materiał na warstwę odsączającą</w:t>
      </w:r>
    </w:p>
    <w:p w:rsidR="00430DE7" w:rsidRDefault="00430DE7">
      <w:pPr>
        <w:spacing w:before="120"/>
      </w:pPr>
      <w:r>
        <w:tab/>
        <w:t>Na warstwę odsączającą stosuje się:</w:t>
      </w:r>
    </w:p>
    <w:p w:rsidR="00430DE7" w:rsidRDefault="00430DE7" w:rsidP="00C20D6F">
      <w:pPr>
        <w:numPr>
          <w:ilvl w:val="0"/>
          <w:numId w:val="1"/>
        </w:numPr>
      </w:pPr>
      <w:r>
        <w:t>żwir i mieszankę wg PN-B-11111 [14],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Materiał na warstwę odcinającą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Na warstwę odcinającą stosuje się: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[16],</w:t>
      </w:r>
    </w:p>
    <w:p w:rsidR="00430DE7" w:rsidRDefault="00430DE7" w:rsidP="00C20D6F">
      <w:pPr>
        <w:numPr>
          <w:ilvl w:val="0"/>
          <w:numId w:val="1"/>
        </w:numPr>
      </w:pPr>
      <w:r>
        <w:t>miał wg PN-B-11112 [15],</w:t>
      </w:r>
    </w:p>
    <w:p w:rsidR="00430DE7" w:rsidRDefault="00430DE7" w:rsidP="00C20D6F">
      <w:pPr>
        <w:numPr>
          <w:ilvl w:val="0"/>
          <w:numId w:val="1"/>
        </w:numPr>
      </w:pPr>
      <w:proofErr w:type="spellStart"/>
      <w:r>
        <w:t>geowłókninę</w:t>
      </w:r>
      <w:proofErr w:type="spellEnd"/>
      <w:r>
        <w:t xml:space="preserve"> o masie powierzchniowej powyżej 200 g/m wg aprobaty technicznej.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2.3.5. </w:t>
      </w:r>
      <w:r>
        <w:t>Materiały do ulepszania właściwości kruszyw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Do ulepszania właściwości kruszyw stosuje się:</w:t>
      </w:r>
    </w:p>
    <w:p w:rsidR="00430DE7" w:rsidRDefault="00430DE7" w:rsidP="00C20D6F">
      <w:pPr>
        <w:numPr>
          <w:ilvl w:val="0"/>
          <w:numId w:val="1"/>
        </w:numPr>
      </w:pPr>
      <w:r>
        <w:t>cement portlandzki wg PN-B-19701 [17],</w:t>
      </w:r>
    </w:p>
    <w:p w:rsidR="00430DE7" w:rsidRDefault="00430DE7" w:rsidP="00C20D6F">
      <w:pPr>
        <w:numPr>
          <w:ilvl w:val="0"/>
          <w:numId w:val="1"/>
        </w:numPr>
      </w:pPr>
      <w:r>
        <w:t>wapno wg PN-B-30020 [19],</w:t>
      </w:r>
    </w:p>
    <w:p w:rsidR="00430DE7" w:rsidRDefault="00430DE7" w:rsidP="00C20D6F">
      <w:pPr>
        <w:numPr>
          <w:ilvl w:val="0"/>
          <w:numId w:val="1"/>
        </w:numPr>
      </w:pPr>
      <w:r>
        <w:t>popioły lotne wg PN-S-96035 [23],</w:t>
      </w:r>
    </w:p>
    <w:p w:rsidR="00430DE7" w:rsidRDefault="00430DE7" w:rsidP="00C20D6F">
      <w:pPr>
        <w:numPr>
          <w:ilvl w:val="0"/>
          <w:numId w:val="1"/>
        </w:numPr>
      </w:pPr>
      <w:r>
        <w:t>żużel granulowany wg PN-B-23006 [18].</w:t>
      </w:r>
    </w:p>
    <w:p w:rsidR="00430DE7" w:rsidRDefault="00430DE7">
      <w:r>
        <w:tab/>
        <w:t>Dopuszcza się stosowanie innych spoiw pod warunkiem uzyskania równorzędnych efektów ulepszania kruszywa i po zaakceptowaniu przez Inżyniera.</w:t>
      </w:r>
    </w:p>
    <w:p w:rsidR="00430DE7" w:rsidRDefault="00430DE7">
      <w:r>
        <w:tab/>
        <w:t>Rodzaj i ilość dodatku ulepszającego należy przyjmować zgodnie z PN-S-06102 [21].</w:t>
      </w:r>
    </w:p>
    <w:p w:rsidR="00430DE7" w:rsidRDefault="00430DE7">
      <w:pPr>
        <w:spacing w:before="120"/>
      </w:pPr>
      <w:r>
        <w:rPr>
          <w:b/>
        </w:rPr>
        <w:t xml:space="preserve">2.3.6. </w:t>
      </w:r>
      <w:r>
        <w:t>Woda</w:t>
      </w:r>
    </w:p>
    <w:p w:rsidR="00430DE7" w:rsidRDefault="00430DE7">
      <w:pPr>
        <w:spacing w:before="120"/>
      </w:pPr>
      <w:r>
        <w:tab/>
        <w:t>Należy stosować wodę wg PN-B-32250 [20].</w:t>
      </w:r>
    </w:p>
    <w:p w:rsidR="00430DE7" w:rsidRDefault="00430DE7">
      <w:pPr>
        <w:pStyle w:val="Nagwek1"/>
      </w:pPr>
      <w:r>
        <w:t>3. sprzęt</w:t>
      </w:r>
    </w:p>
    <w:p w:rsidR="00430DE7" w:rsidRDefault="00430DE7">
      <w:pPr>
        <w:pStyle w:val="Nagwek2"/>
      </w:pPr>
      <w:r>
        <w:t>3.1. Ogólne wymagania dotyczące sprzętu</w:t>
      </w:r>
    </w:p>
    <w:p w:rsidR="00430DE7" w:rsidRDefault="00430DE7">
      <w:pPr>
        <w:ind w:firstLine="709"/>
      </w:pPr>
      <w:r>
        <w:t xml:space="preserve">Ogólne wymagania dotyczące sprzętu podano w OST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30DE7" w:rsidRDefault="00430DE7">
      <w:pPr>
        <w:pStyle w:val="Nagwek2"/>
      </w:pPr>
      <w:r>
        <w:t>3.2. Sprzęt do wykonania robót</w:t>
      </w:r>
    </w:p>
    <w:p w:rsidR="00430DE7" w:rsidRDefault="00430DE7">
      <w:r>
        <w:tab/>
        <w:t>Wykonawca przystępujący do wykonania podbudowy z kruszyw stabilizowanych mechanicznie  powinien wykazać się możliwością korzystania z następującego sprzętu:</w:t>
      </w:r>
    </w:p>
    <w:p w:rsidR="00430DE7" w:rsidRDefault="00430DE7" w:rsidP="00C20D6F">
      <w:pPr>
        <w:numPr>
          <w:ilvl w:val="0"/>
          <w:numId w:val="2"/>
        </w:numPr>
      </w:pPr>
      <w:r>
        <w:t>mieszarek do wytwarzania mieszanki, wyposażonych w urządzenia dozujące wodę. Mieszarki powinny zapewnić wytworzenie jednorodnej mieszanki o wilgotności optymalnej,</w:t>
      </w:r>
    </w:p>
    <w:p w:rsidR="00430DE7" w:rsidRDefault="00430DE7" w:rsidP="00C20D6F">
      <w:pPr>
        <w:numPr>
          <w:ilvl w:val="0"/>
          <w:numId w:val="2"/>
        </w:numPr>
      </w:pPr>
      <w:r>
        <w:t>równiarek albo układarek do rozkładania mieszanki,</w:t>
      </w:r>
    </w:p>
    <w:p w:rsidR="00430DE7" w:rsidRDefault="00430DE7" w:rsidP="00C20D6F">
      <w:pPr>
        <w:numPr>
          <w:ilvl w:val="0"/>
          <w:numId w:val="2"/>
        </w:numPr>
      </w:pPr>
      <w:r>
        <w:t>walców ogumionych i stalowych wibracyjnych lub statycznych do zagęszczania. W miejscach trudno dostępnych powinny być stosowane zagęszczarki płytowe, ubijaki mechaniczne lub małe walce wibracyjne.</w:t>
      </w:r>
    </w:p>
    <w:p w:rsidR="00430DE7" w:rsidRDefault="00430DE7">
      <w:pPr>
        <w:pStyle w:val="Nagwek1"/>
      </w:pPr>
      <w:r>
        <w:lastRenderedPageBreak/>
        <w:t>4. transport</w:t>
      </w:r>
    </w:p>
    <w:p w:rsidR="00430DE7" w:rsidRDefault="00430DE7">
      <w:pPr>
        <w:pStyle w:val="Nagwek2"/>
      </w:pPr>
      <w:r>
        <w:t>4.1. Ogólne wymagania dotyczące transportu</w:t>
      </w:r>
    </w:p>
    <w:p w:rsidR="00430DE7" w:rsidRDefault="00430DE7">
      <w:pPr>
        <w:ind w:firstLine="709"/>
      </w:pPr>
      <w:r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30DE7" w:rsidRDefault="00430DE7">
      <w:pPr>
        <w:pStyle w:val="Nagwek2"/>
      </w:pPr>
      <w:r>
        <w:t>4.2. Transport materiałów</w:t>
      </w:r>
    </w:p>
    <w:p w:rsidR="00430DE7" w:rsidRDefault="00430DE7">
      <w:r>
        <w:tab/>
        <w:t>Kruszywa można przewozić dowolnymi środkami transportu w warunkach zabezpieczających je przed zanieczyszczeniem, zmieszaniem z innymi materiałami, nadmiernym wysuszeniem i zawilgoceniem.</w:t>
      </w:r>
    </w:p>
    <w:p w:rsidR="00430DE7" w:rsidRDefault="00430DE7">
      <w:r>
        <w:tab/>
        <w:t>Transport cementu powinien odbywać się zgodnie z BN-88/6731-08 [24].</w:t>
      </w:r>
    </w:p>
    <w:p w:rsidR="00430DE7" w:rsidRDefault="00430DE7">
      <w:r>
        <w:tab/>
        <w:t>Transport pozostałych materiałów powinien odbywać się zgodnie z wymaganiami norm przedmiotowych.</w:t>
      </w:r>
    </w:p>
    <w:p w:rsidR="00430DE7" w:rsidRDefault="00430DE7">
      <w:pPr>
        <w:pStyle w:val="Nagwek1"/>
      </w:pPr>
      <w:r>
        <w:t>5. wykonanie robót</w:t>
      </w:r>
    </w:p>
    <w:p w:rsidR="00430DE7" w:rsidRDefault="00430DE7">
      <w:pPr>
        <w:pStyle w:val="Nagwek2"/>
      </w:pPr>
      <w:r>
        <w:t>5.1. Ogólne zasady wykonania robót</w:t>
      </w:r>
    </w:p>
    <w:p w:rsidR="00430DE7" w:rsidRDefault="00430DE7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30DE7" w:rsidRDefault="00430DE7">
      <w:pPr>
        <w:pStyle w:val="Nagwek2"/>
      </w:pPr>
      <w:r>
        <w:t>5.2. Przygotowanie podłoża</w:t>
      </w:r>
    </w:p>
    <w:p w:rsidR="00430DE7" w:rsidRDefault="00430DE7">
      <w:r>
        <w:tab/>
        <w:t>Podłoże pod podbudowę powinno spełniać wymagania określone w SST                  D-04.01.01 „Koryto wraz z profilowaniem i zagęszczeniem podłoża” SST D-02.00.00 „Roboty ziemne”.</w:t>
      </w:r>
    </w:p>
    <w:p w:rsidR="00430DE7" w:rsidRDefault="00430DE7">
      <w:r>
        <w:tab/>
        <w:t>Podbudowa powinna być ułożona na podłożu zapewniającym nieprzenikanie drobnych cząstek gruntu do podbudowy. Warunek nieprzenikania należy sprawdzić wzorem:</w:t>
      </w:r>
    </w:p>
    <w:p w:rsidR="00430DE7" w:rsidRDefault="00430DE7">
      <w:r>
        <w:tab/>
      </w:r>
      <w:r>
        <w:tab/>
      </w:r>
      <w:r>
        <w:tab/>
      </w:r>
      <w:r w:rsidRPr="001712DD">
        <w:rPr>
          <w:position w:val="-28"/>
        </w:rPr>
        <w:object w:dxaOrig="4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1.25pt" o:ole="">
            <v:imagedata r:id="rId8" o:title=""/>
          </v:shape>
          <o:OLEObject Type="Embed" ProgID="Equation.3" ShapeID="_x0000_i1025" DrawAspect="Content" ObjectID="_1500530071" r:id="rId9"/>
        </w:object>
      </w:r>
      <w:r>
        <w:t xml:space="preserve">  </w:t>
      </w:r>
      <w:r>
        <w:sym w:font="Symbol" w:char="F0A3"/>
      </w:r>
      <w:r>
        <w:t xml:space="preserve">  5</w:t>
      </w:r>
      <w:r>
        <w:tab/>
      </w:r>
      <w:r>
        <w:tab/>
        <w:t>(1)</w:t>
      </w:r>
    </w:p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15</w:t>
      </w:r>
      <w:r>
        <w:t xml:space="preserve"> -</w:t>
      </w:r>
      <w:r>
        <w:tab/>
        <w:t xml:space="preserve">wymiar boku oczka sita, przez które przechodzi 15% </w:t>
      </w:r>
      <w:proofErr w:type="spellStart"/>
      <w:r>
        <w:t>ziarn</w:t>
      </w:r>
      <w:proofErr w:type="spellEnd"/>
      <w:r>
        <w:t xml:space="preserve"> warstwy podbudowy lub warstwy odsączającej,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85</w:t>
      </w:r>
      <w:r>
        <w:t xml:space="preserve"> -</w:t>
      </w:r>
      <w:r>
        <w:tab/>
        <w:t xml:space="preserve">wymiar boku oczka sita, przez które przechodzi 85% </w:t>
      </w:r>
      <w:proofErr w:type="spellStart"/>
      <w:r>
        <w:t>ziarn</w:t>
      </w:r>
      <w:proofErr w:type="spellEnd"/>
      <w:r>
        <w:t xml:space="preserve"> gruntu podłoża,                      w milimetrach.</w:t>
      </w:r>
    </w:p>
    <w:p w:rsidR="00430DE7" w:rsidRDefault="00430DE7">
      <w:r>
        <w:tab/>
        <w:t xml:space="preserve">Jeżeli warunek (1) nie może być spełniony, należy na podłożu ułożyć warstwę odcinającą lub odpowiednio dobraną </w:t>
      </w:r>
      <w:proofErr w:type="spellStart"/>
      <w:r>
        <w:t>geowłókninę</w:t>
      </w:r>
      <w:proofErr w:type="spellEnd"/>
      <w:r>
        <w:t xml:space="preserve">. Ochronne właściwości </w:t>
      </w:r>
      <w:proofErr w:type="spellStart"/>
      <w:r>
        <w:t>geowłókniny</w:t>
      </w:r>
      <w:proofErr w:type="spellEnd"/>
      <w:r>
        <w:t>, przeciw przenikaniu drobnych cząstek gruntu, wyznacza się z warunku:</w:t>
      </w:r>
    </w:p>
    <w:p w:rsidR="00430DE7" w:rsidRDefault="00430DE7">
      <w:r>
        <w:tab/>
      </w:r>
      <w:r>
        <w:tab/>
      </w:r>
      <w:r>
        <w:tab/>
      </w:r>
      <w:r w:rsidRPr="001712DD">
        <w:rPr>
          <w:position w:val="-28"/>
        </w:rPr>
        <w:object w:dxaOrig="460" w:dyaOrig="820">
          <v:shape id="_x0000_i1026" type="#_x0000_t75" style="width:23.25pt;height:41.25pt" o:ole="">
            <v:imagedata r:id="rId10" o:title=""/>
          </v:shape>
          <o:OLEObject Type="Embed" ProgID="Equation.3" ShapeID="_x0000_i1026" DrawAspect="Content" ObjectID="_1500530072" r:id="rId11"/>
        </w:object>
      </w:r>
      <w:r>
        <w:t xml:space="preserve">  </w:t>
      </w:r>
      <w:r>
        <w:sym w:font="Symbol" w:char="F0A3"/>
      </w:r>
      <w:r>
        <w:t xml:space="preserve">  1,2</w:t>
      </w:r>
      <w:r>
        <w:tab/>
      </w:r>
      <w:r>
        <w:tab/>
        <w:t>(2)</w:t>
      </w:r>
    </w:p>
    <w:p w:rsidR="00430DE7" w:rsidRDefault="00430DE7"/>
    <w:p w:rsidR="00430DE7" w:rsidRDefault="00430DE7"/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50</w:t>
      </w:r>
      <w:r>
        <w:t xml:space="preserve"> -</w:t>
      </w:r>
      <w:r>
        <w:tab/>
        <w:t xml:space="preserve">wymiar boku oczka sita, przez które przechodzi 50 % </w:t>
      </w:r>
      <w:proofErr w:type="spellStart"/>
      <w:r>
        <w:t>ziarn</w:t>
      </w:r>
      <w:proofErr w:type="spellEnd"/>
      <w:r>
        <w:t xml:space="preserve"> gruntu podłoża,                    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O</w:t>
      </w:r>
      <w:r>
        <w:rPr>
          <w:vertAlign w:val="subscript"/>
        </w:rPr>
        <w:t>90</w:t>
      </w:r>
      <w:r>
        <w:t xml:space="preserve"> -</w:t>
      </w:r>
      <w:r>
        <w:tab/>
        <w:t xml:space="preserve">umowna średnica porów </w:t>
      </w:r>
      <w:proofErr w:type="spellStart"/>
      <w:r>
        <w:t>geowłókniny</w:t>
      </w:r>
      <w:proofErr w:type="spellEnd"/>
      <w:r>
        <w:t xml:space="preserve"> odpowiadająca wymiarom frakcji gruntu zatrzymująca się na </w:t>
      </w:r>
      <w:proofErr w:type="spellStart"/>
      <w:r>
        <w:t>geowłókninie</w:t>
      </w:r>
      <w:proofErr w:type="spellEnd"/>
      <w:r>
        <w:t xml:space="preserve"> w ilości 90% (m/m); wartość parametru 0</w:t>
      </w:r>
      <w:r>
        <w:rPr>
          <w:vertAlign w:val="subscript"/>
        </w:rPr>
        <w:t>90</w:t>
      </w:r>
      <w:r>
        <w:t xml:space="preserve"> powinna być podawana przez producenta </w:t>
      </w:r>
      <w:proofErr w:type="spellStart"/>
      <w:r>
        <w:t>geowłókniny</w:t>
      </w:r>
      <w:proofErr w:type="spellEnd"/>
      <w:r>
        <w:t>.</w:t>
      </w:r>
    </w:p>
    <w:p w:rsidR="00430DE7" w:rsidRDefault="00430DE7">
      <w:r>
        <w:tab/>
        <w:t>Paliki lub szpilki do prawidłowego ukształtowania podbudowy powinny być wcześniej przygotowane.</w:t>
      </w:r>
    </w:p>
    <w:p w:rsidR="00430DE7" w:rsidRDefault="00430DE7">
      <w:r>
        <w:tab/>
        <w:t>Paliki lub szpilki powinny być ustawione w osi drogi i w rzędach równoległych do osi drogi, lub w inny sposób zaakceptowany przez Inżyniera.</w:t>
      </w:r>
    </w:p>
    <w:p w:rsidR="00430DE7" w:rsidRDefault="00430DE7">
      <w:r>
        <w:tab/>
        <w:t xml:space="preserve">Rozmieszczenie palików lub szpilek powinno umożliwiać naciągnięcie sznurków lub linek do wytyczenia robót w odstępach nie większych niż co 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>.</w:t>
      </w:r>
    </w:p>
    <w:p w:rsidR="00430DE7" w:rsidRDefault="00430DE7">
      <w:pPr>
        <w:pStyle w:val="Nagwek2"/>
      </w:pPr>
      <w:r>
        <w:t>5.3. Wytwarzanie mieszanki kruszywa</w:t>
      </w:r>
    </w:p>
    <w:p w:rsidR="00430DE7" w:rsidRDefault="00430DE7">
      <w:r>
        <w:tab/>
        <w:t xml:space="preserve">Mieszankę kruszywa o ściśle określonym uziarnieniu i wilgotności optymalnej należy wytwarzać w mieszarkach gwarantujących otrzymanie jednorodnej mieszanki. Ze </w:t>
      </w:r>
      <w:r>
        <w:lastRenderedPageBreak/>
        <w:t>względu na konieczność zapewnienia jednorodności nie dopuszcza się wytwarzania mieszanki przez mieszanie poszczególnych frakcji na drodze. Mieszanka po wyprodukowaniu powinna być od razu transportowana na miejsce wbudowania w taki sposób, aby nie uległa rozsegregowaniu i wysychaniu.</w:t>
      </w:r>
    </w:p>
    <w:p w:rsidR="00430DE7" w:rsidRDefault="00430DE7">
      <w:pPr>
        <w:pStyle w:val="Nagwek2"/>
      </w:pPr>
      <w:r>
        <w:t>5.4. Wbudowywanie i zagęszczanie mieszanki</w:t>
      </w:r>
    </w:p>
    <w:p w:rsidR="00430DE7" w:rsidRDefault="00430DE7">
      <w:r>
        <w:tab/>
        <w:t xml:space="preserve">Mieszanka kruszywa powinna być rozkładana w warstwie o jednakowej grubości, takiej, aby jej ostateczna grubość po zagęszczeniu była równa grubości projektowanej. Grubość pojedynczo układanej warstwy nie może przekraczać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po zagęszczeniu. Warstwa podbudowy powinna być rozłożona w sposób zapewniający osiągnięcie wymaganych spadków i rzędnych wysokościowych. Jeżeli podbudowa składa się z więcej niż jednej warstwy kruszywa, to każda warstwa powinna być wyprofilowana i zagęszczona z zachowaniem wymaganych spadków i rzędnych wysokościowych. Rozpoczęcie budowy każdej następnej warstwy może nastąpić po odbiorze poprzedniej warstwy przez Inżyniera.</w:t>
      </w:r>
    </w:p>
    <w:p w:rsidR="00430DE7" w:rsidRDefault="00430DE7">
      <w:r>
        <w:tab/>
        <w:t xml:space="preserve">Wilgotność mieszanki kruszywa podczas zagęszczania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II). Materiał nadmiernie nawilgocony, powinien zostać osuszony przez mieszanie i napowietrzanie. Jeżeli wilgotność mieszanki kruszywa jest niższa od optymalnej o 20% jej wartości, mieszanka powinna być zwilżona określoną ilością wody i równomiernie wymieszana. W przypadku, gdy wilgotność mieszanki kruszywa jest wyższa od optymalnej o 10% jej wartości, mieszankę należy osuszyć.</w:t>
      </w:r>
    </w:p>
    <w:p w:rsidR="00430DE7" w:rsidRDefault="00430DE7">
      <w:r>
        <w:tab/>
        <w:t>Wskaźnik zagęszczenia podbudowy wg BN-77/8931-12 [29] powinien odpowiadać przyjętemu poziomowi wskaźnika nośności podbudowy wg tablicy 1, lp. 11.</w:t>
      </w:r>
    </w:p>
    <w:p w:rsidR="00430DE7" w:rsidRDefault="00430DE7">
      <w:pPr>
        <w:pStyle w:val="Nagwek2"/>
      </w:pPr>
      <w:r>
        <w:t>5.5. Odcinek próbny</w:t>
      </w:r>
    </w:p>
    <w:p w:rsidR="00430DE7" w:rsidRDefault="00430DE7">
      <w:pPr>
        <w:pStyle w:val="tekstost"/>
      </w:pPr>
      <w:r>
        <w:tab/>
        <w:t>Jeżeli w SST przewidziano konieczność wykonania odcinka próbnego, to co najmniej na 3 dni przed rozpoczęciem robót, Wykonawca powinien wykonać odcinek próbny w celu: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stwierdzenia czy sprzęt budowlany do mieszania, rozkładania i zagęszczania kruszywa   jest właściwy,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grubości warstwy materiału w stanie luźnym,  koniecznej do uzyskania wymaganej grubości warstwy po zagęszczeniu,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liczby przejść sprzętu zagęszczającego, potrzebnej do uzyskania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Na odcinku próbnym  Wykonawca powinien użyć takich materiałów oraz sprzętu do mieszania, rozkładania i zagęszczania, jakie będą stosowane do wykonywania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Powierzchnia odcinka próbnego powinna wynosić od 400 do </w:t>
      </w:r>
      <w:smartTag w:uri="urn:schemas-microsoft-com:office:smarttags" w:element="metricconverter">
        <w:smartTagPr>
          <w:attr w:name="ProductID" w:val="800 m2"/>
        </w:smartTagPr>
        <w:r>
          <w:t>800 m</w:t>
        </w:r>
        <w:r>
          <w:rPr>
            <w:vertAlign w:val="superscript"/>
          </w:rPr>
          <w:t>2</w:t>
        </w:r>
      </w:smartTag>
      <w:r>
        <w:t>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Odcinek próbny powinien być zlokalizowany w miejscu wskazanym przez Inżyniera.</w:t>
      </w:r>
    </w:p>
    <w:p w:rsidR="00430DE7" w:rsidRDefault="00430DE7" w:rsidP="00C20D6F">
      <w:pPr>
        <w:numPr>
          <w:ilvl w:val="12"/>
          <w:numId w:val="0"/>
        </w:numPr>
      </w:pPr>
      <w:r>
        <w:tab/>
        <w:t>Wykonawca może przystąpić do wykonywania podbudowy po zaakceptowaniu odcinka próbnego przez Inżyniera.</w:t>
      </w:r>
      <w:r>
        <w:tab/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 xml:space="preserve">5.6. Utrzymanie podbudowy 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Podbudowa po wykonaniu, a przed ułożeniem następnej warstwy, powinna być utrzymywana w dobrym stanie.  Jeżeli Wykonawca będzie wykorzystywał, za zgodą Inżyniera, gotową podbudowę do ruchu budowlanego, to jest obowiązany naprawić wszelkie uszkodzenia podbudowy, spowodowane przez ten ruch. Koszt napraw wynikłych z niewłaściwego utrzymania podbudowy obciąża Wykonawcę robót. </w:t>
      </w:r>
    </w:p>
    <w:p w:rsidR="00430DE7" w:rsidRDefault="00430DE7" w:rsidP="00C20D6F">
      <w:pPr>
        <w:pStyle w:val="Nagwek1"/>
        <w:numPr>
          <w:ilvl w:val="12"/>
          <w:numId w:val="0"/>
        </w:numPr>
      </w:pPr>
      <w:bookmarkStart w:id="92" w:name="_Toc423398335"/>
      <w:bookmarkStart w:id="93" w:name="_Toc423845943"/>
      <w:r>
        <w:t>6. kontrola jakości robót</w:t>
      </w:r>
      <w:bookmarkEnd w:id="92"/>
      <w:bookmarkEnd w:id="93"/>
    </w:p>
    <w:p w:rsidR="00430DE7" w:rsidRDefault="00430DE7" w:rsidP="00C20D6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Przed przystąpieniem do robót Wykonawca powinien wykonać badania kruszyw  przeznaczonych do wykonania robót i przedstawić wyniki tych badań Inżynierowi w celu </w:t>
      </w:r>
      <w:r>
        <w:lastRenderedPageBreak/>
        <w:t xml:space="preserve">akceptacji materiałów. Badania te powinny obejmować wszystkie właściwości określone w </w:t>
      </w:r>
      <w:proofErr w:type="spellStart"/>
      <w:r>
        <w:t>pkt</w:t>
      </w:r>
      <w:proofErr w:type="spellEnd"/>
      <w:r>
        <w:t xml:space="preserve"> 2.3 niniejszej OST.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6.3. Badania w czasie robót</w:t>
      </w:r>
    </w:p>
    <w:p w:rsidR="00430DE7" w:rsidRDefault="00430DE7" w:rsidP="00C20D6F">
      <w:pPr>
        <w:numPr>
          <w:ilvl w:val="12"/>
          <w:numId w:val="0"/>
        </w:numPr>
      </w:pPr>
      <w:r>
        <w:rPr>
          <w:b/>
        </w:rPr>
        <w:t xml:space="preserve">6.3.1. </w:t>
      </w:r>
      <w:r>
        <w:t>Częstotliwość oraz zakres badań i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Częstotliwość oraz zakres badań  podano w tablicy 2.</w:t>
      </w: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t>Tablica 2. Częstotliwość ora zakres  badań przy budowie podbudowy z kruszyw</w:t>
      </w:r>
    </w:p>
    <w:p w:rsidR="00430DE7" w:rsidRDefault="00430DE7" w:rsidP="00C20D6F">
      <w:pPr>
        <w:pStyle w:val="tekstost"/>
        <w:numPr>
          <w:ilvl w:val="12"/>
          <w:numId w:val="0"/>
        </w:numPr>
        <w:spacing w:after="120"/>
      </w:pPr>
      <w:r>
        <w:tab/>
        <w:t xml:space="preserve">   stabilizowanych mechanicznie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1309"/>
        <w:gridCol w:w="1311"/>
      </w:tblGrid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Częstotliwość badań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Lp.</w:t>
            </w:r>
          </w:p>
        </w:tc>
        <w:tc>
          <w:tcPr>
            <w:tcW w:w="4394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Wyszczególnienie badań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Minimalna liczba badań na dziennej działce roboczej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Maksymalna powierzchnia podbudowy przy-padająca na jedno badanie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Uziarnienie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Wilgotność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600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Zagęszczenie warstwy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right"/>
            </w:pPr>
            <w:r>
              <w:t>10 próbek</w:t>
            </w:r>
          </w:p>
        </w:tc>
        <w:tc>
          <w:tcPr>
            <w:tcW w:w="1311" w:type="dxa"/>
            <w:tcBorders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/>
              <w:jc w:val="left"/>
            </w:pPr>
            <w:r>
              <w:t xml:space="preserve">na </w:t>
            </w:r>
            <w:smartTag w:uri="urn:schemas-microsoft-com:office:smarttags" w:element="metricconverter">
              <w:smartTagPr>
                <w:attr w:name="ProductID" w:val="10000 m2"/>
              </w:smartTagPr>
              <w:r>
                <w:t>10000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</w:pPr>
            <w:r>
              <w:t xml:space="preserve">Badanie właściwości kruszywa wg tab. 1, </w:t>
            </w:r>
            <w:proofErr w:type="spellStart"/>
            <w:r>
              <w:t>pkt</w:t>
            </w:r>
            <w:proofErr w:type="spellEnd"/>
            <w:r>
              <w:t xml:space="preserve"> 2.3.2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dla każdej partii kruszywa i przy każdej zmianie kruszywa</w:t>
            </w:r>
          </w:p>
        </w:tc>
      </w:tr>
    </w:tbl>
    <w:p w:rsidR="00430DE7" w:rsidRDefault="00430DE7" w:rsidP="00C20D6F">
      <w:pPr>
        <w:pStyle w:val="tekstost"/>
        <w:numPr>
          <w:ilvl w:val="12"/>
          <w:numId w:val="0"/>
        </w:numPr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6.3.2. </w:t>
      </w:r>
      <w:r>
        <w:t>Uziarnienie mieszanki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Uziarnienie mieszanki powinno być zgodne z wymaganiami podanymi w </w:t>
      </w:r>
      <w:proofErr w:type="spellStart"/>
      <w:r>
        <w:t>pkt</w:t>
      </w:r>
      <w:proofErr w:type="spellEnd"/>
      <w:r>
        <w:t xml:space="preserve"> 2.3. Próbki należy pobierać w sposób losowy, z rozłożonej warstwy, przed jej zagęszczeniem. Wyniki badań powinny być na bieżąco przekazywane Inżynierowi.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 xml:space="preserve">Wilgotność mieszanki 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Wilgotność mieszanki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II), z tolerancją +10% -20%.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Wilgotność należy określić według PN-B-06714-17 [5].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6.3.4. </w:t>
      </w:r>
      <w:r>
        <w:t>Zagęszczenie podbudowy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>Zagęszczenie każdej warstwy powinno odbywać się aż do osiągnięcia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należy sprawdzać według BN-77/8931-12 [30]. W przypadku, gdy przeprowadzenie badania jest niemożliwe ze względu na gruboziarniste kruszywo, kontrolę zagęszczenia należy oprzeć na metodzie obciążeń płytowych, wg BN-64/8931-02 [27] i nie rzadziej niż raz na </w:t>
      </w:r>
      <w:smartTag w:uri="urn:schemas-microsoft-com:office:smarttags" w:element="metricconverter">
        <w:smartTagPr>
          <w:attr w:name="ProductID" w:val="5000 m2"/>
        </w:smartTagPr>
        <w:r>
          <w:t>5000 m</w:t>
        </w:r>
        <w:r>
          <w:rPr>
            <w:vertAlign w:val="superscript"/>
          </w:rPr>
          <w:t>2</w:t>
        </w:r>
      </w:smartTag>
      <w:r>
        <w:t>, lub według zaleceń Inżyniera.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stabilizowanej mechanicznie należy uznać za prawidłowe, gdy stosunek wtórnego modułu </w:t>
      </w:r>
      <w:r>
        <w:rPr>
          <w:i/>
        </w:rPr>
        <w:t>E</w:t>
      </w:r>
      <w:r>
        <w:rPr>
          <w:vertAlign w:val="subscript"/>
        </w:rPr>
        <w:t>2</w:t>
      </w:r>
      <w:r>
        <w:t xml:space="preserve"> do pierwotnego modułu odkształcenia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 jest nie większy od 2,2 dla każdej warstwy konstrukcyjnej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</w:r>
      <w:r>
        <w:tab/>
      </w:r>
      <w:r>
        <w:tab/>
      </w:r>
      <w:r>
        <w:tab/>
      </w:r>
      <w:r w:rsidRPr="001712DD">
        <w:rPr>
          <w:position w:val="-28"/>
        </w:rPr>
        <w:object w:dxaOrig="340" w:dyaOrig="680">
          <v:shape id="_x0000_i1027" type="#_x0000_t75" style="width:17.25pt;height:33.75pt" o:ole="">
            <v:imagedata r:id="rId12" o:title=""/>
          </v:shape>
          <o:OLEObject Type="Embed" ProgID="Equation.3" ShapeID="_x0000_i1027" DrawAspect="Content" ObjectID="_1500530073" r:id="rId13"/>
        </w:object>
      </w:r>
      <w:r>
        <w:t xml:space="preserve">  </w:t>
      </w:r>
      <w:r>
        <w:sym w:font="Symbol" w:char="F0A3"/>
      </w:r>
      <w:r>
        <w:t xml:space="preserve">   2,2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6.3.5. </w:t>
      </w:r>
      <w:r>
        <w:t>Właściwości kruszywa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Badania kruszywa powinny obejmować ocenę wszystkich właściwości określonych w </w:t>
      </w:r>
      <w:proofErr w:type="spellStart"/>
      <w:r>
        <w:t>pkt</w:t>
      </w:r>
      <w:proofErr w:type="spellEnd"/>
      <w:r>
        <w:t xml:space="preserve"> 2.3.2.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Próbki do badań pełnych powinny być pobierane przez Wykonawcę w sposób losowy w obecności Inżyniera.</w:t>
      </w:r>
    </w:p>
    <w:p w:rsidR="00430DE7" w:rsidRDefault="00430DE7" w:rsidP="00C20D6F">
      <w:pPr>
        <w:pStyle w:val="Nagwek2"/>
        <w:numPr>
          <w:ilvl w:val="12"/>
          <w:numId w:val="0"/>
        </w:numPr>
        <w:spacing w:after="0"/>
      </w:pPr>
      <w:r>
        <w:lastRenderedPageBreak/>
        <w:t xml:space="preserve">6.4. Wymagania dotyczące cech geometrycznych podbudowy 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6.4.1. </w:t>
      </w:r>
      <w:r>
        <w:t>Częstotliwość oraz zakres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 xml:space="preserve"> Częstotliwość oraz zakres pomiarów dotyczących cech geometrycznych podbudowy  podano w  tablicy 3.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>Tablica 3. Częstotliwość oraz zakres pomiarów wykonanej podbudowy z kruszywa</w:t>
      </w:r>
    </w:p>
    <w:p w:rsidR="00430DE7" w:rsidRDefault="00430DE7" w:rsidP="00C20D6F">
      <w:pPr>
        <w:numPr>
          <w:ilvl w:val="12"/>
          <w:numId w:val="0"/>
        </w:numPr>
        <w:spacing w:after="120"/>
      </w:pPr>
      <w:r>
        <w:tab/>
        <w:t xml:space="preserve">    stabilizowanego mechanicznie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67"/>
        <w:gridCol w:w="3479"/>
      </w:tblGrid>
      <w:tr w:rsidR="00430DE7">
        <w:tc>
          <w:tcPr>
            <w:tcW w:w="63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Lp.</w:t>
            </w:r>
          </w:p>
        </w:tc>
        <w:tc>
          <w:tcPr>
            <w:tcW w:w="346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Wyszczególnienie badań i pomiarów</w:t>
            </w:r>
          </w:p>
        </w:tc>
        <w:tc>
          <w:tcPr>
            <w:tcW w:w="3479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Minimalna częstotliwość pomiarów</w:t>
            </w:r>
          </w:p>
        </w:tc>
      </w:tr>
      <w:tr w:rsidR="00430DE7">
        <w:tc>
          <w:tcPr>
            <w:tcW w:w="63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6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Szerokość podbudowy 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rPr>
                <w:b/>
              </w:rPr>
            </w:pPr>
            <w:r>
              <w:t>Równość podłużna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  <w:rPr>
                <w:b/>
              </w:rPr>
            </w:pPr>
            <w:r>
              <w:t xml:space="preserve">w sposób ciągły </w:t>
            </w:r>
            <w:proofErr w:type="spellStart"/>
            <w:r>
              <w:t>planografem</w:t>
            </w:r>
            <w:proofErr w:type="spellEnd"/>
            <w:r>
              <w:t xml:space="preserve"> albo co      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t>20 m</w:t>
              </w:r>
            </w:smartTag>
            <w:r>
              <w:t xml:space="preserve"> łatą na każdym pasie ruchu</w:t>
            </w:r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Równość poprzeczna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Spadki poprzeczne*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bottom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>Rzędne wysokościowe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Ukształtowanie osi w planie*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left"/>
              <w:rPr>
                <w:b/>
              </w:rPr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 xml:space="preserve">Grubość podbudowy 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Podczas 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 xml:space="preserve">w 3 punktach na każdej działce roboczej, lecz nie rzadziej niż raz na </w:t>
            </w:r>
            <w:smartTag w:uri="urn:schemas-microsoft-com:office:smarttags" w:element="metricconverter">
              <w:smartTagPr>
                <w:attr w:name="ProductID" w:val="400 m2"/>
              </w:smartTagPr>
              <w:r>
                <w:t>400 m</w:t>
              </w:r>
              <w:r>
                <w:rPr>
                  <w:vertAlign w:val="superscript"/>
                </w:rPr>
                <w:t>2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Przed odbiorem: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  <w:rPr>
                <w:b/>
              </w:rPr>
            </w:pPr>
            <w:r>
              <w:t xml:space="preserve">w 3 punktach, lecz nie rzadziej niż raz na </w:t>
            </w:r>
            <w:smartTag w:uri="urn:schemas-microsoft-com:office:smarttags" w:element="metricconverter">
              <w:smartTagPr>
                <w:attr w:name="ProductID" w:val="2000 m2"/>
              </w:smartTagPr>
              <w:r>
                <w:t>2000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</w:pPr>
            <w:r>
              <w:t>8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Nośność podbudowy: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moduł odkształcenia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ugięcie sprężyste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 xml:space="preserve">co najmniej w dwóch przekrojach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</w:pPr>
            <w:r>
              <w:t xml:space="preserve">co najmniej w 20 punktach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</w:tc>
      </w:tr>
    </w:tbl>
    <w:p w:rsidR="00430DE7" w:rsidRDefault="00430DE7" w:rsidP="00C20D6F">
      <w:pPr>
        <w:numPr>
          <w:ilvl w:val="12"/>
          <w:numId w:val="0"/>
        </w:numPr>
        <w:spacing w:before="120"/>
        <w:ind w:left="284" w:right="-11" w:hanging="284"/>
      </w:pPr>
      <w:r>
        <w:t>*) Dodatkowe pomiary spadków poprzecznych i ukształtowania osi w planie należy wykonać w punktach głównych łuków poziomych.</w:t>
      </w:r>
    </w:p>
    <w:p w:rsidR="00430DE7" w:rsidRDefault="00430DE7" w:rsidP="00C20D6F">
      <w:pPr>
        <w:keepNext/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6.4.2. </w:t>
      </w:r>
      <w:r>
        <w:t xml:space="preserve">Szerokość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Szerokość podbudowy nie może różnić się od szerokości projektowanej o więcej niż +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</w:t>
      </w:r>
      <w:smartTag w:uri="urn:schemas-microsoft-com:office:smarttags" w:element="metricconverter">
        <w:smartTagPr>
          <w:attr w:name="ProductID" w:val="-5 cm"/>
        </w:smartTagPr>
        <w:r>
          <w:t xml:space="preserve">-5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Na jezdniach bez krawężników szerokość podbudowy powinna być większa od szerokości warstwy wyżej leżącej o co najmniej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lub o wartość wskazaną w dokumentacji projektowej.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6.4.3. </w:t>
      </w:r>
      <w:r>
        <w:t xml:space="preserve">Równość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podłużne podbudowy należy mierzyć 4-metrową łatą lub </w:t>
      </w:r>
      <w:proofErr w:type="spellStart"/>
      <w:r>
        <w:t>planografem</w:t>
      </w:r>
      <w:proofErr w:type="spellEnd"/>
      <w:r>
        <w:t xml:space="preserve">, zgodnie z BN-68/8931-04 [28].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poprzeczne podbudowy należy mierzyć 4-metrową łatą.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Nierówności podbudowy  nie mogą przekraczać: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dla podbudowy zasadniczej,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podbudowy pomocniczej.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6.4.4. </w:t>
      </w:r>
      <w:r>
        <w:t xml:space="preserve">Spadki poprzeczne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Spadki poprzeczne podbudowy na prostych i łukach powinny być zgodne z dokumentacją projektową,  z tolerancją </w:t>
      </w:r>
      <w:r>
        <w:sym w:font="Symbol" w:char="F0B1"/>
      </w:r>
      <w:r>
        <w:t xml:space="preserve"> 0,5 %.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6.4.5. </w:t>
      </w:r>
      <w:r>
        <w:t xml:space="preserve">Rzędne wysokościowe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Różnice pomiędzy rzędnymi wysokościowymi podbudowy i rzędnymi projektowanymi nie powinny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  <w:smartTag w:uri="urn:schemas-microsoft-com:office:smarttags" w:element="metricconverter">
        <w:smartTagPr>
          <w:attr w:name="ProductID" w:val="-2 cm"/>
        </w:smartTagPr>
        <w:r>
          <w:t xml:space="preserve">-2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6.4.6. </w:t>
      </w:r>
      <w:r>
        <w:t>Ukształtowanie osi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lastRenderedPageBreak/>
        <w:tab/>
        <w:t xml:space="preserve">Oś podbudowy w planie nie może być przesunięta w stosunku do osi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6.4.7. </w:t>
      </w:r>
      <w:r>
        <w:t>Grubość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Grubość podbudowy nie może się  różnić od grubości projektowanej o więcej niż: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dla podbudowy zasadniczej  </w:t>
      </w:r>
      <w:r>
        <w:sym w:font="Symbol" w:char="F0B1"/>
      </w:r>
      <w:r>
        <w:t xml:space="preserve"> 10%,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>- dla podbudowy pomocniczej +10%, -15%.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6.4.8. </w:t>
      </w:r>
      <w:r>
        <w:t>Nośność podbudowy</w:t>
      </w:r>
    </w:p>
    <w:p w:rsidR="00430DE7" w:rsidRDefault="00430DE7" w:rsidP="00C20D6F">
      <w:pPr>
        <w:pStyle w:val="tekstost"/>
        <w:numPr>
          <w:ilvl w:val="0"/>
          <w:numId w:val="1"/>
        </w:numPr>
        <w:spacing w:before="120"/>
      </w:pPr>
      <w:r>
        <w:t>moduł odkształcenia wg BN-64/8931-02 [27] powinien być zgodny z podanym w tablicy 4,</w:t>
      </w:r>
    </w:p>
    <w:p w:rsidR="00430DE7" w:rsidRDefault="00430DE7" w:rsidP="00C20D6F">
      <w:pPr>
        <w:pStyle w:val="tekstost"/>
        <w:numPr>
          <w:ilvl w:val="0"/>
          <w:numId w:val="1"/>
        </w:numPr>
        <w:ind w:left="284" w:hanging="284"/>
      </w:pPr>
      <w:r>
        <w:t>ugięcie sprężyste wg BN-70/8931-06 [29] powinno być zgodne z podanym w tablicy 4.</w:t>
      </w:r>
    </w:p>
    <w:p w:rsidR="00430DE7" w:rsidRDefault="00430DE7">
      <w:pPr>
        <w:pStyle w:val="tekstost"/>
        <w:spacing w:before="240" w:after="120"/>
      </w:pPr>
      <w:r>
        <w:t>Tablica 4. Cechy podbudowy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257"/>
        <w:gridCol w:w="1295"/>
        <w:gridCol w:w="19"/>
        <w:gridCol w:w="1228"/>
        <w:gridCol w:w="1231"/>
      </w:tblGrid>
      <w:tr w:rsidR="00430DE7"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</w:p>
        </w:tc>
        <w:tc>
          <w:tcPr>
            <w:tcW w:w="6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  <w:r>
              <w:t>Wymagane cechy podbudowy</w:t>
            </w:r>
          </w:p>
        </w:tc>
      </w:tr>
      <w:tr w:rsidR="00430DE7">
        <w:tc>
          <w:tcPr>
            <w:tcW w:w="1204" w:type="dxa"/>
            <w:tcBorders>
              <w:left w:val="single" w:sz="6" w:space="0" w:color="auto"/>
            </w:tcBorders>
          </w:tcPr>
          <w:p w:rsidR="00430DE7" w:rsidRDefault="00430DE7">
            <w:pPr>
              <w:jc w:val="center"/>
            </w:pPr>
            <w:r>
              <w:t>Podbudowa</w:t>
            </w:r>
          </w:p>
          <w:p w:rsidR="00430DE7" w:rsidRDefault="00430DE7">
            <w:pPr>
              <w:jc w:val="center"/>
            </w:pPr>
            <w:r>
              <w:t>z kruszywa o wskaźniku w</w:t>
            </w:r>
            <w:r>
              <w:rPr>
                <w:vertAlign w:val="subscript"/>
              </w:rPr>
              <w:t>noś</w:t>
            </w:r>
            <w:r>
              <w:t xml:space="preserve"> nie mniejszym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Wskaźnik zagęszczenia I</w:t>
            </w:r>
            <w:r>
              <w:rPr>
                <w:vertAlign w:val="subscript"/>
              </w:rPr>
              <w:t>S</w:t>
            </w:r>
            <w:r>
              <w:t xml:space="preserve">   nie</w:t>
            </w:r>
          </w:p>
          <w:p w:rsidR="00430DE7" w:rsidRDefault="00430DE7">
            <w:pPr>
              <w:jc w:val="center"/>
            </w:pPr>
            <w:r>
              <w:t xml:space="preserve">mniejszy niż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spacing w:before="120"/>
              <w:jc w:val="center"/>
            </w:pPr>
            <w:r>
              <w:t>Maksymalne ugięcie sprężyste pod kołem, mm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</w:pPr>
            <w:r>
              <w:t xml:space="preserve">Minimalny moduł </w:t>
            </w:r>
            <w:proofErr w:type="spellStart"/>
            <w:r>
              <w:t>odkształ-cenia</w:t>
            </w:r>
            <w:proofErr w:type="spellEnd"/>
            <w:r>
              <w:t xml:space="preserve"> mierzony płytą o średnicy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 xml:space="preserve">, </w:t>
            </w:r>
            <w:proofErr w:type="spellStart"/>
            <w:r>
              <w:t>MPa</w:t>
            </w:r>
            <w:proofErr w:type="spellEnd"/>
          </w:p>
        </w:tc>
      </w:tr>
      <w:tr w:rsidR="00430DE7">
        <w:tc>
          <w:tcPr>
            <w:tcW w:w="12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  <w:r>
              <w:t>niż,   %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40 </w:t>
            </w:r>
            <w:proofErr w:type="spellStart"/>
            <w:r>
              <w:t>kN</w:t>
            </w:r>
            <w:proofErr w:type="spellEnd"/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50 </w:t>
            </w:r>
            <w:proofErr w:type="spellStart"/>
            <w:r>
              <w:t>kN</w:t>
            </w:r>
            <w:proofErr w:type="spellEnd"/>
          </w:p>
        </w:tc>
        <w:tc>
          <w:tcPr>
            <w:tcW w:w="12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pierwszego obciążenia E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2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drugiego obciążenia E</w:t>
            </w:r>
            <w:r>
              <w:rPr>
                <w:sz w:val="16"/>
                <w:vertAlign w:val="subscript"/>
              </w:rPr>
              <w:t>2</w:t>
            </w:r>
          </w:p>
        </w:tc>
      </w:tr>
      <w:tr w:rsidR="00430DE7"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spacing w:after="6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1,03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1,25</w:t>
            </w:r>
          </w:p>
          <w:p w:rsidR="00430DE7" w:rsidRDefault="00430DE7">
            <w:pPr>
              <w:jc w:val="center"/>
            </w:pPr>
            <w:r>
              <w:t>1,10</w:t>
            </w:r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1,60</w:t>
            </w:r>
          </w:p>
          <w:p w:rsidR="00430DE7" w:rsidRDefault="00430DE7">
            <w:pPr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1,20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120</w:t>
            </w:r>
          </w:p>
          <w:p w:rsidR="00430DE7" w:rsidRDefault="00430DE7">
            <w:pPr>
              <w:jc w:val="center"/>
            </w:pPr>
            <w:r>
              <w:t>140</w:t>
            </w:r>
          </w:p>
          <w:p w:rsidR="00430DE7" w:rsidRDefault="00430DE7">
            <w:pPr>
              <w:jc w:val="center"/>
            </w:pPr>
            <w:r>
              <w:t>180</w:t>
            </w:r>
          </w:p>
        </w:tc>
      </w:tr>
    </w:tbl>
    <w:p w:rsidR="00430DE7" w:rsidRDefault="00430DE7"/>
    <w:p w:rsidR="00430DE7" w:rsidRDefault="00430DE7">
      <w:pPr>
        <w:pStyle w:val="Nagwek2"/>
      </w:pPr>
      <w:r>
        <w:t xml:space="preserve">6.5. Zasady postępowania z wadliwie wykonanymi odcinkami podbudowy </w:t>
      </w:r>
    </w:p>
    <w:p w:rsidR="00430DE7" w:rsidRDefault="00430DE7">
      <w:pPr>
        <w:spacing w:after="120"/>
      </w:pPr>
      <w:r>
        <w:rPr>
          <w:b/>
        </w:rPr>
        <w:t xml:space="preserve">6.5.1. </w:t>
      </w:r>
      <w:r>
        <w:t xml:space="preserve">Niewłaściwe cechy geometryczne podbudowy </w:t>
      </w:r>
    </w:p>
    <w:p w:rsidR="00430DE7" w:rsidRDefault="00430DE7">
      <w:r>
        <w:tab/>
        <w:t xml:space="preserve">Wszystkie powierzchnie podbudowy, które wykazują większe odchylenia od  określonych w punkcie 6.4 powinny być naprawione przez spulchnienie lub zerwanie do głębokości co najmniej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wyrównane i powtórnie zagęszczone. Dodanie nowego materiału bez spulchnienia wykonanej warstwy jest niedopuszczalne.</w:t>
      </w:r>
    </w:p>
    <w:p w:rsidR="00430DE7" w:rsidRDefault="00430DE7">
      <w:r>
        <w:tab/>
        <w:t xml:space="preserve">Jeżeli szerokość podbudowy jest mniejsza od szerokości projektowanej o więcej niż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i nie zapewnia podparcia warstwom wyżej leżącym, to Wykonawca powinien na własny koszt poszerzyć podbudowę przez spulchnienie warstwy na pełną grubość do połowy szerokości pasa ruchu, dołożenie materiału i powtórne zagęszczenie.</w:t>
      </w:r>
    </w:p>
    <w:p w:rsidR="00430DE7" w:rsidRDefault="00430DE7">
      <w:pPr>
        <w:spacing w:before="120"/>
      </w:pPr>
      <w:r>
        <w:rPr>
          <w:b/>
        </w:rPr>
        <w:t xml:space="preserve">6.5.2. </w:t>
      </w:r>
      <w:r>
        <w:t xml:space="preserve">Niewłaściwa grubość podbudowy </w:t>
      </w:r>
    </w:p>
    <w:p w:rsidR="00430DE7" w:rsidRDefault="00430DE7">
      <w:pPr>
        <w:spacing w:before="120"/>
      </w:pPr>
      <w:r>
        <w:tab/>
        <w:t>Na wszystkich powierzchniach wadliwych pod względem grubości, Wykonawca wykona naprawę podbudowy. Powierzchnie powinny być naprawione przez spulchnienie lub wybranie warstwy na odpowiednią głębokość, zgodnie z decyzją Inżyniera, uzupełnione nowym materiałem o odpowiednich właściwościach, wyrównane i ponownie zagęszczone.</w:t>
      </w:r>
    </w:p>
    <w:p w:rsidR="00430DE7" w:rsidRDefault="00430DE7">
      <w:pPr>
        <w:ind w:firstLine="709"/>
      </w:pPr>
      <w:r>
        <w:t>Roboty te Wykonawca wykona na własny koszt. Po wykonaniu tych robót nastąpi ponowny pomiar i ocena grubości warstwy, według wyżej podanych zasad, na koszt Wykonawcy.</w:t>
      </w:r>
    </w:p>
    <w:p w:rsidR="00430DE7" w:rsidRDefault="00430DE7">
      <w:pPr>
        <w:spacing w:before="120"/>
      </w:pPr>
      <w:r>
        <w:rPr>
          <w:b/>
        </w:rPr>
        <w:t xml:space="preserve">6.5.3. </w:t>
      </w:r>
      <w:r>
        <w:t xml:space="preserve">Niewłaściwa nośność podbudowy </w:t>
      </w:r>
    </w:p>
    <w:p w:rsidR="00430DE7" w:rsidRDefault="00430DE7">
      <w:pPr>
        <w:spacing w:before="120"/>
      </w:pPr>
      <w:r>
        <w:tab/>
        <w:t>Jeżeli nośność podbudowy będzie mniejsza od wymaganej, to Wykonawca wykona wszelkie roboty niezbędne do zapewnienia wymaganej nośności, zalecone przez Inżyniera.</w:t>
      </w:r>
    </w:p>
    <w:p w:rsidR="00430DE7" w:rsidRDefault="00430DE7">
      <w:r>
        <w:tab/>
        <w:t>Koszty tych dodatkowych robót poniesie Wykonawca podbudowy tylko wtedy, gdy zaniżenie nośności podbudowy wynikło z niewłaściwego wykonania robót przez Wykonawcę podbudowy.</w:t>
      </w:r>
    </w:p>
    <w:p w:rsidR="00430DE7" w:rsidRDefault="00430DE7">
      <w:pPr>
        <w:pStyle w:val="Nagwek1"/>
      </w:pPr>
      <w:bookmarkStart w:id="94" w:name="_Toc418394443"/>
      <w:bookmarkStart w:id="95" w:name="_Toc423845944"/>
      <w:r>
        <w:lastRenderedPageBreak/>
        <w:t>7. OBMIAR ROBÓT</w:t>
      </w:r>
      <w:bookmarkEnd w:id="94"/>
      <w:bookmarkEnd w:id="95"/>
    </w:p>
    <w:p w:rsidR="00430DE7" w:rsidRDefault="00430DE7">
      <w:pPr>
        <w:pStyle w:val="Nagwek2"/>
      </w:pPr>
      <w:r>
        <w:t>7.1. Ogólne zasady obmiaru robót</w:t>
      </w:r>
    </w:p>
    <w:p w:rsidR="00430DE7" w:rsidRDefault="00430DE7">
      <w:pPr>
        <w:ind w:right="-11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30DE7" w:rsidRDefault="00430DE7">
      <w:pPr>
        <w:pStyle w:val="Nagwek2"/>
      </w:pPr>
      <w:r>
        <w:t>7.2. Jednostka obmiarowa</w:t>
      </w:r>
    </w:p>
    <w:p w:rsidR="00430DE7" w:rsidRDefault="00430DE7">
      <w:pPr>
        <w:ind w:right="-11"/>
      </w:pPr>
      <w:r>
        <w:tab/>
        <w:t>Jednostką obmiarową jest  m</w:t>
      </w:r>
      <w:r>
        <w:rPr>
          <w:vertAlign w:val="superscript"/>
        </w:rPr>
        <w:t>2</w:t>
      </w:r>
      <w:r>
        <w:t xml:space="preserve"> (metr kwadratowy) podbudowy  z kruszywa stabilizowanego mechanicznie.</w:t>
      </w:r>
    </w:p>
    <w:p w:rsidR="00430DE7" w:rsidRDefault="00430DE7">
      <w:pPr>
        <w:pStyle w:val="Nagwek1"/>
      </w:pPr>
      <w:bookmarkStart w:id="96" w:name="_Toc418394444"/>
      <w:bookmarkStart w:id="97" w:name="_Toc423845945"/>
      <w:r>
        <w:t>8. ODBIÓR ROBÓT</w:t>
      </w:r>
      <w:bookmarkEnd w:id="96"/>
      <w:bookmarkEnd w:id="97"/>
    </w:p>
    <w:p w:rsidR="00430DE7" w:rsidRDefault="00430DE7">
      <w:pPr>
        <w:ind w:right="-11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30DE7" w:rsidRDefault="00430DE7">
      <w:pPr>
        <w:ind w:right="-11"/>
      </w:pPr>
      <w:r>
        <w:tab/>
        <w:t xml:space="preserve">Roboty uznaje się za zgodne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430DE7" w:rsidRDefault="00430DE7">
      <w:pPr>
        <w:pStyle w:val="Nagwek1"/>
      </w:pPr>
      <w:bookmarkStart w:id="98" w:name="_Toc418394445"/>
      <w:bookmarkStart w:id="99" w:name="_Toc423845946"/>
      <w:r>
        <w:t>9. PODSTAWA PŁATNOŚCI</w:t>
      </w:r>
      <w:bookmarkEnd w:id="98"/>
      <w:bookmarkEnd w:id="99"/>
    </w:p>
    <w:p w:rsidR="00430DE7" w:rsidRDefault="00430DE7">
      <w:pPr>
        <w:pStyle w:val="Nagwek2"/>
      </w:pPr>
      <w:r>
        <w:t>9.1. Ogólne ustalenia dotyczące podstawy płatności</w:t>
      </w:r>
    </w:p>
    <w:p w:rsidR="00430DE7" w:rsidRDefault="00430DE7">
      <w:pPr>
        <w:ind w:right="-11"/>
      </w:pPr>
      <w:r>
        <w:rPr>
          <w:b/>
        </w:rPr>
        <w:tab/>
      </w:r>
      <w:r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30DE7" w:rsidRDefault="00430DE7">
      <w:pPr>
        <w:pStyle w:val="Nagwek2"/>
      </w:pPr>
      <w:r>
        <w:t>9.2. Cena jednostki obmiarowej</w:t>
      </w:r>
    </w:p>
    <w:p w:rsidR="00430DE7" w:rsidRDefault="00430DE7">
      <w:r>
        <w:tab/>
        <w:t xml:space="preserve">Zakres czynności objętych ceną jednostkową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z kruszywa stabilizowanego mechanicznie, podano w OST: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1"/>
      </w:pPr>
      <w:r>
        <w:t>10. przepisy związane</w:t>
      </w:r>
    </w:p>
    <w:p w:rsidR="00430DE7" w:rsidRDefault="00430DE7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430DE7" w:rsidRDefault="00430DE7">
            <w:r>
              <w:t>PN-B-04481</w:t>
            </w:r>
          </w:p>
        </w:tc>
        <w:tc>
          <w:tcPr>
            <w:tcW w:w="5171" w:type="dxa"/>
          </w:tcPr>
          <w:p w:rsidR="00430DE7" w:rsidRDefault="00430DE7">
            <w:r>
              <w:t>Grunty budowlane. Badania próbek gruntu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430DE7" w:rsidRDefault="00430DE7">
            <w:r>
              <w:t>PN-B-06714-12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obcych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430DE7" w:rsidRDefault="00430DE7">
            <w:r>
              <w:t>PN-B-06714-15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składu ziarnowego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430DE7" w:rsidRDefault="00430DE7">
            <w:r>
              <w:t>PN-B-06714-16</w:t>
            </w:r>
          </w:p>
        </w:tc>
        <w:tc>
          <w:tcPr>
            <w:tcW w:w="5171" w:type="dxa"/>
          </w:tcPr>
          <w:p w:rsidR="00430DE7" w:rsidRDefault="00430DE7">
            <w:r>
              <w:t xml:space="preserve">Kruszywa mineralne. Badania. Oznaczanie kształtu </w:t>
            </w:r>
            <w:proofErr w:type="spellStart"/>
            <w:r>
              <w:t>ziarn</w:t>
            </w:r>
            <w:proofErr w:type="spellEnd"/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430DE7" w:rsidRDefault="00430DE7">
            <w:r>
              <w:t>PN-B-06714-17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wilgotności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430DE7" w:rsidRDefault="00430DE7">
            <w:r>
              <w:t>PN-B-06714-18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nasiąkliwości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430DE7" w:rsidRDefault="00430DE7">
            <w:r>
              <w:t>PN-B-06714-19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mrozoodporności metodą bezpośrednią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430DE7" w:rsidRDefault="00430DE7">
            <w:r>
              <w:t>PN-B-06714-26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organicznych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430DE7" w:rsidRDefault="00430DE7">
            <w:r>
              <w:t>PN-B-06714-28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siarki metodą bromową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430DE7" w:rsidRDefault="00430DE7">
            <w:r>
              <w:t>PN-B-06714-37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krzemianowego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430DE7" w:rsidRDefault="00430DE7">
            <w:r>
              <w:t>PN-B-06714-39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żelazawego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430DE7" w:rsidRDefault="00430DE7">
            <w:r>
              <w:t>PN-B-06714-42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ścieralności w bębnie Los Angeles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430DE7" w:rsidRDefault="00430DE7">
            <w:r>
              <w:t>PN-B-06731</w:t>
            </w:r>
          </w:p>
        </w:tc>
        <w:tc>
          <w:tcPr>
            <w:tcW w:w="5171" w:type="dxa"/>
          </w:tcPr>
          <w:p w:rsidR="00430DE7" w:rsidRDefault="00430DE7">
            <w:r>
              <w:t>Żużel wielkopiecowy kawałkowy. Kruszywo budowlane i drogowe. Badania techniczne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430DE7" w:rsidRDefault="00430DE7">
            <w:r>
              <w:t>PN-B-11111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Żwir i mieszanka</w:t>
            </w:r>
          </w:p>
        </w:tc>
      </w:tr>
    </w:tbl>
    <w:p w:rsidR="00430DE7" w:rsidRDefault="00430DE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430DE7" w:rsidRDefault="00430DE7">
            <w:r>
              <w:t>PN-B-11112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łamane do nawierzchni drogowych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701" w:type="dxa"/>
          </w:tcPr>
          <w:p w:rsidR="00430DE7" w:rsidRDefault="00430DE7">
            <w:r>
              <w:t>PN-B-11113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Piasek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430DE7" w:rsidRDefault="00430DE7">
            <w:r>
              <w:t>PN-B-19701</w:t>
            </w:r>
          </w:p>
        </w:tc>
        <w:tc>
          <w:tcPr>
            <w:tcW w:w="5171" w:type="dxa"/>
          </w:tcPr>
          <w:p w:rsidR="00430DE7" w:rsidRDefault="00430DE7">
            <w:r>
              <w:t>Cement. Cement powszechnego użytku. Skład, wymagania i ocena zgodności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430DE7" w:rsidRDefault="00430DE7">
            <w:r>
              <w:t>PN-B-23006</w:t>
            </w:r>
          </w:p>
        </w:tc>
        <w:tc>
          <w:tcPr>
            <w:tcW w:w="5171" w:type="dxa"/>
          </w:tcPr>
          <w:p w:rsidR="00430DE7" w:rsidRDefault="00430DE7">
            <w:r>
              <w:t>Kruszywo do betonu lekkiego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430DE7" w:rsidRDefault="00430DE7">
            <w:r>
              <w:t>PN-B-30020</w:t>
            </w:r>
          </w:p>
        </w:tc>
        <w:tc>
          <w:tcPr>
            <w:tcW w:w="5171" w:type="dxa"/>
          </w:tcPr>
          <w:p w:rsidR="00430DE7" w:rsidRDefault="00430DE7">
            <w:r>
              <w:t>Wapno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430DE7" w:rsidRDefault="00430DE7">
            <w:r>
              <w:t>PN-B-32250</w:t>
            </w:r>
          </w:p>
        </w:tc>
        <w:tc>
          <w:tcPr>
            <w:tcW w:w="5171" w:type="dxa"/>
          </w:tcPr>
          <w:p w:rsidR="00430DE7" w:rsidRDefault="00430DE7">
            <w:r>
              <w:t>Materiały budowlane. Woda do betonu i zapraw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430DE7" w:rsidRDefault="00430DE7">
            <w:r>
              <w:t>PN-S-06102</w:t>
            </w:r>
          </w:p>
        </w:tc>
        <w:tc>
          <w:tcPr>
            <w:tcW w:w="5171" w:type="dxa"/>
          </w:tcPr>
          <w:p w:rsidR="00430DE7" w:rsidRDefault="00430DE7">
            <w:r>
              <w:t>Drogi samochodowe. Podbudowy z kruszyw stabilizowanych mechanicznie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430DE7" w:rsidRDefault="00430DE7">
            <w:r>
              <w:t>PN-S-96023</w:t>
            </w:r>
          </w:p>
        </w:tc>
        <w:tc>
          <w:tcPr>
            <w:tcW w:w="5171" w:type="dxa"/>
          </w:tcPr>
          <w:p w:rsidR="00430DE7" w:rsidRDefault="00430DE7">
            <w:r>
              <w:t>Konstrukcje drogowe. Podbudowa i nawierzchnia z tłucznia kamiennego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430DE7" w:rsidRDefault="00430DE7">
            <w:r>
              <w:t>PN-S-96035</w:t>
            </w:r>
          </w:p>
        </w:tc>
        <w:tc>
          <w:tcPr>
            <w:tcW w:w="5171" w:type="dxa"/>
          </w:tcPr>
          <w:p w:rsidR="00430DE7" w:rsidRDefault="00430DE7">
            <w:r>
              <w:t>Popioły lotne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430DE7" w:rsidRDefault="00430DE7">
            <w:r>
              <w:t>BN-88/6731-08</w:t>
            </w:r>
          </w:p>
        </w:tc>
        <w:tc>
          <w:tcPr>
            <w:tcW w:w="5171" w:type="dxa"/>
          </w:tcPr>
          <w:p w:rsidR="00430DE7" w:rsidRDefault="00430DE7">
            <w:r>
              <w:t>Cement. Transport i przechowywanie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430DE7" w:rsidRDefault="00430DE7">
            <w:r>
              <w:t>BN-84/6774-02</w:t>
            </w:r>
          </w:p>
        </w:tc>
        <w:tc>
          <w:tcPr>
            <w:tcW w:w="5171" w:type="dxa"/>
          </w:tcPr>
          <w:p w:rsidR="00430DE7" w:rsidRDefault="00430DE7">
            <w:r>
              <w:t>Kruszywo mineralne. Kruszywo kamienne łamane do nawierzchni drogowych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430DE7" w:rsidRDefault="00430DE7">
            <w:r>
              <w:t>BN-64/8931-01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wskaźnika piaskowego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430DE7" w:rsidRDefault="00430DE7">
            <w:r>
              <w:t>BN-64/8931-02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modułu odkształcenia nawierzchni podatnych i podłoża przez obciążenie płytą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430DE7" w:rsidRDefault="00430DE7">
            <w:r>
              <w:t>BN-68/8931-04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29.</w:t>
            </w:r>
          </w:p>
        </w:tc>
        <w:tc>
          <w:tcPr>
            <w:tcW w:w="1701" w:type="dxa"/>
          </w:tcPr>
          <w:p w:rsidR="00430DE7" w:rsidRDefault="00430DE7">
            <w:r>
              <w:t>BN-70/8931-06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ugięć podatnych </w:t>
            </w:r>
            <w:proofErr w:type="spellStart"/>
            <w:r>
              <w:t>ugięciomierzem</w:t>
            </w:r>
            <w:proofErr w:type="spellEnd"/>
            <w:r>
              <w:t xml:space="preserve"> belkowym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30.</w:t>
            </w:r>
          </w:p>
        </w:tc>
        <w:tc>
          <w:tcPr>
            <w:tcW w:w="1701" w:type="dxa"/>
          </w:tcPr>
          <w:p w:rsidR="00430DE7" w:rsidRDefault="00430DE7">
            <w:r>
              <w:t>BN-77/8931-12</w:t>
            </w:r>
          </w:p>
        </w:tc>
        <w:tc>
          <w:tcPr>
            <w:tcW w:w="5171" w:type="dxa"/>
          </w:tcPr>
          <w:p w:rsidR="00430DE7" w:rsidRDefault="00430DE7">
            <w:r>
              <w:t>Oznaczanie wskaźnika zagęszczenia gruntu</w:t>
            </w:r>
          </w:p>
        </w:tc>
      </w:tr>
    </w:tbl>
    <w:p w:rsidR="00430DE7" w:rsidRDefault="00430DE7">
      <w:pPr>
        <w:pStyle w:val="Nagwek2"/>
      </w:pPr>
      <w:r>
        <w:t>10.2. Inne dokumenty</w:t>
      </w:r>
    </w:p>
    <w:p w:rsidR="00430DE7" w:rsidRDefault="00430DE7" w:rsidP="00C20D6F">
      <w:pPr>
        <w:numPr>
          <w:ilvl w:val="0"/>
          <w:numId w:val="4"/>
        </w:numPr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 xml:space="preserve"> - Warszawa 1997.</w:t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Standardowytekst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sectPr w:rsidR="00430DE7" w:rsidSect="001712DD">
      <w:headerReference w:type="even" r:id="rId14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9D" w:rsidRDefault="00EC449D">
      <w:r>
        <w:separator/>
      </w:r>
    </w:p>
  </w:endnote>
  <w:endnote w:type="continuationSeparator" w:id="0">
    <w:p w:rsidR="00EC449D" w:rsidRDefault="00EC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9D" w:rsidRDefault="00EC449D">
      <w:r>
        <w:separator/>
      </w:r>
    </w:p>
  </w:footnote>
  <w:footnote w:type="continuationSeparator" w:id="0">
    <w:p w:rsidR="00EC449D" w:rsidRDefault="00EC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7" w:rsidRDefault="00430DE7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2BC56"/>
    <w:lvl w:ilvl="0">
      <w:numFmt w:val="bullet"/>
      <w:lvlText w:val="*"/>
      <w:lvlJc w:val="left"/>
    </w:lvl>
  </w:abstractNum>
  <w:abstractNum w:abstractNumId="1">
    <w:nsid w:val="50B45CFA"/>
    <w:multiLevelType w:val="singleLevel"/>
    <w:tmpl w:val="71B82C88"/>
    <w:lvl w:ilvl="0">
      <w:start w:val="31"/>
      <w:numFmt w:val="decimal"/>
      <w:lvlText w:val="%1."/>
      <w:legacy w:legacy="1" w:legacySpace="57" w:legacyIndent="454"/>
      <w:lvlJc w:val="left"/>
      <w:pPr>
        <w:ind w:left="454" w:hanging="454"/>
      </w:pPr>
    </w:lvl>
  </w:abstractNum>
  <w:abstractNum w:abstractNumId="2">
    <w:nsid w:val="5B092225"/>
    <w:multiLevelType w:val="singleLevel"/>
    <w:tmpl w:val="1C52B8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20D6F"/>
    <w:rsid w:val="0003448F"/>
    <w:rsid w:val="000901E3"/>
    <w:rsid w:val="00145514"/>
    <w:rsid w:val="001712DD"/>
    <w:rsid w:val="001C61E8"/>
    <w:rsid w:val="001E1989"/>
    <w:rsid w:val="00430DE7"/>
    <w:rsid w:val="004913D5"/>
    <w:rsid w:val="0051412D"/>
    <w:rsid w:val="005263E7"/>
    <w:rsid w:val="00550091"/>
    <w:rsid w:val="0056181C"/>
    <w:rsid w:val="00846CB6"/>
    <w:rsid w:val="00943C25"/>
    <w:rsid w:val="009C4C69"/>
    <w:rsid w:val="00A54302"/>
    <w:rsid w:val="00B37B75"/>
    <w:rsid w:val="00B40858"/>
    <w:rsid w:val="00B975C9"/>
    <w:rsid w:val="00C20D6F"/>
    <w:rsid w:val="00CE5437"/>
    <w:rsid w:val="00DB4284"/>
    <w:rsid w:val="00E41262"/>
    <w:rsid w:val="00EC449D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1712D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1712DD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1712D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712D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1712D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1712D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1712D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1712D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1712D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1712D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1712D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1712D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1712D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1712DD"/>
  </w:style>
  <w:style w:type="paragraph" w:customStyle="1" w:styleId="StylIwony">
    <w:name w:val="Styl Iwony"/>
    <w:basedOn w:val="Normalny"/>
    <w:rsid w:val="001712D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1712D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1712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712DD"/>
  </w:style>
  <w:style w:type="paragraph" w:customStyle="1" w:styleId="tekstost">
    <w:name w:val="tekst ost"/>
    <w:basedOn w:val="Normalny"/>
    <w:rsid w:val="001712DD"/>
  </w:style>
  <w:style w:type="character" w:styleId="Odwoanieprzypisudolnego">
    <w:name w:val="footnote reference"/>
    <w:basedOn w:val="Domylnaczcionkaakapitu"/>
    <w:semiHidden/>
    <w:rsid w:val="001712DD"/>
    <w:rPr>
      <w:vertAlign w:val="superscript"/>
    </w:rPr>
  </w:style>
  <w:style w:type="paragraph" w:customStyle="1" w:styleId="Standardowytekst">
    <w:name w:val="Standardowy.tekst"/>
    <w:rsid w:val="001712DD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3320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6</cp:revision>
  <cp:lastPrinted>2006-03-23T17:16:00Z</cp:lastPrinted>
  <dcterms:created xsi:type="dcterms:W3CDTF">2010-10-18T05:59:00Z</dcterms:created>
  <dcterms:modified xsi:type="dcterms:W3CDTF">2015-08-08T07:08:00Z</dcterms:modified>
</cp:coreProperties>
</file>