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pStyle w:val="Standardowytekst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 SPECYFIKACJE TECHNICZNE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D-01.02.04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ROZBIÓRKA ELEMENTÓW DRÓG, OGRODZEŃ</w:t>
      </w: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I PRZEPUSTÓW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jc w:val="center"/>
        <w:rPr>
          <w:sz w:val="24"/>
        </w:rPr>
      </w:pPr>
    </w:p>
    <w:p w:rsidR="00A9653A" w:rsidRDefault="00622BD9">
      <w:pPr>
        <w:pStyle w:val="Spistreci1"/>
        <w:spacing w:before="0" w:after="0"/>
        <w:ind w:left="142"/>
        <w:rPr>
          <w:noProof/>
        </w:rPr>
      </w:pPr>
      <w:r w:rsidRPr="00622BD9">
        <w:rPr>
          <w:sz w:val="24"/>
        </w:rPr>
        <w:fldChar w:fldCharType="begin"/>
      </w:r>
      <w:r w:rsidR="00A9653A">
        <w:rPr>
          <w:sz w:val="24"/>
        </w:rPr>
        <w:instrText xml:space="preserve"> TOC \o "1-1" </w:instrText>
      </w:r>
      <w:r w:rsidRPr="00622BD9">
        <w:rPr>
          <w:sz w:val="24"/>
        </w:rPr>
        <w:fldChar w:fldCharType="separate"/>
      </w:r>
      <w:r w:rsidR="00A9653A">
        <w:rPr>
          <w:noProof/>
        </w:rPr>
        <w:t>1. WSTĘP</w:t>
      </w:r>
      <w:r w:rsidR="00A9653A"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</w:p>
    <w:p w:rsidR="00A9653A" w:rsidRDefault="00622BD9">
      <w:pPr>
        <w:tabs>
          <w:tab w:val="right" w:leader="dot" w:pos="-1985"/>
          <w:tab w:val="left" w:pos="426"/>
          <w:tab w:val="right" w:leader="dot" w:pos="8505"/>
        </w:tabs>
      </w:pPr>
      <w:r>
        <w:rPr>
          <w:sz w:val="24"/>
        </w:rPr>
        <w:fldChar w:fldCharType="end"/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pStyle w:val="Nagwek1"/>
      </w:pPr>
      <w:r>
        <w:lastRenderedPageBreak/>
        <w:t>1. WSTĘP</w:t>
      </w:r>
    </w:p>
    <w:p w:rsidR="00A9653A" w:rsidRDefault="00A9653A">
      <w:pPr>
        <w:pStyle w:val="Nagwek2"/>
      </w:pPr>
      <w:r>
        <w:t>1.1. Przedmiot SST</w:t>
      </w:r>
    </w:p>
    <w:p w:rsidR="00A9653A" w:rsidRDefault="00A9653A">
      <w:pPr>
        <w:tabs>
          <w:tab w:val="left" w:pos="0"/>
        </w:tabs>
      </w:pPr>
      <w:r>
        <w:rPr>
          <w:b/>
        </w:rPr>
        <w:tab/>
      </w:r>
      <w:r>
        <w:t xml:space="preserve">Przedmiotem niniejszej szczegółowej specyfikacji technicznej (SST) są wymagania dotyczące wykonania i odbioru robót związanych z rozbiórką elementów dróg, ogrodzeń i przepustów. </w:t>
      </w:r>
    </w:p>
    <w:p w:rsidR="00A9653A" w:rsidRDefault="00A9653A">
      <w:pPr>
        <w:pStyle w:val="Nagwek2"/>
      </w:pPr>
      <w:r>
        <w:t>1.2. Zakres stosowania SST</w:t>
      </w:r>
    </w:p>
    <w:p w:rsidR="00A9653A" w:rsidRDefault="00A9653A" w:rsidP="004F1B46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</w:t>
      </w:r>
      <w:r w:rsidR="004F1B46">
        <w:t>przebudowa ulicy  CHOPINA w Czempiniu.</w:t>
      </w:r>
    </w:p>
    <w:p w:rsidR="00A9653A" w:rsidRDefault="00A9653A">
      <w:pPr>
        <w:pStyle w:val="Nagwek2"/>
      </w:pPr>
      <w:r>
        <w:t>1.3. Zakres robót objętych SST</w:t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>Ustalenia zawarte w niniejszej specyfikacji dotyczą zasad prowadzenia robót związanych z rozbiórką: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warstw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krawężników, obrzeży i oporników,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ścieków,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 chodników,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ogrodzeń,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barier i poręczy,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znaków drogowych,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przepustów: betonowych, żelbetowych, kamiennych, ceglanych itp.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1.4. Określenia podstawowe</w:t>
      </w:r>
    </w:p>
    <w:p w:rsidR="00A9653A" w:rsidRDefault="00A9653A" w:rsidP="00EA079F">
      <w:pPr>
        <w:numPr>
          <w:ilvl w:val="12"/>
          <w:numId w:val="0"/>
        </w:numPr>
        <w:tabs>
          <w:tab w:val="left" w:pos="0"/>
        </w:tabs>
      </w:pPr>
      <w:r>
        <w:tab/>
        <w:t xml:space="preserve">Stosowane określenia podstawowe są zgodne z obowiązującymi, odpowiednimi polskimi normami oraz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2. MATERIAŁY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2.2. Rusztowania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Rusztowania robocze przestawne przy rozbiórce przepustów mogą być wykonane z drewna lub rur stalowych w postaci: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kozłowych, wysokości od 1,0 do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, składających się z leżni z bali (np. 12,5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 xml:space="preserve">), nóg z krawędziaków (np. 7,6 x </w:t>
      </w:r>
      <w:smartTag w:uri="urn:schemas-microsoft-com:office:smarttags" w:element="metricconverter">
        <w:smartTagPr>
          <w:attr w:name="ProductID" w:val="7,6 cm"/>
        </w:smartTagPr>
        <w:r>
          <w:t>7,6 cm</w:t>
        </w:r>
      </w:smartTag>
      <w:r>
        <w:t xml:space="preserve">), stężeń (np. 3,2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>) i pomostu z desek,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drabinowych, składających się z drabin (np. długości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, szerokości </w:t>
      </w:r>
      <w:smartTag w:uri="urn:schemas-microsoft-com:office:smarttags" w:element="metricconverter">
        <w:smartTagPr>
          <w:attr w:name="ProductID" w:val="52 cm"/>
        </w:smartTagPr>
        <w:r>
          <w:t>52 cm</w:t>
        </w:r>
      </w:smartTag>
      <w:r>
        <w:t xml:space="preserve">), usztywnionych stężeniami z desek (np. 3,2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 xml:space="preserve">), na których szczeblach (np. 3,2 x </w:t>
      </w:r>
      <w:smartTag w:uri="urn:schemas-microsoft-com:office:smarttags" w:element="metricconverter">
        <w:smartTagPr>
          <w:attr w:name="ProductID" w:val="6,3 cm"/>
        </w:smartTagPr>
        <w:r>
          <w:t>6,3 cm</w:t>
        </w:r>
      </w:smartTag>
      <w:r>
        <w:t>) układa się pomosty z desek,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przestawnych klatek </w:t>
      </w:r>
      <w:proofErr w:type="spellStart"/>
      <w:r>
        <w:t>rusztowaniowych</w:t>
      </w:r>
      <w:proofErr w:type="spellEnd"/>
      <w:r>
        <w:t xml:space="preserve"> z rur stalowych średnicy od 38 do </w:t>
      </w:r>
      <w:smartTag w:uri="urn:schemas-microsoft-com:office:smarttags" w:element="metricconverter">
        <w:smartTagPr>
          <w:attr w:name="ProductID" w:val="63,5 mm"/>
        </w:smartTagPr>
        <w:r>
          <w:t>63,5 mm</w:t>
        </w:r>
      </w:smartTag>
      <w:r>
        <w:t xml:space="preserve">, o wymiarach klatek około 1,2 x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 lub płaskich klatek </w:t>
      </w:r>
      <w:proofErr w:type="spellStart"/>
      <w:r>
        <w:t>rusztowaniowych</w:t>
      </w:r>
      <w:proofErr w:type="spellEnd"/>
      <w:r>
        <w:t xml:space="preserve"> (np. z rur stalowych średnicy </w:t>
      </w:r>
      <w:smartTag w:uri="urn:schemas-microsoft-com:office:smarttags" w:element="metricconverter">
        <w:smartTagPr>
          <w:attr w:name="ProductID" w:val="108 mm"/>
        </w:smartTagPr>
        <w:r>
          <w:t>108 mm</w:t>
        </w:r>
      </w:smartTag>
      <w:r>
        <w:t xml:space="preserve"> i kątowników 45 x 45 x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 xml:space="preserve"> i 70 x 70 x </w:t>
      </w:r>
      <w:smartTag w:uri="urn:schemas-microsoft-com:office:smarttags" w:element="metricconverter">
        <w:smartTagPr>
          <w:attr w:name="ProductID" w:val="7 mm"/>
        </w:smartTagPr>
        <w:r>
          <w:t>7 mm</w:t>
        </w:r>
      </w:smartTag>
      <w:r>
        <w:t xml:space="preserve">), o wymiarach klatek około 1,1 x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>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z rur stalowych średnicy od 33,5 do </w:t>
      </w:r>
      <w:smartTag w:uri="urn:schemas-microsoft-com:office:smarttags" w:element="metricconverter">
        <w:smartTagPr>
          <w:attr w:name="ProductID" w:val="76,1 mm"/>
        </w:smartTagPr>
        <w:r>
          <w:t>76,1 mm</w:t>
        </w:r>
      </w:smartTag>
      <w:r>
        <w:t xml:space="preserve"> połączonych łącznikami w ramownice i kratownice.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Rusztowanie należy wykonać z materiałów odpowiadających następującym normom: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drewno i tarcica wg PN-D-95017 [1], PN-D-96000 [2], PN-D-96002 [3] lub innej zaakceptowanej przez Inżyniera,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gwoździe wg BN-87/5028-12 [8],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rury stalowe wg PN-H-74219 [4], PN-H-74220 [5] lub innej zaakceptowanej przez Inżyniera,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kątowniki wg PN-H-93401[6], PN-H-93402 [7] lub innej zaakceptowanej przez Inżyniera.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lastRenderedPageBreak/>
        <w:t>3. SPRZĘT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3.2. Sprzęt do rozbiórki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Do wykonania robót związanych z rozbiórką elementów dróg, ogrodzeń i przepustów może być wykorzystany sprzęt podany poniżej, lub inny zaakceptowany przez Inżyniera: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spycharki,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ładowarki,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żurawie samochodowe,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samochody ciężarowe,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zrywarki,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młoty pneumatyczne,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piły mechaniczne,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frezarki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koparki.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4. TRANSPORT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4.2. Transport materiałów z rozbiórki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Materiał z rozbiórki można przewozić dowolnym środkiem transportu.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5. WYKONANIE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5.1. Ogólne zasady wykonania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5.2. Wykonanie robót rozbiórkowych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Roboty rozbiórkowe elementów dróg, ogrodzeń i przepustów obejmują usunięcie z terenu budowy wszystkich elementów wymienionych w </w:t>
      </w:r>
      <w:proofErr w:type="spellStart"/>
      <w:r>
        <w:t>pkt</w:t>
      </w:r>
      <w:proofErr w:type="spellEnd"/>
      <w:r>
        <w:t xml:space="preserve"> 1.3, zgodnie z dokumentacją projektową, SST lub wskazanych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Jeśli dokumentacja projektowa nie zawiera dokumentacji inwentaryzacyjnej lub/i rozbiórkowej, Inżynier może polecić Wykonawcy sporządzenie takiej dokumentacji, w której zostanie określony przewidziany odzysk materiałów.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Roboty rozbiórkowe można wykonywać mechanicznie lub ręcznie w sposób określony w SST lub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W przypadku usuwania warstw nawierzchni z zastosowaniem frezarek drogowych, należy spełnić warunki określone </w:t>
      </w:r>
      <w:proofErr w:type="spellStart"/>
      <w:r>
        <w:t>wSOST</w:t>
      </w:r>
      <w:proofErr w:type="spellEnd"/>
      <w:r>
        <w:t xml:space="preserve"> D-05.03.11 „Recykling”.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W przypadku robót rozbiórkowych przepustu należy dokonać: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odkopania przepustu,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ew. ustawienia przenośnych rusztowań przy przepustach wyższych od około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>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rozbicia elementów, których nie przewiduje się odzyskać, w sposób ręczny lub mechaniczny z ew. przecięciem prętów zbrojeniowych i ich odgięciem,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demontażu prefabrykowanych elementów przepustów (np. rur, elementów skrzynkowych, ramowych) z uprzednim oczyszczeniem spoin i częściowym usunięciu ław, względnie ostrożnego rozebrania konstrukcji kamiennych, ceglanych, klinkierowych itp. przy założeniu ponownego ich wykorzystania,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oczyszczenia rozebranych elementów, przewidzianych do powtórnego użycia                      (z zaprawy, kawałków betonu, izolacji itp.) i ich posortowania.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Wszystkie elementy możliwe do powtórnego wykorzystania powinny być usuwane bez powodowania zbędnych uszkodzeń. O ile uzyskane elementy nie stają się własnością Wykonawcy, powinien on przewieźć je na miejsce określone w SST lub wskazane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Elementy i materiały, które zgodnie z SST stają się własnością Wykonawcy, powinny być usunięte z terenu budowy.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lastRenderedPageBreak/>
        <w:tab/>
        <w:t>Doły (wykopy) powstałe po rozbiórce elementów dróg, ogrodzeń i przepustów znajdujące się w miejscach, gdzie zgodnie z dokumentacją projektową będą wykonane wykopy drogowe, powinny być tymczasowo zabezpieczone. W szczególności należy zapobiec gromadzeniu się w nich wody opadowej.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Doły w miejscach, gdzie nie przewiduje się wykonania wykopów drogowych należy wypełnić, warstwami, odpowiednim gruntem do poziomu otaczającego terenu i zagęścić zgodnie z wymaganiami określonymi w OST D-02.00.00 „Roboty ziemne”.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6. KONTROLA JAKOŚCI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6.2. Kontrola jakości robót rozbiórkowych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Kontrola jakości robót polega na wizualnej ocenie kompletności wykonanych robót rozbiórkowych oraz sprawdzeniu stopnia uszkodzenia elementów przewidzianych do powtórnego wykorzystania.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Zagęszczenie gruntu wypełniającego ewentualne doły po usuniętych elementach nawierzchni, ogrodzeń i przepustów powinno spełniać odpowiednie wymagania określone w SST D-02.00.00 „Roboty ziemne”.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7. OBMIAR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7.1. Ogólne zasady obmiaru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zasady obmiaru robót podano w SST D-M-00.00.00 „Wymagania ogólne”     </w:t>
      </w:r>
      <w:proofErr w:type="spellStart"/>
      <w:r>
        <w:t>pkt</w:t>
      </w:r>
      <w:proofErr w:type="spellEnd"/>
      <w:r>
        <w:t xml:space="preserve"> 7.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7.2. Jednostka obmiarowa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>Jednostką obmiarową robót związanych z rozbiórką elementów dróg i ogrodzeń jest: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nawierzchni i chodnika - m</w:t>
      </w:r>
      <w:r>
        <w:rPr>
          <w:vertAlign w:val="superscript"/>
        </w:rPr>
        <w:t>2</w:t>
      </w:r>
      <w:r>
        <w:t xml:space="preserve"> (metr kwadratowy),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krawężnika, opornika, obrzeża, ścieków prefabrykowanych, ogrodzeń, barier i poręczy - m (metr),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znaków drogowych - szt. (sztuka),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przepustów i ich elementów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a) betonowych, kamiennych, ceglanych - m</w:t>
      </w:r>
      <w:r>
        <w:rPr>
          <w:vertAlign w:val="superscript"/>
        </w:rPr>
        <w:t>3</w:t>
      </w:r>
      <w:r>
        <w:t xml:space="preserve"> (metr sześcienny),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b) prefabrykowanych betonowych, żelbetowych - m (metr).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8. ODBIÓR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zasady odbioru robót podano w SST D-M-00.00.00 „Wymagania ogólne”            </w:t>
      </w:r>
      <w:proofErr w:type="spellStart"/>
      <w:r>
        <w:t>pkt</w:t>
      </w:r>
      <w:proofErr w:type="spellEnd"/>
      <w:r>
        <w:t xml:space="preserve"> 8.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9. PODSTAWA PŁATNOŚCI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ustalenia dotyczące podstawy płatności podano w OST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9.2. Cena jednostki obmiarowej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Cena wykonania robót obejmuje: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a) dla rozbiórki warstw nawierzchni: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wyznaczenie powierzchni przeznaczonej do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rozkucie i zerwanie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jej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wyrównanie podłoża i 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b) dla rozbiórki krawężników, obrzeży i oporników: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krawężników, obrzeży i oporników wraz z wyjęciem i oczyszczeniem,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 i ew. ław,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materiału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wyrównanie podłoża i uporządkowanie terenu rozbiórki;</w:t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  <w:r>
        <w:lastRenderedPageBreak/>
        <w:t>c) dla rozbiórki ścieku: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odsłonięcie ścieku,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ręczne wyjęcie elementów ściekowych wraz z oczyszczeniem,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jego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uzupełnienie i wyrównanie podłoża,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wywóz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d) dla rozbiórki chodników: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ręczne wyjęcie płyt chodnikowych, lub rozkucie i zerwanie innych materiałów chodnikowych,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 w celu ponownego jego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wyrównanie podłoża i 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e) dla rozbiórki ogrodzeń: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elementów ogrodzenia,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 wraz z fundamentem,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jego użycia, z ułożeniem w stosy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f) dla rozbiórki barier i poręczy: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elementów bariery lub poręczy,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 wraz z fundamentem,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wraz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g) dla rozbiórki znaków drogowych: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tablic znaków drogowych ze słupków,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wraz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h) dla rozbiórki przepustu: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przepustu, fundamentów, ław, umocnień itp.,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ustawienie rusztowań i ich późniejsze rozebranie,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rozebranie elementów przepustu,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sortowanie i pryzmowanie odzyskanych materiałów,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(wykopów) gruntem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rozbiórki.</w:t>
      </w:r>
    </w:p>
    <w:p w:rsidR="00A9653A" w:rsidRDefault="00A9653A">
      <w:pPr>
        <w:pStyle w:val="Nagwek1"/>
      </w:pPr>
      <w:r>
        <w:t>10. PRZEPISY ZWIĄZANE</w:t>
      </w:r>
    </w:p>
    <w:p w:rsidR="00A9653A" w:rsidRDefault="00A9653A">
      <w:pPr>
        <w:pStyle w:val="Nagwek2"/>
        <w:spacing w:before="0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4394"/>
      </w:tblGrid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PN-D-95017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Surowiec drzewny. Drewno tartaczne iglaste.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PN-D-96000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Tarcica iglasta ogólnego przeznaczenia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PN-D-96002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Tarcica liściasta ogólnego przeznaczenia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PN-H-74219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Rury stalowe bez szwu walcowane na gorąco ogólnego stosowania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PN-H-74220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Rury stalowe bez szwu ciągnione i walcowane na zimno ogólnego przeznaczenia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PN-H-93401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Stal walcowana. Kątowniki równoramienne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PN-H-93402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Kątowniki nierównoramienne stalowe walcowane na gorąco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BN-87/5028-12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Gwoździe budowlane. Gwoździe z trzpieniem gładkim, okrągłym i kwadratowym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BN-77/8931-12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Oznaczenie wskaźnika zagęszczenia gruntu.</w:t>
            </w:r>
          </w:p>
        </w:tc>
      </w:tr>
    </w:tbl>
    <w:p w:rsidR="00A9653A" w:rsidRDefault="00A9653A">
      <w:pPr>
        <w:pStyle w:val="tekstost"/>
      </w:pPr>
    </w:p>
    <w:sectPr w:rsidR="00A9653A" w:rsidSect="00A10729"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28" w:rsidRDefault="00193228">
      <w:r>
        <w:separator/>
      </w:r>
    </w:p>
  </w:endnote>
  <w:endnote w:type="continuationSeparator" w:id="0">
    <w:p w:rsidR="00193228" w:rsidRDefault="0019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28" w:rsidRDefault="00193228">
      <w:r>
        <w:separator/>
      </w:r>
    </w:p>
  </w:footnote>
  <w:footnote w:type="continuationSeparator" w:id="0">
    <w:p w:rsidR="00193228" w:rsidRDefault="00193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96A5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A079F"/>
    <w:rsid w:val="00193228"/>
    <w:rsid w:val="001F5D6A"/>
    <w:rsid w:val="004218C8"/>
    <w:rsid w:val="0044799C"/>
    <w:rsid w:val="004D0876"/>
    <w:rsid w:val="004F1B46"/>
    <w:rsid w:val="0051192D"/>
    <w:rsid w:val="0061246F"/>
    <w:rsid w:val="00622BD9"/>
    <w:rsid w:val="007A67A6"/>
    <w:rsid w:val="008314F9"/>
    <w:rsid w:val="00840A9D"/>
    <w:rsid w:val="008D45EF"/>
    <w:rsid w:val="009364F8"/>
    <w:rsid w:val="00A10729"/>
    <w:rsid w:val="00A3348E"/>
    <w:rsid w:val="00A9653A"/>
    <w:rsid w:val="00B81BDC"/>
    <w:rsid w:val="00BD1F38"/>
    <w:rsid w:val="00C524A3"/>
    <w:rsid w:val="00CF413E"/>
    <w:rsid w:val="00D32A66"/>
    <w:rsid w:val="00EA079F"/>
    <w:rsid w:val="00F3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A1072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A10729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A10729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10729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A10729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A10729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A10729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A10729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A10729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A10729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A10729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A10729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A10729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A10729"/>
  </w:style>
  <w:style w:type="paragraph" w:customStyle="1" w:styleId="StylIwony">
    <w:name w:val="Styl Iwony"/>
    <w:basedOn w:val="Normalny"/>
    <w:rsid w:val="00A10729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A10729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A1072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10729"/>
  </w:style>
  <w:style w:type="paragraph" w:customStyle="1" w:styleId="tekstost">
    <w:name w:val="tekst ost"/>
    <w:basedOn w:val="Normalny"/>
    <w:rsid w:val="00A10729"/>
  </w:style>
  <w:style w:type="character" w:styleId="Odwoanieprzypisudolnego">
    <w:name w:val="footnote reference"/>
    <w:basedOn w:val="Domylnaczcionkaakapitu"/>
    <w:semiHidden/>
    <w:rsid w:val="00A10729"/>
    <w:rPr>
      <w:vertAlign w:val="superscript"/>
    </w:rPr>
  </w:style>
  <w:style w:type="paragraph" w:customStyle="1" w:styleId="Standardowytekst">
    <w:name w:val="Standardowy.tekst"/>
    <w:rsid w:val="00A10729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2</TotalTime>
  <Pages>6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BZD BDIM Sp. z o.o.</dc:creator>
  <cp:keywords>specyfikacje, drogi, drogownictwo, ost</cp:keywords>
  <dc:description>Roboty przygotowawcze_x000d_
1998</dc:description>
  <cp:lastModifiedBy>Kompuer</cp:lastModifiedBy>
  <cp:revision>6</cp:revision>
  <cp:lastPrinted>2006-05-05T08:56:00Z</cp:lastPrinted>
  <dcterms:created xsi:type="dcterms:W3CDTF">2010-11-19T06:34:00Z</dcterms:created>
  <dcterms:modified xsi:type="dcterms:W3CDTF">2015-08-08T05:32:00Z</dcterms:modified>
</cp:coreProperties>
</file>