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2E3" w:rsidRPr="005822E3" w:rsidRDefault="005822E3" w:rsidP="005822E3">
      <w:pPr>
        <w:jc w:val="right"/>
        <w:rPr>
          <w:b/>
        </w:rPr>
      </w:pPr>
      <w:r w:rsidRPr="005822E3">
        <w:rPr>
          <w:b/>
        </w:rPr>
        <w:t>Załącznik</w:t>
      </w:r>
    </w:p>
    <w:p w:rsidR="005822E3" w:rsidRPr="005822E3" w:rsidRDefault="003303E6" w:rsidP="005822E3">
      <w:pPr>
        <w:jc w:val="right"/>
        <w:rPr>
          <w:b/>
        </w:rPr>
      </w:pPr>
      <w:r>
        <w:rPr>
          <w:b/>
        </w:rPr>
        <w:t>do uchwały Nr LIII/41</w:t>
      </w:r>
      <w:r w:rsidR="00493D82">
        <w:rPr>
          <w:b/>
        </w:rPr>
        <w:t>5</w:t>
      </w:r>
      <w:r w:rsidR="005822E3" w:rsidRPr="005822E3">
        <w:rPr>
          <w:b/>
        </w:rPr>
        <w:t>/18</w:t>
      </w:r>
    </w:p>
    <w:p w:rsidR="005822E3" w:rsidRPr="005822E3" w:rsidRDefault="005822E3" w:rsidP="005822E3">
      <w:pPr>
        <w:jc w:val="right"/>
        <w:rPr>
          <w:b/>
        </w:rPr>
      </w:pPr>
      <w:r w:rsidRPr="005822E3">
        <w:rPr>
          <w:b/>
        </w:rPr>
        <w:t xml:space="preserve">  Rady Miejskiej w Czempiniu</w:t>
      </w:r>
    </w:p>
    <w:p w:rsidR="005822E3" w:rsidRPr="005822E3" w:rsidRDefault="005822E3" w:rsidP="005822E3">
      <w:pPr>
        <w:jc w:val="right"/>
        <w:rPr>
          <w:b/>
        </w:rPr>
      </w:pPr>
      <w:r w:rsidRPr="005822E3">
        <w:rPr>
          <w:b/>
        </w:rPr>
        <w:t xml:space="preserve">  z dnia 17 stycznia 2018 r.</w:t>
      </w:r>
    </w:p>
    <w:p w:rsidR="005822E3" w:rsidRPr="005822E3" w:rsidRDefault="005822E3" w:rsidP="005822E3"/>
    <w:p w:rsidR="005822E3" w:rsidRPr="005822E3" w:rsidRDefault="005822E3" w:rsidP="005822E3"/>
    <w:p w:rsidR="005822E3" w:rsidRPr="005822E3" w:rsidRDefault="005822E3" w:rsidP="005822E3">
      <w:pPr>
        <w:jc w:val="center"/>
        <w:rPr>
          <w:b/>
        </w:rPr>
      </w:pPr>
      <w:r w:rsidRPr="005822E3">
        <w:rPr>
          <w:b/>
        </w:rPr>
        <w:t>WIELOLETNI PROGRAM GOSPODAROWANIA</w:t>
      </w:r>
    </w:p>
    <w:p w:rsidR="005822E3" w:rsidRPr="005822E3" w:rsidRDefault="005822E3" w:rsidP="005822E3">
      <w:pPr>
        <w:jc w:val="center"/>
        <w:rPr>
          <w:b/>
        </w:rPr>
      </w:pPr>
      <w:r w:rsidRPr="005822E3">
        <w:rPr>
          <w:b/>
        </w:rPr>
        <w:t>MIESZKANIOWYM ZASOBEM GMINY CZEMPIŃ</w:t>
      </w:r>
    </w:p>
    <w:p w:rsidR="005822E3" w:rsidRPr="005822E3" w:rsidRDefault="005822E3" w:rsidP="005822E3">
      <w:pPr>
        <w:jc w:val="center"/>
        <w:rPr>
          <w:b/>
        </w:rPr>
      </w:pPr>
      <w:r w:rsidRPr="005822E3">
        <w:rPr>
          <w:b/>
        </w:rPr>
        <w:t>W LATACH 2018 - 2022</w:t>
      </w:r>
    </w:p>
    <w:p w:rsidR="005822E3" w:rsidRPr="005822E3" w:rsidRDefault="005822E3" w:rsidP="005822E3">
      <w:pPr>
        <w:jc w:val="center"/>
        <w:rPr>
          <w:b/>
        </w:rPr>
      </w:pPr>
    </w:p>
    <w:p w:rsidR="005822E3" w:rsidRPr="005822E3" w:rsidRDefault="005822E3" w:rsidP="005822E3">
      <w:pPr>
        <w:rPr>
          <w:b/>
        </w:rPr>
      </w:pPr>
    </w:p>
    <w:p w:rsidR="005822E3" w:rsidRPr="005822E3" w:rsidRDefault="005822E3" w:rsidP="005822E3">
      <w:pPr>
        <w:rPr>
          <w:b/>
        </w:rPr>
      </w:pPr>
      <w:r w:rsidRPr="005822E3">
        <w:rPr>
          <w:b/>
        </w:rPr>
        <w:t>I. Prognoza dotycząca wielkości oraz stanu technicznego zasobu mieszkaniowego gminy Czempiń w latach 2018 - 2022 z podziałem na lokale mieszkalne i użytkowe.</w:t>
      </w:r>
    </w:p>
    <w:p w:rsidR="005822E3" w:rsidRPr="005822E3" w:rsidRDefault="005822E3" w:rsidP="005822E3">
      <w:pPr>
        <w:rPr>
          <w:b/>
        </w:rPr>
      </w:pPr>
    </w:p>
    <w:p w:rsidR="005822E3" w:rsidRPr="005822E3" w:rsidRDefault="005822E3" w:rsidP="005822E3">
      <w:pPr>
        <w:pStyle w:val="Akapitzlist"/>
        <w:numPr>
          <w:ilvl w:val="0"/>
          <w:numId w:val="1"/>
        </w:numPr>
      </w:pPr>
      <w:r w:rsidRPr="005822E3">
        <w:t>Prognoza dotycząca wielkości zasobów mieszkaniowych.</w:t>
      </w:r>
    </w:p>
    <w:p w:rsidR="005822E3" w:rsidRPr="005822E3" w:rsidRDefault="005822E3" w:rsidP="005822E3">
      <w:pPr>
        <w:pStyle w:val="Akapitzlist"/>
        <w:jc w:val="both"/>
      </w:pPr>
      <w:r w:rsidRPr="005822E3">
        <w:t xml:space="preserve">Zasób mieszkaniowy Gminy Czempiń stanowi obecnie 92 lokale mieszkalne, </w:t>
      </w:r>
      <w:r w:rsidRPr="005822E3">
        <w:br/>
        <w:t xml:space="preserve">o łącznej powierzchni 4.259,25 </w:t>
      </w:r>
      <w:proofErr w:type="spellStart"/>
      <w:r w:rsidRPr="005822E3">
        <w:t>m²</w:t>
      </w:r>
      <w:proofErr w:type="spellEnd"/>
      <w:r w:rsidRPr="005822E3">
        <w:t xml:space="preserve"> i 6 lokali socjalnych o powierzchni 172,5 </w:t>
      </w:r>
      <w:proofErr w:type="spellStart"/>
      <w:r w:rsidRPr="005822E3">
        <w:t>m²</w:t>
      </w:r>
      <w:proofErr w:type="spellEnd"/>
      <w:r w:rsidRPr="005822E3">
        <w:t xml:space="preserve">. </w:t>
      </w:r>
    </w:p>
    <w:tbl>
      <w:tblPr>
        <w:tblpPr w:leftFromText="141" w:rightFromText="141" w:bottomFromText="200"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826"/>
        <w:gridCol w:w="1134"/>
        <w:gridCol w:w="1134"/>
        <w:gridCol w:w="1134"/>
        <w:gridCol w:w="1134"/>
        <w:gridCol w:w="1275"/>
      </w:tblGrid>
      <w:tr w:rsidR="005822E3" w:rsidRPr="005822E3" w:rsidTr="005822E3">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Lp.</w:t>
            </w:r>
          </w:p>
        </w:tc>
        <w:tc>
          <w:tcPr>
            <w:tcW w:w="2826" w:type="dxa"/>
            <w:vMerge w:val="restart"/>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Treść</w:t>
            </w:r>
          </w:p>
        </w:tc>
        <w:tc>
          <w:tcPr>
            <w:tcW w:w="5811" w:type="dxa"/>
            <w:gridSpan w:val="5"/>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Lata</w:t>
            </w:r>
          </w:p>
        </w:tc>
      </w:tr>
      <w:tr w:rsidR="005822E3" w:rsidRPr="005822E3" w:rsidTr="005822E3">
        <w:tc>
          <w:tcPr>
            <w:tcW w:w="0" w:type="auto"/>
            <w:vMerge/>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rPr>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2022</w:t>
            </w:r>
          </w:p>
        </w:tc>
      </w:tr>
      <w:tr w:rsidR="005822E3" w:rsidRPr="005822E3" w:rsidTr="005822E3">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1.</w:t>
            </w:r>
          </w:p>
        </w:tc>
        <w:tc>
          <w:tcPr>
            <w:tcW w:w="2826"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Budynki mieszkalne</w:t>
            </w:r>
          </w:p>
          <w:p w:rsidR="005822E3" w:rsidRPr="005822E3" w:rsidRDefault="005822E3">
            <w:pPr>
              <w:spacing w:line="276" w:lineRule="auto"/>
              <w:jc w:val="center"/>
              <w:rPr>
                <w:lang w:eastAsia="en-US"/>
              </w:rPr>
            </w:pPr>
            <w:r w:rsidRPr="005822E3">
              <w:rPr>
                <w:lang w:eastAsia="en-US"/>
              </w:rPr>
              <w:t>w 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24</w:t>
            </w:r>
          </w:p>
        </w:tc>
      </w:tr>
      <w:tr w:rsidR="005822E3" w:rsidRPr="005822E3" w:rsidTr="005822E3">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w:t>
            </w:r>
          </w:p>
        </w:tc>
        <w:tc>
          <w:tcPr>
            <w:tcW w:w="2826"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Powierzchnia lokali</w:t>
            </w:r>
          </w:p>
          <w:p w:rsidR="005822E3" w:rsidRPr="005822E3" w:rsidRDefault="005822E3">
            <w:pPr>
              <w:spacing w:line="276" w:lineRule="auto"/>
              <w:jc w:val="center"/>
              <w:rPr>
                <w:lang w:eastAsia="en-US"/>
              </w:rPr>
            </w:pPr>
            <w:r w:rsidRPr="005822E3">
              <w:rPr>
                <w:lang w:eastAsia="en-US"/>
              </w:rPr>
              <w:t>mieszkalnych w m</w:t>
            </w:r>
            <w:r w:rsidRPr="005822E3">
              <w:rPr>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4.259,25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highlight w:val="yellow"/>
                <w:lang w:eastAsia="en-US"/>
              </w:rPr>
            </w:pPr>
            <w:r w:rsidRPr="005822E3">
              <w:rPr>
                <w:lang w:eastAsia="en-US"/>
              </w:rPr>
              <w:t>4.349,25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highlight w:val="yellow"/>
                <w:lang w:eastAsia="en-US"/>
              </w:rPr>
            </w:pPr>
            <w:r w:rsidRPr="005822E3">
              <w:rPr>
                <w:lang w:eastAsia="en-US"/>
              </w:rPr>
              <w:t>4.349,25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highlight w:val="yellow"/>
                <w:lang w:eastAsia="en-US"/>
              </w:rPr>
            </w:pPr>
            <w:r w:rsidRPr="005822E3">
              <w:rPr>
                <w:lang w:eastAsia="en-US"/>
              </w:rPr>
              <w:t>4.349,25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highlight w:val="yellow"/>
                <w:lang w:eastAsia="en-US"/>
              </w:rPr>
            </w:pPr>
            <w:r w:rsidRPr="005822E3">
              <w:rPr>
                <w:lang w:eastAsia="en-US"/>
              </w:rPr>
              <w:t>4.349,25</w:t>
            </w:r>
          </w:p>
        </w:tc>
      </w:tr>
      <w:tr w:rsidR="005822E3" w:rsidRPr="005822E3" w:rsidTr="005822E3">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3.</w:t>
            </w:r>
          </w:p>
        </w:tc>
        <w:tc>
          <w:tcPr>
            <w:tcW w:w="2826"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Powierzchnia lokali</w:t>
            </w:r>
          </w:p>
          <w:p w:rsidR="005822E3" w:rsidRPr="005822E3" w:rsidRDefault="005822E3">
            <w:pPr>
              <w:spacing w:line="276" w:lineRule="auto"/>
              <w:jc w:val="center"/>
              <w:rPr>
                <w:vertAlign w:val="superscript"/>
                <w:lang w:eastAsia="en-US"/>
              </w:rPr>
            </w:pPr>
            <w:r w:rsidRPr="005822E3">
              <w:rPr>
                <w:lang w:eastAsia="en-US"/>
              </w:rPr>
              <w:t>użytkowych w m</w:t>
            </w:r>
            <w:r w:rsidRPr="005822E3">
              <w:rPr>
                <w:vertAlign w:val="superscript"/>
                <w:lang w:eastAsia="en-US"/>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508,50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508,50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508,50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508,50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508,50</w:t>
            </w:r>
          </w:p>
        </w:tc>
      </w:tr>
      <w:tr w:rsidR="005822E3" w:rsidRPr="005822E3" w:rsidTr="005822E3">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4.</w:t>
            </w:r>
          </w:p>
        </w:tc>
        <w:tc>
          <w:tcPr>
            <w:tcW w:w="2826"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Ilość lokali</w:t>
            </w:r>
          </w:p>
          <w:p w:rsidR="005822E3" w:rsidRPr="005822E3" w:rsidRDefault="005822E3">
            <w:pPr>
              <w:spacing w:line="276" w:lineRule="auto"/>
              <w:jc w:val="center"/>
              <w:rPr>
                <w:lang w:eastAsia="en-US"/>
              </w:rPr>
            </w:pPr>
            <w:r w:rsidRPr="005822E3">
              <w:rPr>
                <w:lang w:eastAsia="en-US"/>
              </w:rPr>
              <w:t>mieszkalnych</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102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103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103</w:t>
            </w:r>
          </w:p>
        </w:tc>
      </w:tr>
    </w:tbl>
    <w:p w:rsidR="005822E3" w:rsidRPr="005822E3" w:rsidRDefault="005822E3" w:rsidP="005822E3"/>
    <w:p w:rsidR="005822E3" w:rsidRPr="005822E3" w:rsidRDefault="005822E3" w:rsidP="005822E3">
      <w:pPr>
        <w:pStyle w:val="Akapitzlist"/>
      </w:pPr>
    </w:p>
    <w:p w:rsidR="005822E3" w:rsidRPr="005822E3" w:rsidRDefault="005822E3" w:rsidP="005822E3">
      <w:pPr>
        <w:pStyle w:val="Akapitzlist"/>
        <w:numPr>
          <w:ilvl w:val="0"/>
          <w:numId w:val="1"/>
        </w:numPr>
      </w:pPr>
      <w:r w:rsidRPr="005822E3">
        <w:t xml:space="preserve">Zakładana wielkość zasobu mieszkaniowego gminy w latach 2018-2022 </w:t>
      </w:r>
    </w:p>
    <w:p w:rsidR="005822E3" w:rsidRPr="005822E3" w:rsidRDefault="005822E3" w:rsidP="005822E3">
      <w:pPr>
        <w:pStyle w:val="Akapitzlist"/>
      </w:pPr>
    </w:p>
    <w:tbl>
      <w:tblPr>
        <w:tblStyle w:val="Tabela-Siatka"/>
        <w:tblW w:w="0" w:type="auto"/>
        <w:tblLook w:val="04A0"/>
      </w:tblPr>
      <w:tblGrid>
        <w:gridCol w:w="3369"/>
        <w:gridCol w:w="1134"/>
        <w:gridCol w:w="1134"/>
        <w:gridCol w:w="1134"/>
        <w:gridCol w:w="1149"/>
        <w:gridCol w:w="1292"/>
      </w:tblGrid>
      <w:tr w:rsidR="005822E3" w:rsidRPr="005822E3" w:rsidTr="005822E3">
        <w:tc>
          <w:tcPr>
            <w:tcW w:w="3369" w:type="dxa"/>
            <w:tcBorders>
              <w:top w:val="single" w:sz="4" w:space="0" w:color="auto"/>
              <w:left w:val="single" w:sz="4" w:space="0" w:color="auto"/>
              <w:bottom w:val="single" w:sz="4" w:space="0" w:color="auto"/>
              <w:right w:val="single" w:sz="4" w:space="0" w:color="auto"/>
            </w:tcBorders>
          </w:tcPr>
          <w:p w:rsidR="005822E3" w:rsidRPr="005822E3" w:rsidRDefault="005822E3">
            <w:pPr>
              <w:jc w:val="center"/>
              <w:rPr>
                <w:sz w:val="24"/>
                <w:szCs w:val="24"/>
                <w:lang w:eastAsia="en-US"/>
              </w:rPr>
            </w:pPr>
          </w:p>
          <w:p w:rsidR="005822E3" w:rsidRPr="005822E3" w:rsidRDefault="005822E3">
            <w:pPr>
              <w:jc w:val="center"/>
              <w:rPr>
                <w:sz w:val="24"/>
                <w:szCs w:val="24"/>
                <w:lang w:eastAsia="en-US"/>
              </w:rPr>
            </w:pPr>
            <w:r w:rsidRPr="005822E3">
              <w:rPr>
                <w:sz w:val="24"/>
                <w:szCs w:val="24"/>
                <w:lang w:eastAsia="en-US"/>
              </w:rPr>
              <w:t>Rok</w:t>
            </w:r>
          </w:p>
        </w:tc>
        <w:tc>
          <w:tcPr>
            <w:tcW w:w="1134" w:type="dxa"/>
            <w:tcBorders>
              <w:top w:val="single" w:sz="4" w:space="0" w:color="auto"/>
              <w:left w:val="single" w:sz="4" w:space="0" w:color="auto"/>
              <w:bottom w:val="single" w:sz="4" w:space="0" w:color="auto"/>
              <w:right w:val="single" w:sz="4" w:space="0" w:color="auto"/>
            </w:tcBorders>
          </w:tcPr>
          <w:p w:rsidR="005822E3" w:rsidRPr="005822E3" w:rsidRDefault="005822E3">
            <w:pPr>
              <w:jc w:val="center"/>
              <w:rPr>
                <w:sz w:val="24"/>
                <w:szCs w:val="24"/>
                <w:lang w:eastAsia="en-US"/>
              </w:rPr>
            </w:pPr>
          </w:p>
          <w:p w:rsidR="005822E3" w:rsidRPr="005822E3" w:rsidRDefault="005822E3">
            <w:pPr>
              <w:jc w:val="center"/>
              <w:rPr>
                <w:sz w:val="24"/>
                <w:szCs w:val="24"/>
                <w:lang w:eastAsia="en-US"/>
              </w:rPr>
            </w:pPr>
            <w:r w:rsidRPr="005822E3">
              <w:rPr>
                <w:sz w:val="24"/>
                <w:szCs w:val="24"/>
                <w:lang w:eastAsia="en-US"/>
              </w:rPr>
              <w:t>2018</w:t>
            </w:r>
          </w:p>
        </w:tc>
        <w:tc>
          <w:tcPr>
            <w:tcW w:w="1134" w:type="dxa"/>
            <w:tcBorders>
              <w:top w:val="single" w:sz="4" w:space="0" w:color="auto"/>
              <w:left w:val="single" w:sz="4" w:space="0" w:color="auto"/>
              <w:bottom w:val="single" w:sz="4" w:space="0" w:color="auto"/>
              <w:right w:val="single" w:sz="4" w:space="0" w:color="auto"/>
            </w:tcBorders>
          </w:tcPr>
          <w:p w:rsidR="005822E3" w:rsidRPr="005822E3" w:rsidRDefault="005822E3">
            <w:pPr>
              <w:jc w:val="center"/>
              <w:rPr>
                <w:sz w:val="24"/>
                <w:szCs w:val="24"/>
                <w:lang w:eastAsia="en-US"/>
              </w:rPr>
            </w:pPr>
          </w:p>
          <w:p w:rsidR="005822E3" w:rsidRPr="005822E3" w:rsidRDefault="005822E3">
            <w:pPr>
              <w:jc w:val="center"/>
              <w:rPr>
                <w:sz w:val="24"/>
                <w:szCs w:val="24"/>
                <w:lang w:eastAsia="en-US"/>
              </w:rPr>
            </w:pPr>
            <w:r w:rsidRPr="005822E3">
              <w:rPr>
                <w:sz w:val="24"/>
                <w:szCs w:val="24"/>
                <w:lang w:eastAsia="en-US"/>
              </w:rPr>
              <w:t>2019</w:t>
            </w:r>
          </w:p>
        </w:tc>
        <w:tc>
          <w:tcPr>
            <w:tcW w:w="1134" w:type="dxa"/>
            <w:tcBorders>
              <w:top w:val="single" w:sz="4" w:space="0" w:color="auto"/>
              <w:left w:val="single" w:sz="4" w:space="0" w:color="auto"/>
              <w:bottom w:val="single" w:sz="4" w:space="0" w:color="auto"/>
              <w:right w:val="single" w:sz="4" w:space="0" w:color="auto"/>
            </w:tcBorders>
          </w:tcPr>
          <w:p w:rsidR="005822E3" w:rsidRPr="005822E3" w:rsidRDefault="005822E3">
            <w:pPr>
              <w:jc w:val="center"/>
              <w:rPr>
                <w:sz w:val="24"/>
                <w:szCs w:val="24"/>
                <w:lang w:eastAsia="en-US"/>
              </w:rPr>
            </w:pPr>
          </w:p>
          <w:p w:rsidR="005822E3" w:rsidRPr="005822E3" w:rsidRDefault="005822E3">
            <w:pPr>
              <w:jc w:val="center"/>
              <w:rPr>
                <w:sz w:val="24"/>
                <w:szCs w:val="24"/>
                <w:lang w:eastAsia="en-US"/>
              </w:rPr>
            </w:pPr>
            <w:r w:rsidRPr="005822E3">
              <w:rPr>
                <w:sz w:val="24"/>
                <w:szCs w:val="24"/>
                <w:lang w:eastAsia="en-US"/>
              </w:rPr>
              <w:t>2020</w:t>
            </w:r>
          </w:p>
        </w:tc>
        <w:tc>
          <w:tcPr>
            <w:tcW w:w="1149" w:type="dxa"/>
            <w:tcBorders>
              <w:top w:val="single" w:sz="4" w:space="0" w:color="auto"/>
              <w:left w:val="single" w:sz="4" w:space="0" w:color="auto"/>
              <w:bottom w:val="single" w:sz="4" w:space="0" w:color="auto"/>
              <w:right w:val="single" w:sz="4" w:space="0" w:color="auto"/>
            </w:tcBorders>
          </w:tcPr>
          <w:p w:rsidR="005822E3" w:rsidRPr="005822E3" w:rsidRDefault="005822E3">
            <w:pPr>
              <w:jc w:val="center"/>
              <w:rPr>
                <w:sz w:val="24"/>
                <w:szCs w:val="24"/>
                <w:lang w:eastAsia="en-US"/>
              </w:rPr>
            </w:pPr>
          </w:p>
          <w:p w:rsidR="005822E3" w:rsidRPr="005822E3" w:rsidRDefault="005822E3">
            <w:pPr>
              <w:jc w:val="center"/>
              <w:rPr>
                <w:sz w:val="24"/>
                <w:szCs w:val="24"/>
                <w:lang w:eastAsia="en-US"/>
              </w:rPr>
            </w:pPr>
            <w:r w:rsidRPr="005822E3">
              <w:rPr>
                <w:sz w:val="24"/>
                <w:szCs w:val="24"/>
                <w:lang w:eastAsia="en-US"/>
              </w:rPr>
              <w:t>2021</w:t>
            </w:r>
          </w:p>
        </w:tc>
        <w:tc>
          <w:tcPr>
            <w:tcW w:w="1292" w:type="dxa"/>
            <w:tcBorders>
              <w:top w:val="single" w:sz="4" w:space="0" w:color="auto"/>
              <w:left w:val="single" w:sz="4" w:space="0" w:color="auto"/>
              <w:bottom w:val="single" w:sz="4" w:space="0" w:color="auto"/>
              <w:right w:val="single" w:sz="4" w:space="0" w:color="auto"/>
            </w:tcBorders>
          </w:tcPr>
          <w:p w:rsidR="005822E3" w:rsidRPr="005822E3" w:rsidRDefault="005822E3">
            <w:pPr>
              <w:jc w:val="center"/>
              <w:rPr>
                <w:sz w:val="24"/>
                <w:szCs w:val="24"/>
                <w:lang w:eastAsia="en-US"/>
              </w:rPr>
            </w:pPr>
          </w:p>
          <w:p w:rsidR="005822E3" w:rsidRPr="005822E3" w:rsidRDefault="005822E3">
            <w:pPr>
              <w:jc w:val="center"/>
              <w:rPr>
                <w:sz w:val="24"/>
                <w:szCs w:val="24"/>
                <w:lang w:eastAsia="en-US"/>
              </w:rPr>
            </w:pPr>
            <w:r w:rsidRPr="005822E3">
              <w:rPr>
                <w:sz w:val="24"/>
                <w:szCs w:val="24"/>
                <w:lang w:eastAsia="en-US"/>
              </w:rPr>
              <w:t>2022</w:t>
            </w:r>
          </w:p>
        </w:tc>
      </w:tr>
      <w:tr w:rsidR="005822E3" w:rsidRPr="005822E3" w:rsidTr="005822E3">
        <w:tc>
          <w:tcPr>
            <w:tcW w:w="3369" w:type="dxa"/>
            <w:tcBorders>
              <w:top w:val="single" w:sz="4" w:space="0" w:color="auto"/>
              <w:left w:val="single" w:sz="4" w:space="0" w:color="auto"/>
              <w:bottom w:val="single" w:sz="4" w:space="0" w:color="auto"/>
              <w:right w:val="single" w:sz="4" w:space="0" w:color="auto"/>
            </w:tcBorders>
          </w:tcPr>
          <w:p w:rsidR="005822E3" w:rsidRPr="005822E3" w:rsidRDefault="005822E3">
            <w:pPr>
              <w:jc w:val="center"/>
              <w:rPr>
                <w:sz w:val="24"/>
                <w:szCs w:val="24"/>
                <w:lang w:eastAsia="en-US"/>
              </w:rPr>
            </w:pPr>
          </w:p>
          <w:p w:rsidR="005822E3" w:rsidRPr="005822E3" w:rsidRDefault="005822E3">
            <w:pPr>
              <w:jc w:val="center"/>
              <w:rPr>
                <w:sz w:val="24"/>
                <w:szCs w:val="24"/>
                <w:lang w:eastAsia="en-US"/>
              </w:rPr>
            </w:pPr>
            <w:r w:rsidRPr="005822E3">
              <w:rPr>
                <w:sz w:val="24"/>
                <w:szCs w:val="24"/>
                <w:lang w:eastAsia="en-US"/>
              </w:rPr>
              <w:t>Liczba lokali mieszkalnych</w:t>
            </w:r>
          </w:p>
        </w:tc>
        <w:tc>
          <w:tcPr>
            <w:tcW w:w="1134"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92</w:t>
            </w:r>
          </w:p>
        </w:tc>
        <w:tc>
          <w:tcPr>
            <w:tcW w:w="1134"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102</w:t>
            </w:r>
          </w:p>
        </w:tc>
        <w:tc>
          <w:tcPr>
            <w:tcW w:w="1134"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103</w:t>
            </w:r>
          </w:p>
        </w:tc>
        <w:tc>
          <w:tcPr>
            <w:tcW w:w="1149"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103</w:t>
            </w:r>
          </w:p>
        </w:tc>
        <w:tc>
          <w:tcPr>
            <w:tcW w:w="1292"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103</w:t>
            </w:r>
          </w:p>
        </w:tc>
      </w:tr>
      <w:tr w:rsidR="005822E3" w:rsidRPr="005822E3" w:rsidTr="005822E3">
        <w:tc>
          <w:tcPr>
            <w:tcW w:w="3369" w:type="dxa"/>
            <w:tcBorders>
              <w:top w:val="single" w:sz="4" w:space="0" w:color="auto"/>
              <w:left w:val="single" w:sz="4" w:space="0" w:color="auto"/>
              <w:bottom w:val="single" w:sz="4" w:space="0" w:color="auto"/>
              <w:right w:val="single" w:sz="4" w:space="0" w:color="auto"/>
            </w:tcBorders>
          </w:tcPr>
          <w:p w:rsidR="005822E3" w:rsidRPr="005822E3" w:rsidRDefault="005822E3">
            <w:pPr>
              <w:jc w:val="center"/>
              <w:rPr>
                <w:sz w:val="24"/>
                <w:szCs w:val="24"/>
                <w:lang w:eastAsia="en-US"/>
              </w:rPr>
            </w:pPr>
          </w:p>
          <w:p w:rsidR="005822E3" w:rsidRPr="005822E3" w:rsidRDefault="005822E3">
            <w:pPr>
              <w:jc w:val="center"/>
              <w:rPr>
                <w:sz w:val="24"/>
                <w:szCs w:val="24"/>
                <w:lang w:eastAsia="en-US"/>
              </w:rPr>
            </w:pPr>
            <w:r w:rsidRPr="005822E3">
              <w:rPr>
                <w:sz w:val="24"/>
                <w:szCs w:val="24"/>
                <w:lang w:eastAsia="en-US"/>
              </w:rPr>
              <w:t>Liczba lokali socjalnych</w:t>
            </w:r>
          </w:p>
        </w:tc>
        <w:tc>
          <w:tcPr>
            <w:tcW w:w="1134"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6</w:t>
            </w:r>
          </w:p>
        </w:tc>
        <w:tc>
          <w:tcPr>
            <w:tcW w:w="1149"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6</w:t>
            </w:r>
          </w:p>
        </w:tc>
        <w:tc>
          <w:tcPr>
            <w:tcW w:w="1292"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6</w:t>
            </w:r>
          </w:p>
        </w:tc>
      </w:tr>
    </w:tbl>
    <w:p w:rsidR="005822E3" w:rsidRPr="005822E3" w:rsidRDefault="005822E3" w:rsidP="005822E3"/>
    <w:p w:rsidR="005822E3" w:rsidRPr="005822E3" w:rsidRDefault="005822E3" w:rsidP="005822E3">
      <w:pPr>
        <w:ind w:left="709"/>
        <w:jc w:val="both"/>
      </w:pPr>
      <w:r w:rsidRPr="005822E3">
        <w:t xml:space="preserve">Wielkość zasobu mieszkaniowego w latach 2018-2022 będzie ulegać zwiększeniu </w:t>
      </w:r>
      <w:r w:rsidRPr="005822E3">
        <w:br/>
        <w:t xml:space="preserve">poprzez planowane przejecie budynku i adaptację opuszczonych pomieszczeń na lokale mieszkalne. Jednocześnie prowadzone będą działania zmierzające do podziału „dużych” lokali na mniejsze. W roku 2019 planowane jest przejecie i adaptacja pustych pomieszczeń na lokale mieszkalne. Ponadto w roku 2020 planowany jest podział „dużego” lokalu mieszkalnego na mniejsze lokale.  </w:t>
      </w:r>
    </w:p>
    <w:p w:rsidR="005822E3" w:rsidRPr="005822E3" w:rsidRDefault="005822E3" w:rsidP="005822E3">
      <w:pPr>
        <w:ind w:left="709"/>
        <w:jc w:val="both"/>
      </w:pPr>
    </w:p>
    <w:p w:rsidR="005822E3" w:rsidRPr="005822E3" w:rsidRDefault="005822E3" w:rsidP="005822E3">
      <w:pPr>
        <w:pStyle w:val="Akapitzlist"/>
        <w:numPr>
          <w:ilvl w:val="0"/>
          <w:numId w:val="1"/>
        </w:numPr>
      </w:pPr>
      <w:r w:rsidRPr="005822E3">
        <w:t>Ocena aktualnego stanu technicznego zasobu mieszkaniowego.</w:t>
      </w:r>
    </w:p>
    <w:p w:rsidR="005822E3" w:rsidRPr="005822E3" w:rsidRDefault="005822E3" w:rsidP="005822E3">
      <w:pPr>
        <w:ind w:left="709"/>
        <w:jc w:val="both"/>
      </w:pPr>
      <w:r w:rsidRPr="005822E3">
        <w:t>Gmina odpowiedzialna jest za 23 budynki mieszkalne. Budynki mieszkalne posiadają 98 lokali mieszkalnych o łącznej powierzchni 4.431,75 m</w:t>
      </w:r>
      <w:r w:rsidRPr="005822E3">
        <w:rPr>
          <w:vertAlign w:val="superscript"/>
        </w:rPr>
        <w:t>2</w:t>
      </w:r>
      <w:r w:rsidRPr="005822E3">
        <w:t xml:space="preserve">, w tym sześć z nich to </w:t>
      </w:r>
      <w:r w:rsidRPr="005822E3">
        <w:lastRenderedPageBreak/>
        <w:t xml:space="preserve">lokale socjalne. Większość budynków została wybudowana przed rokiem 1945 i jest wyeksploatowana. Substancja mieszkaniowego zasobu gminy wymaga systematycznych remontów. Celem Gminy Czempiń jest sukcesywna poprawa stanu technicznego budynków oraz wzrost liczby lokali mieszkalnych, które zmniejsza liczbę osób oczekujących na przydział lokalu komunalnego.   </w:t>
      </w:r>
    </w:p>
    <w:p w:rsidR="005822E3" w:rsidRPr="005822E3" w:rsidRDefault="005822E3" w:rsidP="005822E3">
      <w:pPr>
        <w:ind w:left="709"/>
        <w:jc w:val="both"/>
      </w:pPr>
    </w:p>
    <w:p w:rsidR="005822E3" w:rsidRPr="005822E3" w:rsidRDefault="005822E3" w:rsidP="005822E3">
      <w:pPr>
        <w:pStyle w:val="Akapitzlist"/>
        <w:numPr>
          <w:ilvl w:val="0"/>
          <w:numId w:val="1"/>
        </w:numPr>
        <w:jc w:val="both"/>
      </w:pPr>
      <w:r w:rsidRPr="005822E3">
        <w:t>Prognoza dotycząca stanu technicznego zasobu mieszkaniowego gminy.</w:t>
      </w:r>
    </w:p>
    <w:p w:rsidR="005822E3" w:rsidRPr="005822E3" w:rsidRDefault="005822E3" w:rsidP="005822E3">
      <w:pPr>
        <w:ind w:left="709"/>
        <w:jc w:val="both"/>
      </w:pPr>
      <w:r w:rsidRPr="005822E3">
        <w:t xml:space="preserve">W latach 2018 - 2022 przewiduje się poprawę stanu technicznego budynków. </w:t>
      </w:r>
      <w:r w:rsidRPr="005822E3">
        <w:br/>
        <w:t xml:space="preserve">W zależności od potrzeb realizowany będzie różny zakres bieżących remontów. Zmiana istniejącego stanu technicznego zasobu mieszkaniowego może nastąpić wyłącznie poprzez zaangażowanie nakładów finansowych na jego poprawę, zarówno własnych jak i zewnętrznych, pozyskanych np. w ramach Programów Operacyjnych Unii Europejskiej, szczególnie w ramach Regionalnego Programu Operacyjnego dla Województwa Wielkopolskiego. </w:t>
      </w:r>
    </w:p>
    <w:p w:rsidR="005822E3" w:rsidRPr="005822E3" w:rsidRDefault="005822E3" w:rsidP="005822E3">
      <w:pPr>
        <w:ind w:left="709"/>
        <w:jc w:val="both"/>
      </w:pPr>
      <w:r w:rsidRPr="005822E3">
        <w:t xml:space="preserve">Polityka mieszkaniowa Gminy Czempiń w latach 2018-2022 prowadzona będzie </w:t>
      </w:r>
      <w:r w:rsidRPr="005822E3">
        <w:br/>
        <w:t xml:space="preserve">w sposób zapewniający poprawę stanu technicznego zasobu mieszkaniowego. Remontom i modernizacji poddane zostaną dachy, elewacje, instalacje techniczne </w:t>
      </w:r>
      <w:r w:rsidRPr="005822E3">
        <w:br/>
        <w:t xml:space="preserve">i wnętrza budynków. </w:t>
      </w:r>
    </w:p>
    <w:p w:rsidR="005822E3" w:rsidRPr="005822E3" w:rsidRDefault="005822E3" w:rsidP="005822E3">
      <w:pPr>
        <w:jc w:val="both"/>
      </w:pPr>
    </w:p>
    <w:p w:rsidR="005822E3" w:rsidRPr="005822E3" w:rsidRDefault="005822E3" w:rsidP="005822E3">
      <w:pPr>
        <w:jc w:val="both"/>
        <w:rPr>
          <w:b/>
        </w:rPr>
      </w:pPr>
      <w:r w:rsidRPr="005822E3">
        <w:rPr>
          <w:b/>
        </w:rPr>
        <w:t>II. Analiza potrzeb oraz plan remontów i modernizacji wynikający ze stanu technicznego budynków i lokali, z podziałem na lata 2018 - 2022.</w:t>
      </w:r>
    </w:p>
    <w:p w:rsidR="005822E3" w:rsidRPr="005822E3" w:rsidRDefault="005822E3" w:rsidP="005822E3">
      <w:pPr>
        <w:jc w:val="both"/>
        <w:rPr>
          <w:b/>
        </w:rPr>
      </w:pPr>
    </w:p>
    <w:p w:rsidR="005822E3" w:rsidRPr="005822E3" w:rsidRDefault="005822E3" w:rsidP="005822E3">
      <w:pPr>
        <w:ind w:left="709"/>
        <w:jc w:val="both"/>
      </w:pPr>
      <w:r w:rsidRPr="005822E3">
        <w:t>Prowadzenie prac remontowych i modernizacyjnych wynika z oceny stanu technicznego zasobu mieszkaniowego, która dokonywana jest w oparciu o okresowe przeglądy sprawdzenia stanu technicznego, zgodnie z ustawą z dnia 7 lipca 1994 r. Prawo budowlane (</w:t>
      </w:r>
      <w:proofErr w:type="spellStart"/>
      <w:r w:rsidRPr="005822E3">
        <w:t>j.t</w:t>
      </w:r>
      <w:proofErr w:type="spellEnd"/>
      <w:r w:rsidRPr="005822E3">
        <w:t xml:space="preserve">. Dz. U. z 2017 r., poz. 1332 z </w:t>
      </w:r>
      <w:proofErr w:type="spellStart"/>
      <w:r w:rsidRPr="005822E3">
        <w:t>późn</w:t>
      </w:r>
      <w:proofErr w:type="spellEnd"/>
      <w:r w:rsidRPr="005822E3">
        <w:t>. zm.).</w:t>
      </w:r>
    </w:p>
    <w:p w:rsidR="005822E3" w:rsidRPr="005822E3" w:rsidRDefault="005822E3" w:rsidP="005822E3">
      <w:pPr>
        <w:ind w:left="709"/>
        <w:jc w:val="both"/>
      </w:pPr>
      <w:r w:rsidRPr="005822E3">
        <w:t xml:space="preserve">Przedsiębiorstwo Gospodarki Komunalnej w Czempiniu, </w:t>
      </w:r>
      <w:proofErr w:type="spellStart"/>
      <w:r w:rsidRPr="005822E3">
        <w:t>sp</w:t>
      </w:r>
      <w:proofErr w:type="spellEnd"/>
      <w:r w:rsidRPr="005822E3">
        <w:t xml:space="preserve">. z o.o., zarządzający zasobem mieszkaniowym Gminy Czempiń, sporządza corocznie plan remontów </w:t>
      </w:r>
      <w:r w:rsidRPr="005822E3">
        <w:br/>
        <w:t xml:space="preserve">i modernizacji budynków i lokali, w oparciu o protokoły kontroli stanu technicznego jak i wnioski najemców, przy jednoczesnym uwzględnieniu wpływów z czynszów. </w:t>
      </w:r>
    </w:p>
    <w:p w:rsidR="005822E3" w:rsidRPr="005822E3" w:rsidRDefault="005822E3" w:rsidP="005822E3">
      <w:pPr>
        <w:ind w:left="709"/>
        <w:jc w:val="both"/>
      </w:pPr>
    </w:p>
    <w:p w:rsidR="005822E3" w:rsidRPr="005822E3" w:rsidRDefault="005822E3" w:rsidP="005822E3">
      <w:pPr>
        <w:jc w:val="both"/>
      </w:pPr>
      <w:r w:rsidRPr="005822E3">
        <w:t>Plan remontów</w:t>
      </w:r>
    </w:p>
    <w:p w:rsidR="005822E3" w:rsidRPr="005822E3" w:rsidRDefault="005822E3" w:rsidP="005822E3">
      <w:pPr>
        <w:jc w:val="both"/>
      </w:pPr>
    </w:p>
    <w:tbl>
      <w:tblPr>
        <w:tblStyle w:val="Tabela-Siatka"/>
        <w:tblW w:w="0" w:type="auto"/>
        <w:tblLook w:val="04A0"/>
      </w:tblPr>
      <w:tblGrid>
        <w:gridCol w:w="1311"/>
        <w:gridCol w:w="2908"/>
        <w:gridCol w:w="1085"/>
        <w:gridCol w:w="996"/>
        <w:gridCol w:w="996"/>
        <w:gridCol w:w="996"/>
        <w:gridCol w:w="996"/>
      </w:tblGrid>
      <w:tr w:rsidR="005822E3" w:rsidRPr="005822E3" w:rsidTr="005822E3">
        <w:tc>
          <w:tcPr>
            <w:tcW w:w="1311"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Rodzaj lokalu</w:t>
            </w:r>
          </w:p>
        </w:tc>
        <w:tc>
          <w:tcPr>
            <w:tcW w:w="2908"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Rodzaj remontu</w:t>
            </w:r>
          </w:p>
        </w:tc>
        <w:tc>
          <w:tcPr>
            <w:tcW w:w="1085"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2018</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2019</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2020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2021</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2022</w:t>
            </w:r>
          </w:p>
        </w:tc>
      </w:tr>
      <w:tr w:rsidR="005822E3" w:rsidRPr="005822E3" w:rsidTr="005822E3">
        <w:tc>
          <w:tcPr>
            <w:tcW w:w="1311" w:type="dxa"/>
            <w:vMerge w:val="restart"/>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Lokale mieszkalne i socjalne</w:t>
            </w:r>
          </w:p>
        </w:tc>
        <w:tc>
          <w:tcPr>
            <w:tcW w:w="2908"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Remonty w tym: dachy, elewacje, instalacje</w:t>
            </w:r>
          </w:p>
        </w:tc>
        <w:tc>
          <w:tcPr>
            <w:tcW w:w="1085"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102.000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105.000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108.000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111.200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114.500</w:t>
            </w:r>
          </w:p>
        </w:tc>
      </w:tr>
      <w:tr w:rsidR="005822E3" w:rsidRPr="005822E3" w:rsidTr="005822E3">
        <w:tc>
          <w:tcPr>
            <w:tcW w:w="0" w:type="auto"/>
            <w:vMerge/>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rPr>
                <w:sz w:val="24"/>
                <w:szCs w:val="24"/>
                <w:lang w:eastAsia="en-US"/>
              </w:rPr>
            </w:pPr>
          </w:p>
        </w:tc>
        <w:tc>
          <w:tcPr>
            <w:tcW w:w="2908"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 xml:space="preserve">Remonty bieżące w tym: roboty stolarskie, murarskie i konserwacyjne </w:t>
            </w:r>
          </w:p>
        </w:tc>
        <w:tc>
          <w:tcPr>
            <w:tcW w:w="1085"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21.000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21.600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22.200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22.800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23.500</w:t>
            </w:r>
          </w:p>
        </w:tc>
      </w:tr>
      <w:tr w:rsidR="005822E3" w:rsidRPr="005822E3" w:rsidTr="005822E3">
        <w:tc>
          <w:tcPr>
            <w:tcW w:w="4219" w:type="dxa"/>
            <w:gridSpan w:val="2"/>
            <w:tcBorders>
              <w:top w:val="single" w:sz="4" w:space="0" w:color="auto"/>
              <w:left w:val="single" w:sz="4" w:space="0" w:color="auto"/>
              <w:bottom w:val="single" w:sz="4" w:space="0" w:color="auto"/>
              <w:right w:val="single" w:sz="4" w:space="0" w:color="auto"/>
            </w:tcBorders>
            <w:hideMark/>
          </w:tcPr>
          <w:p w:rsidR="005822E3" w:rsidRPr="005822E3" w:rsidRDefault="005822E3">
            <w:pPr>
              <w:jc w:val="right"/>
              <w:rPr>
                <w:b/>
                <w:color w:val="000000" w:themeColor="text1"/>
                <w:sz w:val="24"/>
                <w:szCs w:val="24"/>
                <w:lang w:eastAsia="en-US"/>
              </w:rPr>
            </w:pPr>
            <w:r w:rsidRPr="005822E3">
              <w:rPr>
                <w:b/>
                <w:color w:val="000000" w:themeColor="text1"/>
                <w:sz w:val="24"/>
                <w:szCs w:val="24"/>
                <w:lang w:eastAsia="en-US"/>
              </w:rPr>
              <w:t>Razem:</w:t>
            </w:r>
          </w:p>
        </w:tc>
        <w:tc>
          <w:tcPr>
            <w:tcW w:w="1085"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b/>
                <w:color w:val="000000" w:themeColor="text1"/>
                <w:sz w:val="24"/>
                <w:szCs w:val="24"/>
                <w:lang w:eastAsia="en-US"/>
              </w:rPr>
            </w:pPr>
            <w:r w:rsidRPr="005822E3">
              <w:rPr>
                <w:b/>
                <w:color w:val="000000" w:themeColor="text1"/>
                <w:sz w:val="24"/>
                <w:szCs w:val="24"/>
                <w:lang w:eastAsia="en-US"/>
              </w:rPr>
              <w:t>123.000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b/>
                <w:color w:val="000000" w:themeColor="text1"/>
                <w:sz w:val="24"/>
                <w:szCs w:val="24"/>
                <w:lang w:eastAsia="en-US"/>
              </w:rPr>
            </w:pPr>
            <w:r w:rsidRPr="005822E3">
              <w:rPr>
                <w:b/>
                <w:color w:val="000000" w:themeColor="text1"/>
                <w:sz w:val="24"/>
                <w:szCs w:val="24"/>
                <w:lang w:eastAsia="en-US"/>
              </w:rPr>
              <w:t>126.600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b/>
                <w:color w:val="000000" w:themeColor="text1"/>
                <w:sz w:val="24"/>
                <w:szCs w:val="24"/>
                <w:lang w:eastAsia="en-US"/>
              </w:rPr>
            </w:pPr>
            <w:r w:rsidRPr="005822E3">
              <w:rPr>
                <w:b/>
                <w:color w:val="000000" w:themeColor="text1"/>
                <w:sz w:val="24"/>
                <w:szCs w:val="24"/>
                <w:lang w:eastAsia="en-US"/>
              </w:rPr>
              <w:t>130.200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b/>
                <w:color w:val="000000" w:themeColor="text1"/>
                <w:sz w:val="24"/>
                <w:szCs w:val="24"/>
                <w:lang w:eastAsia="en-US"/>
              </w:rPr>
            </w:pPr>
            <w:r w:rsidRPr="005822E3">
              <w:rPr>
                <w:b/>
                <w:color w:val="000000" w:themeColor="text1"/>
                <w:sz w:val="24"/>
                <w:szCs w:val="24"/>
                <w:lang w:eastAsia="en-US"/>
              </w:rPr>
              <w:t>134.000</w:t>
            </w:r>
          </w:p>
        </w:tc>
        <w:tc>
          <w:tcPr>
            <w:tcW w:w="99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b/>
                <w:color w:val="000000" w:themeColor="text1"/>
                <w:sz w:val="24"/>
                <w:szCs w:val="24"/>
                <w:lang w:eastAsia="en-US"/>
              </w:rPr>
            </w:pPr>
            <w:r w:rsidRPr="005822E3">
              <w:rPr>
                <w:b/>
                <w:color w:val="000000" w:themeColor="text1"/>
                <w:sz w:val="24"/>
                <w:szCs w:val="24"/>
                <w:lang w:eastAsia="en-US"/>
              </w:rPr>
              <w:t>138.000</w:t>
            </w:r>
          </w:p>
        </w:tc>
      </w:tr>
    </w:tbl>
    <w:p w:rsidR="005822E3" w:rsidRPr="005822E3" w:rsidRDefault="005822E3" w:rsidP="005822E3"/>
    <w:p w:rsidR="005822E3" w:rsidRPr="005822E3" w:rsidRDefault="005822E3" w:rsidP="005822E3">
      <w:pPr>
        <w:ind w:left="709"/>
        <w:jc w:val="both"/>
      </w:pPr>
      <w:r w:rsidRPr="005822E3">
        <w:t xml:space="preserve">Pozostałe potrzeby konserwacyjne wykonywane będą w ramach remontów bieżących. </w:t>
      </w:r>
    </w:p>
    <w:p w:rsidR="005822E3" w:rsidRPr="005822E3" w:rsidRDefault="005822E3" w:rsidP="005822E3">
      <w:pPr>
        <w:ind w:left="709"/>
        <w:jc w:val="both"/>
      </w:pPr>
      <w:r w:rsidRPr="005822E3">
        <w:t xml:space="preserve">Na wysokość i kolejność wydatkowanych środków finansowych na remonty </w:t>
      </w:r>
      <w:r w:rsidRPr="005822E3">
        <w:br/>
        <w:t xml:space="preserve">i techniczne utrzymanie zasobu mają wpływ uchwały remontowe wspólnot mieszkaniowych.  </w:t>
      </w:r>
    </w:p>
    <w:p w:rsidR="005822E3" w:rsidRPr="005822E3" w:rsidRDefault="005822E3" w:rsidP="005822E3">
      <w:pPr>
        <w:jc w:val="both"/>
      </w:pPr>
    </w:p>
    <w:p w:rsidR="005822E3" w:rsidRPr="005822E3" w:rsidRDefault="005822E3" w:rsidP="005822E3">
      <w:pPr>
        <w:jc w:val="both"/>
        <w:rPr>
          <w:b/>
        </w:rPr>
      </w:pPr>
      <w:r w:rsidRPr="005822E3">
        <w:rPr>
          <w:b/>
        </w:rPr>
        <w:t>III. Planowana sprzedaż lokali w latach 2018 - 2022.</w:t>
      </w:r>
    </w:p>
    <w:p w:rsidR="005822E3" w:rsidRPr="005822E3" w:rsidRDefault="005822E3" w:rsidP="005822E3">
      <w:pPr>
        <w:jc w:val="both"/>
        <w:rPr>
          <w:b/>
        </w:rPr>
      </w:pPr>
    </w:p>
    <w:p w:rsidR="005822E3" w:rsidRPr="005822E3" w:rsidRDefault="005822E3" w:rsidP="005822E3">
      <w:pPr>
        <w:ind w:left="709"/>
        <w:jc w:val="both"/>
      </w:pPr>
      <w:r w:rsidRPr="005822E3">
        <w:lastRenderedPageBreak/>
        <w:t xml:space="preserve">W latach 2018 - 2022 gmina przewiduje sprzedaż na rzecz najemców, lokali mieszkalnych znajdujących się we wspólnotach mieszkaniowych, w szczególności tych, w których udział Gminy jest mniejszościowy. Zasady sprzedaży lokali mieszkalnych na rzecz najemców reguluje odrębna uchwała. Lokali socjalnych nie przeznacza się do sprzedaży. W Gminie Czempiń obserwuje się wysokie zapotrzebowanie na lokale mieszkaniowe. Rosnąca lista osób oczekujących na przydział lokalu komunalnego stale rośnie, co powoduje ograniczenie sprzedaży lokali mieszkalnych do minimum. </w:t>
      </w:r>
    </w:p>
    <w:p w:rsidR="005822E3" w:rsidRPr="005822E3" w:rsidRDefault="005822E3" w:rsidP="005822E3">
      <w:pPr>
        <w:ind w:left="709"/>
        <w:jc w:val="both"/>
      </w:pPr>
    </w:p>
    <w:p w:rsidR="005822E3" w:rsidRPr="005822E3" w:rsidRDefault="005822E3" w:rsidP="005822E3">
      <w:pPr>
        <w:ind w:left="709"/>
        <w:jc w:val="both"/>
      </w:pPr>
    </w:p>
    <w:p w:rsidR="005822E3" w:rsidRPr="005822E3" w:rsidRDefault="005822E3" w:rsidP="005822E3">
      <w:pPr>
        <w:jc w:val="both"/>
        <w:rPr>
          <w:b/>
        </w:rPr>
      </w:pPr>
      <w:r w:rsidRPr="005822E3">
        <w:rPr>
          <w:b/>
        </w:rPr>
        <w:t>IV. Zasady polityki czynszowej.</w:t>
      </w:r>
    </w:p>
    <w:p w:rsidR="005822E3" w:rsidRPr="005822E3" w:rsidRDefault="005822E3" w:rsidP="005822E3">
      <w:pPr>
        <w:jc w:val="both"/>
        <w:rPr>
          <w:b/>
        </w:rPr>
      </w:pPr>
    </w:p>
    <w:p w:rsidR="005822E3" w:rsidRPr="005822E3" w:rsidRDefault="005822E3" w:rsidP="005822E3">
      <w:pPr>
        <w:pStyle w:val="Akapitzlist"/>
        <w:numPr>
          <w:ilvl w:val="0"/>
          <w:numId w:val="2"/>
        </w:numPr>
        <w:jc w:val="both"/>
      </w:pPr>
      <w:r w:rsidRPr="005822E3">
        <w:t xml:space="preserve">Zgodnie z ustawą z dnia 21 czerwca 2001 r. o ochronie praw lokatorów, mieszkaniowym zasobie gminy i o zmianie Kodeksu cywilnego stawki czynszu za </w:t>
      </w:r>
      <w:r w:rsidRPr="005822E3">
        <w:br/>
        <w:t>1 m</w:t>
      </w:r>
      <w:r w:rsidRPr="005822E3">
        <w:rPr>
          <w:vertAlign w:val="superscript"/>
        </w:rPr>
        <w:t>2</w:t>
      </w:r>
      <w:r w:rsidRPr="005822E3">
        <w:t xml:space="preserve"> powierzchni użytkowej lokali z uwzględnieniem czynników podwyższających ich wartość użytkową, a w szczególności:</w:t>
      </w:r>
    </w:p>
    <w:p w:rsidR="005822E3" w:rsidRPr="005822E3" w:rsidRDefault="005822E3" w:rsidP="005822E3">
      <w:pPr>
        <w:pStyle w:val="Akapitzlist"/>
        <w:numPr>
          <w:ilvl w:val="1"/>
          <w:numId w:val="3"/>
        </w:numPr>
        <w:jc w:val="both"/>
      </w:pPr>
      <w:r w:rsidRPr="005822E3">
        <w:t>położenie budynku w mieście lub na terenach wiejskich</w:t>
      </w:r>
    </w:p>
    <w:p w:rsidR="005822E3" w:rsidRPr="005822E3" w:rsidRDefault="005822E3" w:rsidP="005822E3">
      <w:pPr>
        <w:pStyle w:val="Akapitzlist"/>
        <w:numPr>
          <w:ilvl w:val="1"/>
          <w:numId w:val="3"/>
        </w:numPr>
        <w:jc w:val="both"/>
      </w:pPr>
      <w:r w:rsidRPr="005822E3">
        <w:t>położenie lokali w budynku, np. kondygnacja - poddasze</w:t>
      </w:r>
    </w:p>
    <w:p w:rsidR="005822E3" w:rsidRPr="005822E3" w:rsidRDefault="005822E3" w:rsidP="005822E3">
      <w:pPr>
        <w:pStyle w:val="Akapitzlist"/>
        <w:numPr>
          <w:ilvl w:val="1"/>
          <w:numId w:val="3"/>
        </w:numPr>
        <w:jc w:val="both"/>
      </w:pPr>
      <w:r w:rsidRPr="005822E3">
        <w:t>wyposażenie budynku i lokali w urządzenia techniczne i instalacyjne:</w:t>
      </w:r>
    </w:p>
    <w:p w:rsidR="005822E3" w:rsidRPr="005822E3" w:rsidRDefault="005822E3" w:rsidP="005822E3">
      <w:pPr>
        <w:pStyle w:val="Akapitzlist"/>
        <w:jc w:val="both"/>
      </w:pPr>
      <w:r w:rsidRPr="005822E3">
        <w:t>- mieszkanie z urządzeniami wodociągowymi</w:t>
      </w:r>
    </w:p>
    <w:p w:rsidR="005822E3" w:rsidRPr="005822E3" w:rsidRDefault="005822E3" w:rsidP="005822E3">
      <w:pPr>
        <w:pStyle w:val="Akapitzlist"/>
        <w:jc w:val="both"/>
      </w:pPr>
      <w:r w:rsidRPr="005822E3">
        <w:t>- mieszkanie z urządzeniami kanalizacyjnymi</w:t>
      </w:r>
    </w:p>
    <w:p w:rsidR="005822E3" w:rsidRPr="005822E3" w:rsidRDefault="005822E3" w:rsidP="005822E3">
      <w:pPr>
        <w:pStyle w:val="Akapitzlist"/>
        <w:jc w:val="both"/>
      </w:pPr>
      <w:r w:rsidRPr="005822E3">
        <w:t>- mieszkanie z w.c.</w:t>
      </w:r>
    </w:p>
    <w:p w:rsidR="005822E3" w:rsidRPr="005822E3" w:rsidRDefault="005822E3" w:rsidP="005822E3">
      <w:pPr>
        <w:pStyle w:val="Akapitzlist"/>
        <w:jc w:val="both"/>
      </w:pPr>
      <w:r w:rsidRPr="005822E3">
        <w:t>- mieszkanie z łazienką</w:t>
      </w:r>
    </w:p>
    <w:p w:rsidR="005822E3" w:rsidRPr="005822E3" w:rsidRDefault="005822E3" w:rsidP="005822E3">
      <w:pPr>
        <w:pStyle w:val="Akapitzlist"/>
        <w:jc w:val="both"/>
      </w:pPr>
      <w:r w:rsidRPr="005822E3">
        <w:t xml:space="preserve">- mieszkanie z </w:t>
      </w:r>
      <w:proofErr w:type="spellStart"/>
      <w:r w:rsidRPr="005822E3">
        <w:t>c.o</w:t>
      </w:r>
      <w:proofErr w:type="spellEnd"/>
      <w:r w:rsidRPr="005822E3">
        <w:t>.</w:t>
      </w:r>
    </w:p>
    <w:p w:rsidR="005822E3" w:rsidRPr="005822E3" w:rsidRDefault="005822E3" w:rsidP="005822E3">
      <w:pPr>
        <w:pStyle w:val="Akapitzlist"/>
        <w:jc w:val="both"/>
      </w:pPr>
      <w:r w:rsidRPr="005822E3">
        <w:t xml:space="preserve">- mieszkanie z </w:t>
      </w:r>
      <w:proofErr w:type="spellStart"/>
      <w:r w:rsidRPr="005822E3">
        <w:t>c.w</w:t>
      </w:r>
      <w:proofErr w:type="spellEnd"/>
      <w:r w:rsidRPr="005822E3">
        <w:t>.</w:t>
      </w:r>
    </w:p>
    <w:p w:rsidR="005822E3" w:rsidRPr="005822E3" w:rsidRDefault="005822E3" w:rsidP="005822E3">
      <w:pPr>
        <w:pStyle w:val="Akapitzlist"/>
        <w:jc w:val="both"/>
      </w:pPr>
      <w:r w:rsidRPr="005822E3">
        <w:t>- mieszkanie z instalacją gazową</w:t>
      </w:r>
    </w:p>
    <w:p w:rsidR="005822E3" w:rsidRPr="005822E3" w:rsidRDefault="005822E3" w:rsidP="005822E3">
      <w:pPr>
        <w:pStyle w:val="Akapitzlist"/>
        <w:jc w:val="both"/>
      </w:pPr>
      <w:r w:rsidRPr="005822E3">
        <w:t>ustala Burmistrz Gminy Czempiń.</w:t>
      </w:r>
    </w:p>
    <w:p w:rsidR="005822E3" w:rsidRPr="005822E3" w:rsidRDefault="005822E3" w:rsidP="005822E3">
      <w:pPr>
        <w:pStyle w:val="Akapitzlist"/>
        <w:jc w:val="both"/>
      </w:pPr>
    </w:p>
    <w:p w:rsidR="005822E3" w:rsidRPr="005822E3" w:rsidRDefault="005822E3" w:rsidP="005822E3">
      <w:pPr>
        <w:pStyle w:val="Akapitzlist"/>
        <w:numPr>
          <w:ilvl w:val="0"/>
          <w:numId w:val="2"/>
        </w:numPr>
        <w:jc w:val="both"/>
      </w:pPr>
      <w:r w:rsidRPr="005822E3">
        <w:t>Stawka czynszu w miejscowości Czempiń, przy tym samym standardzie lokalu mieszkalnego, powinna być wyższa od stawki w pozostałych miejscowościach gminy.</w:t>
      </w:r>
    </w:p>
    <w:p w:rsidR="005822E3" w:rsidRPr="005822E3" w:rsidRDefault="005822E3" w:rsidP="005822E3">
      <w:pPr>
        <w:pStyle w:val="Akapitzlist"/>
        <w:jc w:val="both"/>
      </w:pPr>
    </w:p>
    <w:p w:rsidR="005822E3" w:rsidRPr="005822E3" w:rsidRDefault="005822E3" w:rsidP="005822E3">
      <w:pPr>
        <w:pStyle w:val="Akapitzlist"/>
        <w:numPr>
          <w:ilvl w:val="0"/>
          <w:numId w:val="2"/>
        </w:numPr>
        <w:jc w:val="both"/>
      </w:pPr>
      <w:r w:rsidRPr="005822E3">
        <w:t xml:space="preserve">Za lokale socjalne stawka czynszu nie może przekraczać połowy stawki najniższego czynszu, bez uwzględnienia czynnika obniżającego czynsz, obowiązującego </w:t>
      </w:r>
      <w:r w:rsidRPr="005822E3">
        <w:br/>
        <w:t>w gminnym zasobie mieszkaniowym.</w:t>
      </w:r>
    </w:p>
    <w:p w:rsidR="005822E3" w:rsidRPr="005822E3" w:rsidRDefault="005822E3" w:rsidP="005822E3">
      <w:pPr>
        <w:pStyle w:val="Akapitzlist"/>
        <w:jc w:val="both"/>
      </w:pPr>
    </w:p>
    <w:p w:rsidR="005822E3" w:rsidRPr="005822E3" w:rsidRDefault="005822E3" w:rsidP="005822E3">
      <w:pPr>
        <w:pStyle w:val="Akapitzlist"/>
        <w:numPr>
          <w:ilvl w:val="0"/>
          <w:numId w:val="2"/>
        </w:numPr>
        <w:jc w:val="both"/>
      </w:pPr>
      <w:r w:rsidRPr="005822E3">
        <w:t>Czynnikiem obniżającym czynsz jest:</w:t>
      </w:r>
    </w:p>
    <w:p w:rsidR="005822E3" w:rsidRPr="005822E3" w:rsidRDefault="005822E3" w:rsidP="005822E3">
      <w:pPr>
        <w:pStyle w:val="Akapitzlist"/>
        <w:jc w:val="both"/>
      </w:pPr>
      <w:r w:rsidRPr="005822E3">
        <w:t>- położenie mieszkania na poddaszu.</w:t>
      </w:r>
    </w:p>
    <w:p w:rsidR="005822E3" w:rsidRPr="005822E3" w:rsidRDefault="005822E3" w:rsidP="005822E3">
      <w:pPr>
        <w:jc w:val="both"/>
      </w:pPr>
    </w:p>
    <w:p w:rsidR="005822E3" w:rsidRPr="005822E3" w:rsidRDefault="005822E3" w:rsidP="005822E3">
      <w:pPr>
        <w:jc w:val="both"/>
      </w:pPr>
    </w:p>
    <w:p w:rsidR="005822E3" w:rsidRPr="005822E3" w:rsidRDefault="005822E3" w:rsidP="005822E3">
      <w:pPr>
        <w:jc w:val="both"/>
        <w:rPr>
          <w:b/>
        </w:rPr>
      </w:pPr>
      <w:r w:rsidRPr="005822E3">
        <w:rPr>
          <w:b/>
        </w:rPr>
        <w:t>V. Sposób i zasady zarządzania lokalami.</w:t>
      </w:r>
    </w:p>
    <w:p w:rsidR="005822E3" w:rsidRPr="005822E3" w:rsidRDefault="005822E3" w:rsidP="005822E3">
      <w:pPr>
        <w:jc w:val="both"/>
        <w:rPr>
          <w:b/>
        </w:rPr>
      </w:pPr>
    </w:p>
    <w:p w:rsidR="005822E3" w:rsidRPr="005822E3" w:rsidRDefault="005822E3" w:rsidP="005822E3">
      <w:pPr>
        <w:pStyle w:val="Akapitzlist"/>
        <w:numPr>
          <w:ilvl w:val="0"/>
          <w:numId w:val="4"/>
        </w:numPr>
        <w:ind w:left="709"/>
        <w:jc w:val="both"/>
      </w:pPr>
      <w:r w:rsidRPr="005822E3">
        <w:t xml:space="preserve">Czynności z zakresu zarządu mieszkaniowym zasobem gminy zostały powierzone przez Burmistrza Przedsiębiorstwu Gospodarki Komunalnej w Czempiniu </w:t>
      </w:r>
      <w:proofErr w:type="spellStart"/>
      <w:r w:rsidRPr="005822E3">
        <w:t>sp</w:t>
      </w:r>
      <w:proofErr w:type="spellEnd"/>
      <w:r w:rsidRPr="005822E3">
        <w:t>. z o.o.</w:t>
      </w:r>
    </w:p>
    <w:p w:rsidR="005822E3" w:rsidRPr="005822E3" w:rsidRDefault="005822E3" w:rsidP="005822E3">
      <w:pPr>
        <w:widowControl w:val="0"/>
        <w:suppressAutoHyphens/>
        <w:autoSpaceDE w:val="0"/>
        <w:ind w:left="720"/>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 xml:space="preserve">Uchwałą Nr </w:t>
      </w:r>
      <w:r w:rsidRPr="005822E3">
        <w:t xml:space="preserve">XXXV/257/16 </w:t>
      </w:r>
      <w:r w:rsidRPr="005822E3">
        <w:rPr>
          <w:rStyle w:val="FontStyle22"/>
          <w:rFonts w:ascii="Times New Roman" w:hAnsi="Times New Roman" w:cs="Times New Roman"/>
          <w:sz w:val="24"/>
          <w:szCs w:val="24"/>
        </w:rPr>
        <w:t xml:space="preserve">Rady Miejskiej w Czempiniu z dnia </w:t>
      </w:r>
      <w:r w:rsidRPr="005822E3">
        <w:t>21 listopada 2016 roku</w:t>
      </w:r>
      <w:r w:rsidRPr="005822E3">
        <w:rPr>
          <w:rStyle w:val="FontStyle22"/>
          <w:rFonts w:ascii="Times New Roman" w:hAnsi="Times New Roman" w:cs="Times New Roman"/>
          <w:sz w:val="24"/>
          <w:szCs w:val="24"/>
        </w:rPr>
        <w:t xml:space="preserve"> w sprawie </w:t>
      </w:r>
      <w:r w:rsidRPr="005822E3">
        <w:t xml:space="preserve">likwidacji i przekształcenia samorządowego zakładu budżetowego – Zakładu Gospodarki Komunalnej w Czempiniu w jednoosobową spółkę z ograniczoną odpowiedzialnością, </w:t>
      </w:r>
      <w:r w:rsidRPr="005822E3">
        <w:rPr>
          <w:rStyle w:val="FontStyle22"/>
          <w:rFonts w:ascii="Times New Roman" w:hAnsi="Times New Roman" w:cs="Times New Roman"/>
          <w:sz w:val="24"/>
          <w:szCs w:val="24"/>
        </w:rPr>
        <w:t>Gmina postanowiła o zawiązaniu Przedsiębiorstwa Gospodarki Komunalnej w Czempiniu Sp. z o.o. (akt założycielski repertorium A nr 3924/2017).</w:t>
      </w:r>
    </w:p>
    <w:p w:rsidR="005822E3" w:rsidRPr="005822E3" w:rsidRDefault="005822E3" w:rsidP="005822E3">
      <w:pPr>
        <w:widowControl w:val="0"/>
        <w:suppressAutoHyphens/>
        <w:autoSpaceDE w:val="0"/>
        <w:ind w:left="720"/>
        <w:jc w:val="both"/>
      </w:pPr>
      <w:r w:rsidRPr="005822E3">
        <w:rPr>
          <w:rStyle w:val="FontStyle22"/>
          <w:rFonts w:ascii="Times New Roman" w:hAnsi="Times New Roman" w:cs="Times New Roman"/>
          <w:sz w:val="24"/>
          <w:szCs w:val="24"/>
        </w:rPr>
        <w:t xml:space="preserve">Zgodnie z aktem założycielskim Spółka prowadzi działalność, której jednym </w:t>
      </w:r>
      <w:r w:rsidRPr="005822E3">
        <w:rPr>
          <w:rStyle w:val="FontStyle22"/>
          <w:rFonts w:ascii="Times New Roman" w:hAnsi="Times New Roman" w:cs="Times New Roman"/>
          <w:sz w:val="24"/>
          <w:szCs w:val="24"/>
        </w:rPr>
        <w:br/>
        <w:t xml:space="preserve">z podstawowych celów są działania związane z wykonywaniem zadania własnego </w:t>
      </w:r>
      <w:r w:rsidRPr="005822E3">
        <w:rPr>
          <w:rStyle w:val="FontStyle22"/>
          <w:rFonts w:ascii="Times New Roman" w:hAnsi="Times New Roman" w:cs="Times New Roman"/>
          <w:sz w:val="24"/>
          <w:szCs w:val="24"/>
        </w:rPr>
        <w:lastRenderedPageBreak/>
        <w:t xml:space="preserve">Gminy </w:t>
      </w:r>
      <w:r w:rsidRPr="005822E3">
        <w:t xml:space="preserve">określonego w art. 7 ust.1 </w:t>
      </w:r>
      <w:proofErr w:type="spellStart"/>
      <w:r w:rsidRPr="005822E3">
        <w:t>pkt</w:t>
      </w:r>
      <w:proofErr w:type="spellEnd"/>
      <w:r w:rsidRPr="005822E3">
        <w:t xml:space="preserve"> 1 ustawy z dnia 8 marca 1990 roku </w:t>
      </w:r>
      <w:r w:rsidRPr="005822E3">
        <w:br/>
        <w:t>o samorządzie gminnym (</w:t>
      </w:r>
      <w:proofErr w:type="spellStart"/>
      <w:r w:rsidRPr="005822E3">
        <w:t>t.j</w:t>
      </w:r>
      <w:proofErr w:type="spellEnd"/>
      <w:r w:rsidRPr="005822E3">
        <w:t>. Dz. U. z 2016 roku, poz. 446) polegającego na gospodarowaniu (zarządzaniu) nieruchomościami komunalnymi.</w:t>
      </w:r>
    </w:p>
    <w:p w:rsidR="005822E3" w:rsidRPr="005822E3" w:rsidRDefault="005822E3" w:rsidP="005822E3">
      <w:pPr>
        <w:jc w:val="both"/>
      </w:pPr>
    </w:p>
    <w:p w:rsidR="005822E3" w:rsidRPr="005822E3" w:rsidRDefault="005822E3" w:rsidP="005822E3">
      <w:pPr>
        <w:pStyle w:val="Akapitzlist"/>
        <w:numPr>
          <w:ilvl w:val="0"/>
          <w:numId w:val="4"/>
        </w:numPr>
        <w:ind w:left="709"/>
        <w:jc w:val="both"/>
      </w:pPr>
      <w:r w:rsidRPr="005822E3">
        <w:t>Zarządzanie gminnym zasobem mieszkaniowym w szczególności polega na:</w:t>
      </w:r>
    </w:p>
    <w:p w:rsidR="005822E3" w:rsidRPr="005822E3" w:rsidRDefault="005822E3" w:rsidP="005822E3">
      <w:pPr>
        <w:pStyle w:val="Style9"/>
        <w:widowControl/>
        <w:numPr>
          <w:ilvl w:val="0"/>
          <w:numId w:val="5"/>
        </w:numPr>
        <w:tabs>
          <w:tab w:val="left" w:pos="567"/>
        </w:tabs>
        <w:spacing w:line="240" w:lineRule="auto"/>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 xml:space="preserve">utrzymaniu należytego stanu technicznego zasobów, urządzeń komunalnych </w:t>
      </w:r>
      <w:r w:rsidRPr="005822E3">
        <w:rPr>
          <w:rStyle w:val="FontStyle22"/>
          <w:rFonts w:ascii="Times New Roman" w:hAnsi="Times New Roman" w:cs="Times New Roman"/>
          <w:sz w:val="24"/>
          <w:szCs w:val="24"/>
        </w:rPr>
        <w:br/>
        <w:t xml:space="preserve">i terenów zielonych poprzez prowadzenie prawidłowej konserwacji technicznej </w:t>
      </w:r>
      <w:r w:rsidRPr="005822E3">
        <w:rPr>
          <w:rStyle w:val="FontStyle22"/>
          <w:rFonts w:ascii="Times New Roman" w:hAnsi="Times New Roman" w:cs="Times New Roman"/>
          <w:sz w:val="24"/>
          <w:szCs w:val="24"/>
        </w:rPr>
        <w:br/>
        <w:t>i prowadzenie drobnych napraw,</w:t>
      </w:r>
    </w:p>
    <w:p w:rsidR="005822E3" w:rsidRPr="005822E3" w:rsidRDefault="005822E3" w:rsidP="005822E3">
      <w:pPr>
        <w:pStyle w:val="Style9"/>
        <w:widowControl/>
        <w:numPr>
          <w:ilvl w:val="0"/>
          <w:numId w:val="5"/>
        </w:numPr>
        <w:tabs>
          <w:tab w:val="left" w:pos="567"/>
        </w:tabs>
        <w:spacing w:line="240" w:lineRule="auto"/>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organizowaniu i prowadzeniu w powierzonym zasobie remontów bieżących, zgodnie z planem,</w:t>
      </w:r>
    </w:p>
    <w:p w:rsidR="005822E3" w:rsidRPr="005822E3" w:rsidRDefault="005822E3" w:rsidP="005822E3">
      <w:pPr>
        <w:pStyle w:val="Style9"/>
        <w:widowControl/>
        <w:numPr>
          <w:ilvl w:val="0"/>
          <w:numId w:val="5"/>
        </w:numPr>
        <w:tabs>
          <w:tab w:val="left" w:pos="709"/>
        </w:tabs>
        <w:spacing w:line="240" w:lineRule="auto"/>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 xml:space="preserve">zawieraniu umów na bieżącą konserwację techniczną instalacji co i </w:t>
      </w:r>
      <w:proofErr w:type="spellStart"/>
      <w:r w:rsidRPr="005822E3">
        <w:rPr>
          <w:rStyle w:val="FontStyle22"/>
          <w:rFonts w:ascii="Times New Roman" w:hAnsi="Times New Roman" w:cs="Times New Roman"/>
          <w:sz w:val="24"/>
          <w:szCs w:val="24"/>
        </w:rPr>
        <w:t>c.w</w:t>
      </w:r>
      <w:proofErr w:type="spellEnd"/>
      <w:r w:rsidRPr="005822E3">
        <w:rPr>
          <w:rStyle w:val="FontStyle22"/>
          <w:rFonts w:ascii="Times New Roman" w:hAnsi="Times New Roman" w:cs="Times New Roman"/>
          <w:sz w:val="24"/>
          <w:szCs w:val="24"/>
        </w:rPr>
        <w:t xml:space="preserve">,, wodno-kanalizacyjnej, elektrycznej, gazowej, domofonowej, anten zbiorczych i innej oraz ich organizowanie i prowadzenie, </w:t>
      </w:r>
    </w:p>
    <w:p w:rsidR="005822E3" w:rsidRPr="005822E3" w:rsidRDefault="005822E3" w:rsidP="005822E3">
      <w:pPr>
        <w:pStyle w:val="Style9"/>
        <w:widowControl/>
        <w:numPr>
          <w:ilvl w:val="0"/>
          <w:numId w:val="5"/>
        </w:numPr>
        <w:tabs>
          <w:tab w:val="left" w:pos="709"/>
        </w:tabs>
        <w:spacing w:line="240" w:lineRule="auto"/>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zawieraniu umów na dostawę energii elektrycznej, usuwania nieczystości stałych, dostawy energii cieplnej, dostawy zimnej wody i odprowadzenia ścieków, usług kominiarskich i innych niezbędnych a wynikających z bieżącej działalności,</w:t>
      </w:r>
    </w:p>
    <w:p w:rsidR="005822E3" w:rsidRPr="005822E3" w:rsidRDefault="005822E3" w:rsidP="005822E3">
      <w:pPr>
        <w:pStyle w:val="Style9"/>
        <w:widowControl/>
        <w:numPr>
          <w:ilvl w:val="0"/>
          <w:numId w:val="5"/>
        </w:numPr>
        <w:tabs>
          <w:tab w:val="left" w:pos="709"/>
        </w:tabs>
        <w:spacing w:line="240" w:lineRule="auto"/>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przygotowaniu dokumentacji dotyczącej konieczności przeprowadzenia remontów kapitalnych,</w:t>
      </w:r>
    </w:p>
    <w:p w:rsidR="005822E3" w:rsidRPr="005822E3" w:rsidRDefault="005822E3" w:rsidP="005822E3">
      <w:pPr>
        <w:pStyle w:val="Style9"/>
        <w:widowControl/>
        <w:numPr>
          <w:ilvl w:val="0"/>
          <w:numId w:val="5"/>
        </w:numPr>
        <w:tabs>
          <w:tab w:val="left" w:pos="403"/>
          <w:tab w:val="left" w:pos="709"/>
        </w:tabs>
        <w:spacing w:line="240" w:lineRule="auto"/>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przygotowaniu dokumentacji dotyczącej konieczności przeprowadzania rozbiórek budynków, obiektów oraz wykonywanie wyburzeń budynków, obiektów przeznaczonych do rozbiórki,</w:t>
      </w:r>
    </w:p>
    <w:p w:rsidR="005822E3" w:rsidRPr="005822E3" w:rsidRDefault="005822E3" w:rsidP="005822E3">
      <w:pPr>
        <w:pStyle w:val="Style9"/>
        <w:widowControl/>
        <w:numPr>
          <w:ilvl w:val="0"/>
          <w:numId w:val="5"/>
        </w:numPr>
        <w:tabs>
          <w:tab w:val="left" w:pos="709"/>
        </w:tabs>
        <w:spacing w:line="240" w:lineRule="auto"/>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współpracy z właściwymi jednostkami organizacyjnymi w sprawach umożliwiających prawidłowe wykonywanie powierzonych zadań,</w:t>
      </w:r>
    </w:p>
    <w:p w:rsidR="005822E3" w:rsidRPr="005822E3" w:rsidRDefault="005822E3" w:rsidP="005822E3">
      <w:pPr>
        <w:pStyle w:val="Style8"/>
        <w:widowControl/>
        <w:numPr>
          <w:ilvl w:val="0"/>
          <w:numId w:val="5"/>
        </w:numPr>
        <w:tabs>
          <w:tab w:val="left" w:pos="709"/>
        </w:tabs>
        <w:spacing w:line="240" w:lineRule="auto"/>
        <w:jc w:val="both"/>
        <w:rPr>
          <w:rStyle w:val="FontStyle22"/>
          <w:rFonts w:ascii="Times New Roman" w:hAnsi="Times New Roman" w:cs="Times New Roman"/>
          <w:sz w:val="24"/>
          <w:szCs w:val="24"/>
        </w:rPr>
      </w:pPr>
      <w:r w:rsidRPr="005822E3">
        <w:rPr>
          <w:rStyle w:val="FontStyle22"/>
          <w:rFonts w:ascii="Times New Roman" w:hAnsi="Times New Roman" w:cs="Times New Roman"/>
          <w:sz w:val="24"/>
          <w:szCs w:val="24"/>
        </w:rPr>
        <w:t xml:space="preserve">wykonywaniu czynności prawnych związanych z zarządzaniem zasobami, </w:t>
      </w:r>
    </w:p>
    <w:p w:rsidR="005822E3" w:rsidRPr="005822E3" w:rsidRDefault="005822E3" w:rsidP="005822E3">
      <w:pPr>
        <w:pStyle w:val="Style8"/>
        <w:widowControl/>
        <w:numPr>
          <w:ilvl w:val="0"/>
          <w:numId w:val="5"/>
        </w:numPr>
        <w:tabs>
          <w:tab w:val="left" w:pos="709"/>
        </w:tabs>
        <w:spacing w:line="240" w:lineRule="auto"/>
        <w:jc w:val="both"/>
        <w:rPr>
          <w:rFonts w:ascii="Times New Roman" w:hAnsi="Times New Roman" w:cs="Times New Roman"/>
        </w:rPr>
      </w:pPr>
      <w:r w:rsidRPr="005822E3">
        <w:rPr>
          <w:rStyle w:val="FontStyle22"/>
          <w:rFonts w:ascii="Times New Roman" w:hAnsi="Times New Roman" w:cs="Times New Roman"/>
          <w:sz w:val="24"/>
          <w:szCs w:val="24"/>
        </w:rPr>
        <w:t>obsłudze finansowo-księgowej zarządzanych zasobów w zakresie niezbędnym dla realizacji powierzonych zadań.</w:t>
      </w:r>
    </w:p>
    <w:p w:rsidR="005822E3" w:rsidRPr="005822E3" w:rsidRDefault="005822E3" w:rsidP="005822E3">
      <w:pPr>
        <w:pStyle w:val="Akapitzlist"/>
        <w:ind w:left="1134"/>
        <w:jc w:val="both"/>
      </w:pPr>
    </w:p>
    <w:p w:rsidR="005822E3" w:rsidRPr="005822E3" w:rsidRDefault="005822E3" w:rsidP="005822E3">
      <w:pPr>
        <w:pStyle w:val="Akapitzlist"/>
        <w:numPr>
          <w:ilvl w:val="0"/>
          <w:numId w:val="4"/>
        </w:numPr>
        <w:ind w:left="709"/>
        <w:jc w:val="both"/>
      </w:pPr>
      <w:r w:rsidRPr="005822E3">
        <w:t>Zarządzanie zasobami.</w:t>
      </w:r>
    </w:p>
    <w:p w:rsidR="005822E3" w:rsidRPr="005822E3" w:rsidRDefault="005822E3" w:rsidP="005822E3">
      <w:pPr>
        <w:pStyle w:val="Akapitzlist"/>
        <w:ind w:left="709"/>
        <w:jc w:val="both"/>
      </w:pPr>
      <w:r w:rsidRPr="005822E3">
        <w:t>W latach 2018 – 2022 nie przewiduje się zmian w zakresie zarządzania mieszkaniowym zasobem gminy.</w:t>
      </w:r>
    </w:p>
    <w:p w:rsidR="005822E3" w:rsidRPr="005822E3" w:rsidRDefault="005822E3" w:rsidP="005822E3">
      <w:pPr>
        <w:pStyle w:val="Akapitzlist"/>
      </w:pPr>
    </w:p>
    <w:p w:rsidR="005822E3" w:rsidRPr="005822E3" w:rsidRDefault="005822E3" w:rsidP="005822E3">
      <w:pPr>
        <w:pStyle w:val="Akapitzlist"/>
        <w:numPr>
          <w:ilvl w:val="0"/>
          <w:numId w:val="4"/>
        </w:numPr>
        <w:ind w:left="709"/>
        <w:jc w:val="both"/>
      </w:pPr>
      <w:r w:rsidRPr="005822E3">
        <w:t xml:space="preserve">Stały nadzór w zakresie gospodarki gminnym zasobem mieszkaniowym sprawuje Burmistrz Gminy Czempiń.  </w:t>
      </w:r>
    </w:p>
    <w:p w:rsidR="005822E3" w:rsidRPr="005822E3" w:rsidRDefault="005822E3" w:rsidP="005822E3">
      <w:pPr>
        <w:pStyle w:val="Akapitzlist"/>
        <w:ind w:left="709"/>
        <w:jc w:val="both"/>
      </w:pPr>
    </w:p>
    <w:p w:rsidR="005822E3" w:rsidRPr="005822E3" w:rsidRDefault="005822E3" w:rsidP="005822E3">
      <w:pPr>
        <w:pStyle w:val="Akapitzlist"/>
        <w:ind w:left="709"/>
        <w:jc w:val="both"/>
      </w:pPr>
    </w:p>
    <w:p w:rsidR="005822E3" w:rsidRPr="005822E3" w:rsidRDefault="005822E3" w:rsidP="005822E3">
      <w:pPr>
        <w:jc w:val="both"/>
        <w:rPr>
          <w:b/>
        </w:rPr>
      </w:pPr>
      <w:r w:rsidRPr="005822E3">
        <w:rPr>
          <w:b/>
        </w:rPr>
        <w:t>VI. Źródła finansowe.</w:t>
      </w:r>
    </w:p>
    <w:p w:rsidR="005822E3" w:rsidRPr="005822E3" w:rsidRDefault="005822E3" w:rsidP="005822E3">
      <w:pPr>
        <w:jc w:val="both"/>
        <w:rPr>
          <w:b/>
        </w:rPr>
      </w:pPr>
    </w:p>
    <w:p w:rsidR="005822E3" w:rsidRPr="005822E3" w:rsidRDefault="005822E3" w:rsidP="005822E3">
      <w:pPr>
        <w:tabs>
          <w:tab w:val="left" w:pos="567"/>
        </w:tabs>
        <w:ind w:left="426"/>
        <w:jc w:val="both"/>
      </w:pPr>
      <w:r w:rsidRPr="005822E3">
        <w:t>Źródłem finansowania gospodarki mieszkaniowej są środki z budżetu gminy.</w:t>
      </w:r>
    </w:p>
    <w:p w:rsidR="005822E3" w:rsidRPr="005822E3" w:rsidRDefault="005822E3" w:rsidP="005822E3">
      <w:pPr>
        <w:tabs>
          <w:tab w:val="left" w:pos="567"/>
        </w:tabs>
        <w:ind w:left="426"/>
        <w:jc w:val="both"/>
      </w:pPr>
    </w:p>
    <w:tbl>
      <w:tblPr>
        <w:tblW w:w="0" w:type="auto"/>
        <w:tblInd w:w="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3182"/>
        <w:gridCol w:w="996"/>
        <w:gridCol w:w="996"/>
        <w:gridCol w:w="996"/>
        <w:gridCol w:w="996"/>
        <w:gridCol w:w="996"/>
      </w:tblGrid>
      <w:tr w:rsidR="005822E3" w:rsidRPr="005822E3" w:rsidTr="005822E3">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Lp.</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Wyszczególnienie</w:t>
            </w:r>
          </w:p>
        </w:tc>
        <w:tc>
          <w:tcPr>
            <w:tcW w:w="0" w:type="auto"/>
            <w:gridSpan w:val="5"/>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Lata</w:t>
            </w:r>
          </w:p>
        </w:tc>
      </w:tr>
      <w:tr w:rsidR="005822E3" w:rsidRPr="005822E3" w:rsidTr="005822E3">
        <w:tc>
          <w:tcPr>
            <w:tcW w:w="0" w:type="auto"/>
            <w:tcBorders>
              <w:top w:val="single" w:sz="4" w:space="0" w:color="auto"/>
              <w:left w:val="single" w:sz="4" w:space="0" w:color="auto"/>
              <w:bottom w:val="single" w:sz="4" w:space="0" w:color="auto"/>
              <w:right w:val="single" w:sz="4" w:space="0" w:color="auto"/>
            </w:tcBorders>
            <w:vAlign w:val="center"/>
          </w:tcPr>
          <w:p w:rsidR="005822E3" w:rsidRPr="005822E3" w:rsidRDefault="005822E3">
            <w:p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tcPr>
          <w:p w:rsidR="005822E3" w:rsidRPr="005822E3" w:rsidRDefault="005822E3">
            <w:pPr>
              <w:spacing w:line="276" w:lineRule="auto"/>
              <w:jc w:val="center"/>
              <w:rPr>
                <w:lang w:eastAsia="en-US"/>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2018</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2019</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2020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2021</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2022</w:t>
            </w:r>
          </w:p>
        </w:tc>
      </w:tr>
      <w:tr w:rsidR="005822E3" w:rsidRPr="005822E3" w:rsidTr="005822E3">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Czynsze z lokali mieszkalnych</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240.600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247.800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259.520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267.300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275.300</w:t>
            </w:r>
          </w:p>
        </w:tc>
      </w:tr>
      <w:tr w:rsidR="005822E3" w:rsidRPr="005822E3" w:rsidTr="005822E3">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rPr>
                <w:lang w:eastAsia="en-US"/>
              </w:rPr>
            </w:pPr>
            <w:r w:rsidRPr="005822E3">
              <w:rPr>
                <w:lang w:eastAsia="en-US"/>
              </w:rPr>
              <w:t>Czynsze z lokali użytkowych</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33.300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34.400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35.400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36.500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lang w:eastAsia="en-US"/>
              </w:rPr>
            </w:pPr>
            <w:r w:rsidRPr="005822E3">
              <w:rPr>
                <w:lang w:eastAsia="en-US"/>
              </w:rPr>
              <w:t>37.500</w:t>
            </w:r>
          </w:p>
        </w:tc>
      </w:tr>
      <w:tr w:rsidR="005822E3" w:rsidRPr="005822E3" w:rsidTr="005822E3">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b/>
                <w:lang w:eastAsia="en-US"/>
              </w:rPr>
            </w:pPr>
            <w:r w:rsidRPr="005822E3">
              <w:rPr>
                <w:b/>
                <w:lang w:eastAsia="en-US"/>
              </w:rPr>
              <w:t>Razem</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b/>
                <w:lang w:eastAsia="en-US"/>
              </w:rPr>
            </w:pPr>
            <w:r w:rsidRPr="005822E3">
              <w:rPr>
                <w:b/>
                <w:lang w:eastAsia="en-US"/>
              </w:rPr>
              <w:t>273.900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b/>
                <w:lang w:eastAsia="en-US"/>
              </w:rPr>
            </w:pPr>
            <w:r w:rsidRPr="005822E3">
              <w:rPr>
                <w:b/>
                <w:lang w:eastAsia="en-US"/>
              </w:rPr>
              <w:t>282.200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b/>
                <w:lang w:eastAsia="en-US"/>
              </w:rPr>
            </w:pPr>
            <w:r w:rsidRPr="005822E3">
              <w:rPr>
                <w:b/>
                <w:lang w:eastAsia="en-US"/>
              </w:rPr>
              <w:t>294.920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b/>
                <w:lang w:eastAsia="en-US"/>
              </w:rPr>
            </w:pPr>
            <w:r w:rsidRPr="005822E3">
              <w:rPr>
                <w:b/>
                <w:lang w:eastAsia="en-US"/>
              </w:rPr>
              <w:t>303.800</w:t>
            </w:r>
          </w:p>
        </w:tc>
        <w:tc>
          <w:tcPr>
            <w:tcW w:w="0" w:type="auto"/>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spacing w:line="276" w:lineRule="auto"/>
              <w:jc w:val="center"/>
              <w:rPr>
                <w:b/>
                <w:lang w:eastAsia="en-US"/>
              </w:rPr>
            </w:pPr>
            <w:r w:rsidRPr="005822E3">
              <w:rPr>
                <w:b/>
                <w:lang w:eastAsia="en-US"/>
              </w:rPr>
              <w:t>312.800</w:t>
            </w:r>
          </w:p>
        </w:tc>
      </w:tr>
    </w:tbl>
    <w:p w:rsidR="005822E3" w:rsidRPr="005822E3" w:rsidRDefault="005822E3" w:rsidP="005822E3">
      <w:pPr>
        <w:ind w:left="426"/>
        <w:jc w:val="both"/>
      </w:pPr>
    </w:p>
    <w:p w:rsidR="005822E3" w:rsidRPr="005822E3" w:rsidRDefault="005822E3" w:rsidP="005822E3">
      <w:pPr>
        <w:ind w:left="426"/>
        <w:jc w:val="both"/>
      </w:pPr>
      <w:r w:rsidRPr="005822E3">
        <w:t>Źródłem finansowania mogą być też wpływy ze sprzedaży lokali.</w:t>
      </w:r>
    </w:p>
    <w:p w:rsidR="005822E3" w:rsidRPr="005822E3" w:rsidRDefault="005822E3" w:rsidP="005822E3">
      <w:pPr>
        <w:jc w:val="both"/>
      </w:pPr>
    </w:p>
    <w:p w:rsidR="005822E3" w:rsidRPr="005822E3" w:rsidRDefault="005822E3" w:rsidP="005822E3">
      <w:pPr>
        <w:jc w:val="both"/>
      </w:pPr>
    </w:p>
    <w:p w:rsidR="005822E3" w:rsidRPr="005822E3" w:rsidRDefault="005822E3" w:rsidP="005822E3">
      <w:pPr>
        <w:jc w:val="both"/>
        <w:rPr>
          <w:b/>
        </w:rPr>
      </w:pPr>
      <w:r w:rsidRPr="005822E3">
        <w:rPr>
          <w:b/>
        </w:rPr>
        <w:lastRenderedPageBreak/>
        <w:t>VII. Wysokość wydatków w kolejnych latach, z podziałem na koszty bieżącej eksploatacji, koszty remontów lokali i budynków wchodzących w skład mieszkaniowego zasobu gminy.</w:t>
      </w:r>
    </w:p>
    <w:p w:rsidR="005822E3" w:rsidRPr="005822E3" w:rsidRDefault="005822E3" w:rsidP="005822E3">
      <w:pPr>
        <w:jc w:val="both"/>
        <w:rPr>
          <w:b/>
        </w:rPr>
      </w:pPr>
    </w:p>
    <w:p w:rsidR="005822E3" w:rsidRPr="005822E3" w:rsidRDefault="005822E3" w:rsidP="005822E3">
      <w:pPr>
        <w:ind w:left="426"/>
        <w:jc w:val="both"/>
      </w:pPr>
      <w:r w:rsidRPr="005822E3">
        <w:t>Koszty utrzymania zasobów mieszkaniowych obejmują dwa podstawowe elementy: koszty bieżącej eksploatacji i koszty remontów.</w:t>
      </w:r>
    </w:p>
    <w:p w:rsidR="005822E3" w:rsidRPr="005822E3" w:rsidRDefault="005822E3" w:rsidP="005822E3">
      <w:pPr>
        <w:ind w:left="426"/>
        <w:jc w:val="both"/>
      </w:pPr>
    </w:p>
    <w:p w:rsidR="005822E3" w:rsidRPr="005822E3" w:rsidRDefault="005822E3" w:rsidP="005822E3">
      <w:pPr>
        <w:ind w:left="426"/>
      </w:pPr>
      <w:r w:rsidRPr="005822E3">
        <w:t xml:space="preserve">1. Koszty utrzymania i zarządzania gminnym zasobem mieszkaniowym pokrywane są z: </w:t>
      </w:r>
    </w:p>
    <w:p w:rsidR="005822E3" w:rsidRPr="005822E3" w:rsidRDefault="005822E3" w:rsidP="005822E3">
      <w:pPr>
        <w:ind w:left="426"/>
      </w:pPr>
      <w:r w:rsidRPr="005822E3">
        <w:t xml:space="preserve">- wpływów z czynszów </w:t>
      </w:r>
    </w:p>
    <w:p w:rsidR="005822E3" w:rsidRPr="005822E3" w:rsidRDefault="005822E3" w:rsidP="005822E3">
      <w:pPr>
        <w:ind w:left="426"/>
      </w:pPr>
      <w:r w:rsidRPr="005822E3">
        <w:t xml:space="preserve">- dodatkowych środków z budżetu gminy </w:t>
      </w:r>
    </w:p>
    <w:p w:rsidR="005822E3" w:rsidRPr="005822E3" w:rsidRDefault="005822E3" w:rsidP="005822E3">
      <w:pPr>
        <w:ind w:left="426"/>
      </w:pPr>
    </w:p>
    <w:p w:rsidR="005822E3" w:rsidRPr="005822E3" w:rsidRDefault="005822E3" w:rsidP="005822E3">
      <w:pPr>
        <w:ind w:left="426"/>
      </w:pPr>
      <w:r w:rsidRPr="005822E3">
        <w:t xml:space="preserve">2. Prognoza wysokości wydatków w latach 2018-2022 </w:t>
      </w:r>
    </w:p>
    <w:p w:rsidR="005822E3" w:rsidRPr="005822E3" w:rsidRDefault="005822E3" w:rsidP="005822E3">
      <w:pPr>
        <w:ind w:left="426"/>
      </w:pPr>
    </w:p>
    <w:tbl>
      <w:tblPr>
        <w:tblStyle w:val="Tabela-Siatka"/>
        <w:tblW w:w="0" w:type="auto"/>
        <w:tblLook w:val="04A0"/>
      </w:tblPr>
      <w:tblGrid>
        <w:gridCol w:w="1315"/>
        <w:gridCol w:w="2993"/>
        <w:gridCol w:w="996"/>
        <w:gridCol w:w="996"/>
        <w:gridCol w:w="996"/>
        <w:gridCol w:w="996"/>
        <w:gridCol w:w="996"/>
      </w:tblGrid>
      <w:tr w:rsidR="005822E3" w:rsidRPr="005822E3" w:rsidTr="005822E3">
        <w:tc>
          <w:tcPr>
            <w:tcW w:w="1316"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Rodzaj lokalu</w:t>
            </w:r>
          </w:p>
        </w:tc>
        <w:tc>
          <w:tcPr>
            <w:tcW w:w="3045"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Rodzaj wydatku</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2019</w:t>
            </w:r>
          </w:p>
        </w:tc>
        <w:tc>
          <w:tcPr>
            <w:tcW w:w="993"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2021</w:t>
            </w:r>
          </w:p>
        </w:tc>
        <w:tc>
          <w:tcPr>
            <w:tcW w:w="931"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2022</w:t>
            </w:r>
          </w:p>
        </w:tc>
      </w:tr>
      <w:tr w:rsidR="005822E3" w:rsidRPr="005822E3" w:rsidTr="005822E3">
        <w:trPr>
          <w:trHeight w:val="516"/>
        </w:trPr>
        <w:tc>
          <w:tcPr>
            <w:tcW w:w="1316" w:type="dxa"/>
            <w:vMerge w:val="restart"/>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Lokale mieszkalne i socjalne</w:t>
            </w:r>
          </w:p>
        </w:tc>
        <w:tc>
          <w:tcPr>
            <w:tcW w:w="3045"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Koszty bieżącej eksploatacji, remontów i modernizacji</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277.300</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293.900</w:t>
            </w:r>
          </w:p>
        </w:tc>
        <w:tc>
          <w:tcPr>
            <w:tcW w:w="993"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293.920</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301.000</w:t>
            </w:r>
          </w:p>
        </w:tc>
        <w:tc>
          <w:tcPr>
            <w:tcW w:w="931"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308.300</w:t>
            </w:r>
          </w:p>
        </w:tc>
      </w:tr>
      <w:tr w:rsidR="005822E3" w:rsidRPr="005822E3" w:rsidTr="005822E3">
        <w:tc>
          <w:tcPr>
            <w:tcW w:w="0" w:type="auto"/>
            <w:vMerge/>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rPr>
                <w:sz w:val="24"/>
                <w:szCs w:val="24"/>
                <w:lang w:eastAsia="en-US"/>
              </w:rPr>
            </w:pPr>
          </w:p>
        </w:tc>
        <w:tc>
          <w:tcPr>
            <w:tcW w:w="3045" w:type="dxa"/>
            <w:tcBorders>
              <w:top w:val="single" w:sz="4" w:space="0" w:color="auto"/>
              <w:left w:val="single" w:sz="4" w:space="0" w:color="auto"/>
              <w:bottom w:val="single" w:sz="4" w:space="0" w:color="auto"/>
              <w:right w:val="single" w:sz="4" w:space="0" w:color="auto"/>
            </w:tcBorders>
            <w:hideMark/>
          </w:tcPr>
          <w:p w:rsidR="005822E3" w:rsidRPr="005822E3" w:rsidRDefault="005822E3">
            <w:pPr>
              <w:rPr>
                <w:sz w:val="24"/>
                <w:szCs w:val="24"/>
                <w:lang w:eastAsia="en-US"/>
              </w:rPr>
            </w:pPr>
            <w:r w:rsidRPr="005822E3">
              <w:rPr>
                <w:sz w:val="24"/>
                <w:szCs w:val="24"/>
                <w:lang w:eastAsia="en-US"/>
              </w:rPr>
              <w:t>Koszty zarządu nieruchomościami wspólnymi, w których Gmina jest jednym ze współwłaścicieli</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23.300</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23.900</w:t>
            </w:r>
          </w:p>
        </w:tc>
        <w:tc>
          <w:tcPr>
            <w:tcW w:w="993"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25.600</w:t>
            </w:r>
          </w:p>
        </w:tc>
        <w:tc>
          <w:tcPr>
            <w:tcW w:w="992"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26.300</w:t>
            </w:r>
          </w:p>
        </w:tc>
        <w:tc>
          <w:tcPr>
            <w:tcW w:w="931" w:type="dxa"/>
            <w:tcBorders>
              <w:top w:val="single" w:sz="4" w:space="0" w:color="auto"/>
              <w:left w:val="single" w:sz="4" w:space="0" w:color="auto"/>
              <w:bottom w:val="single" w:sz="4" w:space="0" w:color="auto"/>
              <w:right w:val="single" w:sz="4" w:space="0" w:color="auto"/>
            </w:tcBorders>
            <w:hideMark/>
          </w:tcPr>
          <w:p w:rsidR="005822E3" w:rsidRPr="005822E3" w:rsidRDefault="005822E3">
            <w:pPr>
              <w:jc w:val="center"/>
              <w:rPr>
                <w:sz w:val="24"/>
                <w:szCs w:val="24"/>
                <w:lang w:eastAsia="en-US"/>
              </w:rPr>
            </w:pPr>
            <w:r w:rsidRPr="005822E3">
              <w:rPr>
                <w:sz w:val="24"/>
                <w:szCs w:val="24"/>
                <w:lang w:eastAsia="en-US"/>
              </w:rPr>
              <w:t>27.000</w:t>
            </w:r>
          </w:p>
        </w:tc>
      </w:tr>
      <w:tr w:rsidR="005822E3" w:rsidRPr="005822E3" w:rsidTr="005822E3">
        <w:tc>
          <w:tcPr>
            <w:tcW w:w="4361" w:type="dxa"/>
            <w:gridSpan w:val="2"/>
            <w:tcBorders>
              <w:top w:val="single" w:sz="4" w:space="0" w:color="auto"/>
              <w:left w:val="single" w:sz="4" w:space="0" w:color="auto"/>
              <w:bottom w:val="single" w:sz="4" w:space="0" w:color="auto"/>
              <w:right w:val="single" w:sz="4" w:space="0" w:color="auto"/>
            </w:tcBorders>
            <w:hideMark/>
          </w:tcPr>
          <w:p w:rsidR="005822E3" w:rsidRPr="005822E3" w:rsidRDefault="005822E3">
            <w:pPr>
              <w:jc w:val="right"/>
              <w:rPr>
                <w:sz w:val="24"/>
                <w:szCs w:val="24"/>
                <w:lang w:eastAsia="en-US"/>
              </w:rPr>
            </w:pPr>
            <w:r w:rsidRPr="005822E3">
              <w:rPr>
                <w:sz w:val="24"/>
                <w:szCs w:val="24"/>
                <w:lang w:eastAsia="en-US"/>
              </w:rPr>
              <w:t>Razem:</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jc w:val="center"/>
              <w:rPr>
                <w:b/>
                <w:sz w:val="24"/>
                <w:szCs w:val="24"/>
                <w:lang w:eastAsia="en-US"/>
              </w:rPr>
            </w:pPr>
            <w:r w:rsidRPr="005822E3">
              <w:rPr>
                <w:b/>
                <w:sz w:val="24"/>
                <w:szCs w:val="24"/>
                <w:lang w:eastAsia="en-US"/>
              </w:rPr>
              <w:t>300.600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jc w:val="center"/>
              <w:rPr>
                <w:b/>
                <w:sz w:val="24"/>
                <w:szCs w:val="24"/>
                <w:lang w:eastAsia="en-US"/>
              </w:rPr>
            </w:pPr>
            <w:r w:rsidRPr="005822E3">
              <w:rPr>
                <w:b/>
                <w:sz w:val="24"/>
                <w:szCs w:val="24"/>
                <w:lang w:eastAsia="en-US"/>
              </w:rPr>
              <w:t>307.800</w:t>
            </w:r>
          </w:p>
        </w:tc>
        <w:tc>
          <w:tcPr>
            <w:tcW w:w="993"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jc w:val="center"/>
              <w:rPr>
                <w:b/>
                <w:sz w:val="24"/>
                <w:szCs w:val="24"/>
                <w:lang w:eastAsia="en-US"/>
              </w:rPr>
            </w:pPr>
            <w:r w:rsidRPr="005822E3">
              <w:rPr>
                <w:b/>
                <w:sz w:val="24"/>
                <w:szCs w:val="24"/>
                <w:lang w:eastAsia="en-US"/>
              </w:rPr>
              <w:t>319.520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jc w:val="center"/>
              <w:rPr>
                <w:b/>
                <w:sz w:val="24"/>
                <w:szCs w:val="24"/>
                <w:lang w:eastAsia="en-US"/>
              </w:rPr>
            </w:pPr>
            <w:r w:rsidRPr="005822E3">
              <w:rPr>
                <w:b/>
                <w:sz w:val="24"/>
                <w:szCs w:val="24"/>
                <w:lang w:eastAsia="en-US"/>
              </w:rPr>
              <w:t>327.300</w:t>
            </w:r>
          </w:p>
        </w:tc>
        <w:tc>
          <w:tcPr>
            <w:tcW w:w="931" w:type="dxa"/>
            <w:tcBorders>
              <w:top w:val="single" w:sz="4" w:space="0" w:color="auto"/>
              <w:left w:val="single" w:sz="4" w:space="0" w:color="auto"/>
              <w:bottom w:val="single" w:sz="4" w:space="0" w:color="auto"/>
              <w:right w:val="single" w:sz="4" w:space="0" w:color="auto"/>
            </w:tcBorders>
            <w:vAlign w:val="center"/>
            <w:hideMark/>
          </w:tcPr>
          <w:p w:rsidR="005822E3" w:rsidRPr="005822E3" w:rsidRDefault="005822E3">
            <w:pPr>
              <w:jc w:val="center"/>
              <w:rPr>
                <w:b/>
                <w:sz w:val="24"/>
                <w:szCs w:val="24"/>
                <w:lang w:eastAsia="en-US"/>
              </w:rPr>
            </w:pPr>
            <w:r w:rsidRPr="005822E3">
              <w:rPr>
                <w:b/>
                <w:sz w:val="24"/>
                <w:szCs w:val="24"/>
                <w:lang w:eastAsia="en-US"/>
              </w:rPr>
              <w:t>335.300</w:t>
            </w:r>
          </w:p>
        </w:tc>
      </w:tr>
    </w:tbl>
    <w:p w:rsidR="005822E3" w:rsidRPr="005822E3" w:rsidRDefault="005822E3" w:rsidP="005822E3"/>
    <w:p w:rsidR="005822E3" w:rsidRPr="005822E3" w:rsidRDefault="005822E3" w:rsidP="005822E3">
      <w:pPr>
        <w:ind w:left="567"/>
        <w:jc w:val="both"/>
      </w:pPr>
      <w:r w:rsidRPr="005822E3">
        <w:t xml:space="preserve">Planowane wydatki na utrzymanie i zarząd gminnego zasobu mieszkaniowego Przedsiębiorstwo Gospodarki Komunalnej w Czempiniu </w:t>
      </w:r>
      <w:proofErr w:type="spellStart"/>
      <w:r w:rsidRPr="005822E3">
        <w:t>sp</w:t>
      </w:r>
      <w:proofErr w:type="spellEnd"/>
      <w:r w:rsidRPr="005822E3">
        <w:t xml:space="preserve">. z o.o. przedstawia Burmistrzowi Gminy Czempiń w formie planu w listopadzie każdego roku poprzedzającego rok, którego plan dotyczy z wyszczególnieniem planowanych kosztów bieżącej eksploatacji, remontów i modernizacji oraz zarządu nieruchomościami wspólnymi, których gmina jest jednym ze współwłaścicieli. </w:t>
      </w:r>
    </w:p>
    <w:p w:rsidR="005822E3" w:rsidRPr="005822E3" w:rsidRDefault="005822E3" w:rsidP="005822E3">
      <w:pPr>
        <w:jc w:val="both"/>
        <w:rPr>
          <w:b/>
        </w:rPr>
      </w:pPr>
    </w:p>
    <w:p w:rsidR="005822E3" w:rsidRPr="005822E3" w:rsidRDefault="005822E3" w:rsidP="005822E3">
      <w:pPr>
        <w:jc w:val="both"/>
        <w:rPr>
          <w:b/>
        </w:rPr>
      </w:pPr>
      <w:r w:rsidRPr="005822E3">
        <w:rPr>
          <w:b/>
        </w:rPr>
        <w:t>VIII. Opis innych działań mających na celu poprawę wykorzystania i racjonalizację gospodarowania mieszkaniowym zasobem gminy.</w:t>
      </w:r>
    </w:p>
    <w:p w:rsidR="005822E3" w:rsidRPr="005822E3" w:rsidRDefault="005822E3" w:rsidP="005822E3">
      <w:pPr>
        <w:jc w:val="both"/>
        <w:rPr>
          <w:b/>
        </w:rPr>
      </w:pPr>
    </w:p>
    <w:p w:rsidR="005822E3" w:rsidRPr="005822E3" w:rsidRDefault="005822E3" w:rsidP="005822E3">
      <w:pPr>
        <w:pStyle w:val="Akapitzlist"/>
        <w:numPr>
          <w:ilvl w:val="0"/>
          <w:numId w:val="6"/>
        </w:numPr>
        <w:jc w:val="both"/>
      </w:pPr>
      <w:r w:rsidRPr="005822E3">
        <w:t xml:space="preserve">Zaspakajanie potrzeb mieszkaniowych poprzez przejmowanie i adaptowanie opuszczonych pomieszczeń na lokale mieszkalne. </w:t>
      </w:r>
    </w:p>
    <w:p w:rsidR="005822E3" w:rsidRPr="005822E3" w:rsidRDefault="005822E3" w:rsidP="005822E3">
      <w:pPr>
        <w:pStyle w:val="Akapitzlist"/>
        <w:numPr>
          <w:ilvl w:val="0"/>
          <w:numId w:val="6"/>
        </w:numPr>
        <w:jc w:val="both"/>
      </w:pPr>
      <w:r w:rsidRPr="005822E3">
        <w:t xml:space="preserve">Sprzedaż lokali znajdujących się w budynkach wspólnot mieszkaniowych </w:t>
      </w:r>
      <w:r w:rsidRPr="005822E3">
        <w:br/>
        <w:t>w szczególności tych, w których udział Gminy jest mniejszościowy.</w:t>
      </w:r>
    </w:p>
    <w:p w:rsidR="005822E3" w:rsidRPr="005822E3" w:rsidRDefault="005822E3" w:rsidP="005822E3">
      <w:pPr>
        <w:pStyle w:val="Akapitzlist"/>
        <w:numPr>
          <w:ilvl w:val="0"/>
          <w:numId w:val="6"/>
        </w:numPr>
        <w:jc w:val="both"/>
      </w:pPr>
      <w:r w:rsidRPr="005822E3">
        <w:t>Wprowadzenie zamiany mieszkań i dostosowanie zajmowanych lokali do sytuacji materialnej najemców i wielkości rodziny.</w:t>
      </w:r>
    </w:p>
    <w:p w:rsidR="005822E3" w:rsidRPr="005822E3" w:rsidRDefault="005822E3" w:rsidP="005822E3">
      <w:pPr>
        <w:pStyle w:val="Akapitzlist"/>
        <w:numPr>
          <w:ilvl w:val="0"/>
          <w:numId w:val="6"/>
        </w:numPr>
        <w:jc w:val="both"/>
      </w:pPr>
      <w:r w:rsidRPr="005822E3">
        <w:t>Dokonywanie niezbędnych remontów starej substancji mieszkaniowej celem utrzymania zasobu w dobrym stanie technicznym.</w:t>
      </w:r>
    </w:p>
    <w:p w:rsidR="005822E3" w:rsidRDefault="005822E3" w:rsidP="005822E3">
      <w:pPr>
        <w:pStyle w:val="Akapitzlist"/>
        <w:numPr>
          <w:ilvl w:val="0"/>
          <w:numId w:val="6"/>
        </w:numPr>
        <w:jc w:val="both"/>
      </w:pPr>
      <w:r w:rsidRPr="005822E3">
        <w:t>Prowadzenie polityki windykacji i obniżania zaległości czynszowych</w:t>
      </w:r>
      <w:r>
        <w:t xml:space="preserve">. </w:t>
      </w:r>
    </w:p>
    <w:p w:rsidR="005822E3" w:rsidRDefault="005822E3" w:rsidP="005822E3">
      <w:pPr>
        <w:jc w:val="both"/>
      </w:pPr>
    </w:p>
    <w:p w:rsidR="00FC69AA" w:rsidRDefault="00FC69AA"/>
    <w:sectPr w:rsidR="00FC69AA" w:rsidSect="00FC69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12F09"/>
    <w:multiLevelType w:val="hybridMultilevel"/>
    <w:tmpl w:val="58A061BE"/>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64E1031"/>
    <w:multiLevelType w:val="hybridMultilevel"/>
    <w:tmpl w:val="96B086B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02F6968"/>
    <w:multiLevelType w:val="hybridMultilevel"/>
    <w:tmpl w:val="1612FC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605A1A22"/>
    <w:multiLevelType w:val="hybridMultilevel"/>
    <w:tmpl w:val="8ECA7CA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nsid w:val="70E72B66"/>
    <w:multiLevelType w:val="hybridMultilevel"/>
    <w:tmpl w:val="2EB8CF8E"/>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749017C7"/>
    <w:multiLevelType w:val="hybridMultilevel"/>
    <w:tmpl w:val="9F088FE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defaultTabStop w:val="708"/>
  <w:hyphenationZone w:val="425"/>
  <w:characterSpacingControl w:val="doNotCompress"/>
  <w:compat/>
  <w:rsids>
    <w:rsidRoot w:val="005822E3"/>
    <w:rsid w:val="00022554"/>
    <w:rsid w:val="0005347C"/>
    <w:rsid w:val="001B51C1"/>
    <w:rsid w:val="003303E6"/>
    <w:rsid w:val="003651FA"/>
    <w:rsid w:val="00450F3B"/>
    <w:rsid w:val="00493D82"/>
    <w:rsid w:val="005822E3"/>
    <w:rsid w:val="006643D3"/>
    <w:rsid w:val="00853005"/>
    <w:rsid w:val="008E612B"/>
    <w:rsid w:val="00AE4A8B"/>
    <w:rsid w:val="00B67CB5"/>
    <w:rsid w:val="00FC69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22E3"/>
    <w:pPr>
      <w:spacing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822E3"/>
    <w:pPr>
      <w:ind w:left="720"/>
      <w:contextualSpacing/>
    </w:pPr>
  </w:style>
  <w:style w:type="paragraph" w:customStyle="1" w:styleId="Style8">
    <w:name w:val="Style8"/>
    <w:basedOn w:val="Normalny"/>
    <w:rsid w:val="005822E3"/>
    <w:pPr>
      <w:widowControl w:val="0"/>
      <w:suppressAutoHyphens/>
      <w:autoSpaceDE w:val="0"/>
      <w:spacing w:line="266" w:lineRule="exact"/>
      <w:ind w:hanging="238"/>
    </w:pPr>
    <w:rPr>
      <w:rFonts w:ascii="Arial" w:hAnsi="Arial" w:cs="Arial"/>
      <w:lang w:eastAsia="ar-SA"/>
    </w:rPr>
  </w:style>
  <w:style w:type="paragraph" w:customStyle="1" w:styleId="Style9">
    <w:name w:val="Style9"/>
    <w:basedOn w:val="Normalny"/>
    <w:rsid w:val="005822E3"/>
    <w:pPr>
      <w:widowControl w:val="0"/>
      <w:suppressAutoHyphens/>
      <w:autoSpaceDE w:val="0"/>
      <w:spacing w:line="259" w:lineRule="exact"/>
      <w:ind w:hanging="252"/>
    </w:pPr>
    <w:rPr>
      <w:rFonts w:ascii="Arial" w:hAnsi="Arial" w:cs="Arial"/>
      <w:lang w:eastAsia="ar-SA"/>
    </w:rPr>
  </w:style>
  <w:style w:type="character" w:customStyle="1" w:styleId="FontStyle22">
    <w:name w:val="Font Style22"/>
    <w:rsid w:val="005822E3"/>
    <w:rPr>
      <w:rFonts w:ascii="Arial" w:hAnsi="Arial" w:cs="Arial" w:hint="default"/>
      <w:sz w:val="20"/>
      <w:szCs w:val="20"/>
    </w:rPr>
  </w:style>
  <w:style w:type="table" w:styleId="Tabela-Siatka">
    <w:name w:val="Table Grid"/>
    <w:basedOn w:val="Standardowy"/>
    <w:uiPriority w:val="59"/>
    <w:rsid w:val="005822E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942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1543</Words>
  <Characters>9263</Characters>
  <Application>Microsoft Office Word</Application>
  <DocSecurity>0</DocSecurity>
  <Lines>77</Lines>
  <Paragraphs>21</Paragraphs>
  <ScaleCrop>false</ScaleCrop>
  <Company>oem</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5</cp:revision>
  <dcterms:created xsi:type="dcterms:W3CDTF">2018-01-30T17:59:00Z</dcterms:created>
  <dcterms:modified xsi:type="dcterms:W3CDTF">2018-02-06T09:34:00Z</dcterms:modified>
</cp:coreProperties>
</file>