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F8" w:rsidRDefault="00F80FF8" w:rsidP="00F80FF8">
      <w:pPr>
        <w:jc w:val="right"/>
        <w:rPr>
          <w:rFonts w:ascii="Times New Roman" w:hAnsi="Times New Roman" w:cs="Times New Roman"/>
          <w:sz w:val="24"/>
          <w:szCs w:val="24"/>
        </w:rPr>
      </w:pPr>
      <w:r w:rsidRPr="008D6EB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6645E">
        <w:rPr>
          <w:rFonts w:ascii="Times New Roman" w:hAnsi="Times New Roman" w:cs="Times New Roman"/>
          <w:sz w:val="24"/>
          <w:szCs w:val="24"/>
        </w:rPr>
        <w:t>14 lipca</w:t>
      </w:r>
      <w:r w:rsidRPr="008D6EB9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2D787C" w:rsidRPr="008D6EB9" w:rsidRDefault="002D787C" w:rsidP="002D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BRODNICA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BRODNICA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br/>
        <w:t>63-112 BRODNICA</w:t>
      </w:r>
    </w:p>
    <w:p w:rsidR="00F80FF8" w:rsidRPr="002D787C" w:rsidRDefault="00F80FF8" w:rsidP="00F80FF8">
      <w:pPr>
        <w:rPr>
          <w:rFonts w:ascii="Times New Roman" w:hAnsi="Times New Roman" w:cs="Times New Roman"/>
          <w:sz w:val="24"/>
          <w:szCs w:val="24"/>
        </w:rPr>
      </w:pPr>
      <w:r w:rsidRPr="008D6EB9">
        <w:rPr>
          <w:rFonts w:ascii="Times New Roman" w:hAnsi="Times New Roman" w:cs="Times New Roman"/>
          <w:sz w:val="24"/>
          <w:szCs w:val="24"/>
        </w:rPr>
        <w:t>UG.</w:t>
      </w:r>
      <w:r w:rsidR="00A6645E">
        <w:rPr>
          <w:rFonts w:ascii="Times New Roman" w:hAnsi="Times New Roman" w:cs="Times New Roman"/>
          <w:sz w:val="24"/>
          <w:szCs w:val="24"/>
        </w:rPr>
        <w:t>ZP.7021.13.2012/17</w:t>
      </w:r>
    </w:p>
    <w:p w:rsidR="00F80FF8" w:rsidRDefault="00F80FF8" w:rsidP="00F80FF8">
      <w:pPr>
        <w:rPr>
          <w:rFonts w:ascii="Times New Roman" w:hAnsi="Times New Roman" w:cs="Times New Roman"/>
          <w:b/>
          <w:sz w:val="26"/>
          <w:szCs w:val="26"/>
        </w:rPr>
      </w:pPr>
    </w:p>
    <w:p w:rsidR="00F80FF8" w:rsidRDefault="00F80FF8" w:rsidP="00F80F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 xml:space="preserve">Informacja o dokonaniu zmian w </w:t>
      </w:r>
      <w:r w:rsidR="00A6645E">
        <w:rPr>
          <w:rFonts w:ascii="Times New Roman" w:hAnsi="Times New Roman" w:cs="Times New Roman"/>
          <w:b/>
          <w:sz w:val="26"/>
          <w:szCs w:val="26"/>
        </w:rPr>
        <w:t xml:space="preserve">SIWZ oraz w </w:t>
      </w:r>
      <w:r w:rsidRPr="00F80FF8">
        <w:rPr>
          <w:rFonts w:ascii="Times New Roman" w:hAnsi="Times New Roman" w:cs="Times New Roman"/>
          <w:b/>
          <w:sz w:val="26"/>
          <w:szCs w:val="26"/>
        </w:rPr>
        <w:t>załączniku</w:t>
      </w:r>
      <w:r w:rsidR="008D6EB9">
        <w:rPr>
          <w:rFonts w:ascii="Times New Roman" w:hAnsi="Times New Roman" w:cs="Times New Roman"/>
          <w:b/>
          <w:sz w:val="26"/>
          <w:szCs w:val="26"/>
        </w:rPr>
        <w:t xml:space="preserve"> nr 7</w:t>
      </w:r>
      <w:r w:rsidRPr="00F80FF8">
        <w:rPr>
          <w:rFonts w:ascii="Times New Roman" w:hAnsi="Times New Roman" w:cs="Times New Roman"/>
          <w:b/>
          <w:sz w:val="26"/>
          <w:szCs w:val="26"/>
        </w:rPr>
        <w:t xml:space="preserve"> do SIWZ </w:t>
      </w:r>
      <w:r w:rsidRPr="00F80FF8">
        <w:rPr>
          <w:rFonts w:ascii="Times New Roman" w:hAnsi="Times New Roman" w:cs="Times New Roman"/>
          <w:b/>
          <w:sz w:val="26"/>
          <w:szCs w:val="26"/>
        </w:rPr>
        <w:br/>
        <w:t xml:space="preserve">w postępowaniu o udzielenie zamówienia publicznego </w:t>
      </w:r>
    </w:p>
    <w:p w:rsidR="00F80FF8" w:rsidRPr="004D7E66" w:rsidRDefault="00F80FF8" w:rsidP="004D7E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F8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Pr="00F80F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Start w:id="0" w:name="_Hlk485719468"/>
      <w:r w:rsidR="00A6645E" w:rsidRPr="00A6645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Zmiana sposobu użytkowania istniejącego budynku Policji na potrzeby sołectwa Brodnica oraz dobudowa wieży z garażem i salą przyjęć z zapleczem na potrzeby straży i sołectwa Brodnica – ETAP VI</w:t>
      </w:r>
      <w:bookmarkEnd w:id="0"/>
      <w:r w:rsidRPr="00F80FF8">
        <w:rPr>
          <w:rFonts w:ascii="Times New Roman" w:hAnsi="Times New Roman" w:cs="Times New Roman"/>
          <w:sz w:val="26"/>
          <w:szCs w:val="26"/>
        </w:rPr>
        <w:br/>
      </w:r>
    </w:p>
    <w:p w:rsidR="00F80FF8" w:rsidRPr="004D7E66" w:rsidRDefault="00F80FF8" w:rsidP="00F80F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E66">
        <w:rPr>
          <w:rFonts w:ascii="Times New Roman" w:hAnsi="Times New Roman" w:cs="Times New Roman"/>
          <w:b/>
          <w:sz w:val="24"/>
          <w:szCs w:val="24"/>
        </w:rPr>
        <w:tab/>
      </w:r>
      <w:r w:rsidRPr="004D7E66">
        <w:rPr>
          <w:rFonts w:ascii="Times New Roman" w:hAnsi="Times New Roman" w:cs="Times New Roman"/>
          <w:sz w:val="24"/>
          <w:szCs w:val="24"/>
        </w:rPr>
        <w:t xml:space="preserve">Wójt Gminy Brodnica informuje, iż dokonano zmian w </w:t>
      </w:r>
      <w:r w:rsidR="00A6645E" w:rsidRPr="004D7E66">
        <w:rPr>
          <w:rFonts w:ascii="Times New Roman" w:hAnsi="Times New Roman" w:cs="Times New Roman"/>
          <w:sz w:val="24"/>
          <w:szCs w:val="24"/>
        </w:rPr>
        <w:t xml:space="preserve">Specyfikacji Istotnych Warunków Zamówienia oraz w </w:t>
      </w:r>
      <w:r w:rsidRPr="004D7E66">
        <w:rPr>
          <w:rFonts w:ascii="Times New Roman" w:hAnsi="Times New Roman" w:cs="Times New Roman"/>
          <w:sz w:val="24"/>
          <w:szCs w:val="24"/>
        </w:rPr>
        <w:t>zał. nr 7 do SIWZ</w:t>
      </w:r>
      <w:r w:rsidR="002D787C">
        <w:rPr>
          <w:rFonts w:ascii="Times New Roman" w:hAnsi="Times New Roman" w:cs="Times New Roman"/>
          <w:sz w:val="24"/>
          <w:szCs w:val="24"/>
        </w:rPr>
        <w:t xml:space="preserve"> </w:t>
      </w:r>
      <w:r w:rsidRPr="004D7E66">
        <w:rPr>
          <w:rFonts w:ascii="Times New Roman" w:hAnsi="Times New Roman" w:cs="Times New Roman"/>
          <w:sz w:val="24"/>
          <w:szCs w:val="24"/>
        </w:rPr>
        <w:t>w postęp</w:t>
      </w:r>
      <w:r w:rsidR="00A6645E" w:rsidRPr="004D7E66">
        <w:rPr>
          <w:rFonts w:ascii="Times New Roman" w:hAnsi="Times New Roman" w:cs="Times New Roman"/>
          <w:sz w:val="24"/>
          <w:szCs w:val="24"/>
        </w:rPr>
        <w:t xml:space="preserve">owaniu o udzielenie zamówienia </w:t>
      </w:r>
      <w:r w:rsidR="004D7E66" w:rsidRPr="004D7E66">
        <w:rPr>
          <w:rFonts w:ascii="Times New Roman" w:hAnsi="Times New Roman" w:cs="Times New Roman"/>
          <w:sz w:val="24"/>
          <w:szCs w:val="24"/>
        </w:rPr>
        <w:t>pn</w:t>
      </w:r>
      <w:r w:rsidR="004D7E66" w:rsidRPr="004D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D7E66" w:rsidRPr="004D7E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Zmiana sposobu użytkowania istniejącego budynku Policji na potrzeby sołectwa Brodnica oraz dobudowa wieży z garażem i salą przyjęć z zapleczem na potrzeby straży </w:t>
      </w:r>
      <w:r w:rsidR="002D78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4D7E66" w:rsidRPr="004D7E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sołectwa Brodnica – ETAP VI</w:t>
      </w:r>
      <w:r w:rsidRPr="004D7E66">
        <w:rPr>
          <w:rFonts w:ascii="Times New Roman" w:hAnsi="Times New Roman" w:cs="Times New Roman"/>
          <w:sz w:val="24"/>
          <w:szCs w:val="24"/>
        </w:rPr>
        <w:t xml:space="preserve">, prowadzonym w trybie przetargu nieograniczonego. </w:t>
      </w:r>
    </w:p>
    <w:p w:rsidR="00F80FF8" w:rsidRPr="004D7E66" w:rsidRDefault="00F80FF8" w:rsidP="00F80F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66">
        <w:rPr>
          <w:rFonts w:ascii="Times New Roman" w:hAnsi="Times New Roman" w:cs="Times New Roman"/>
          <w:sz w:val="24"/>
          <w:szCs w:val="24"/>
        </w:rPr>
        <w:t xml:space="preserve">Tabela zmian oraz załącznik w </w:t>
      </w:r>
      <w:r w:rsidR="008D6EB9" w:rsidRPr="004D7E66">
        <w:rPr>
          <w:rFonts w:ascii="Times New Roman" w:hAnsi="Times New Roman" w:cs="Times New Roman"/>
          <w:sz w:val="24"/>
          <w:szCs w:val="24"/>
        </w:rPr>
        <w:t xml:space="preserve">aktualnym brzmieniu są dostępne w Biuletynie Informacji Publicznej Gminy Brodnica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(strona www.brodnica.net.pl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 BIP </w:t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8D6EB9" w:rsidRPr="004D7E66">
        <w:rPr>
          <w:rFonts w:ascii="Times New Roman" w:hAnsi="Times New Roman" w:cs="Times New Roman"/>
          <w:b/>
          <w:sz w:val="24"/>
          <w:szCs w:val="24"/>
        </w:rPr>
        <w:t xml:space="preserve"> Przetargi).</w:t>
      </w:r>
    </w:p>
    <w:p w:rsidR="00F80FF8" w:rsidRPr="004D7E66" w:rsidRDefault="008D6EB9" w:rsidP="00A664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66">
        <w:rPr>
          <w:rFonts w:ascii="Times New Roman" w:hAnsi="Times New Roman" w:cs="Times New Roman"/>
          <w:sz w:val="24"/>
          <w:szCs w:val="24"/>
        </w:rPr>
        <w:t xml:space="preserve">Dokonane w załączniku zmiany nie spełniają przesłanek przewidzianych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w art. 12a ust 1 ustawy z dnia 29 stycznia 2004 r. Prawo zamówień publicznych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(Dz. U. z 2016 r. poz. 2164 z </w:t>
      </w:r>
      <w:proofErr w:type="spellStart"/>
      <w:r w:rsidRPr="004D7E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7E66">
        <w:rPr>
          <w:rFonts w:ascii="Times New Roman" w:hAnsi="Times New Roman" w:cs="Times New Roman"/>
          <w:sz w:val="24"/>
          <w:szCs w:val="24"/>
        </w:rPr>
        <w:t xml:space="preserve">. zm.). W związku z powyższym, Zamawiający informuje, iż termin składania ofert w postępowaniu o udzielenie zamówienia </w:t>
      </w:r>
      <w:r w:rsidRPr="004D7E6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6645E" w:rsidRPr="004D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Zmiana sposobu użytkowania istniejącego budynku Policji na potrzeby sołectwa Brodnica oraz dobudowa wieży z garażem i salą przyjęć z zapleczem na potrzeby straży </w:t>
      </w:r>
      <w:r w:rsidR="002D7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6645E" w:rsidRPr="004D7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sołectwa Brodnica – ETAP VI</w:t>
      </w:r>
      <w:r w:rsidR="00A6645E" w:rsidRPr="004D7E66">
        <w:rPr>
          <w:rFonts w:ascii="Times New Roman" w:hAnsi="Times New Roman" w:cs="Times New Roman"/>
          <w:sz w:val="24"/>
          <w:szCs w:val="24"/>
        </w:rPr>
        <w:t xml:space="preserve"> </w:t>
      </w:r>
      <w:r w:rsidRPr="004D7E66">
        <w:rPr>
          <w:rFonts w:ascii="Times New Roman" w:hAnsi="Times New Roman" w:cs="Times New Roman"/>
          <w:color w:val="FF0000"/>
          <w:sz w:val="24"/>
          <w:szCs w:val="24"/>
          <w:u w:val="single"/>
        </w:rPr>
        <w:t>nie ulega przedłużeniu.</w:t>
      </w:r>
      <w:r w:rsidRPr="004D7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7E66" w:rsidRDefault="004D7E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6645E" w:rsidRDefault="00A6645E" w:rsidP="00E65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TABELA ZMIAN W Specyfikacji Istotnych Warunków Zamówienia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3"/>
        <w:gridCol w:w="4397"/>
        <w:gridCol w:w="4397"/>
      </w:tblGrid>
      <w:tr w:rsidR="00A6645E" w:rsidRPr="0063463F" w:rsidTr="002A5ED4">
        <w:tc>
          <w:tcPr>
            <w:tcW w:w="1413" w:type="dxa"/>
          </w:tcPr>
          <w:p w:rsidR="00A6645E" w:rsidRPr="0063463F" w:rsidRDefault="00A6645E" w:rsidP="002A5E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§</w:t>
            </w:r>
          </w:p>
        </w:tc>
        <w:tc>
          <w:tcPr>
            <w:tcW w:w="4397" w:type="dxa"/>
          </w:tcPr>
          <w:p w:rsidR="00A6645E" w:rsidRPr="0063463F" w:rsidRDefault="00A6645E" w:rsidP="002A5ED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pierwotna</w:t>
            </w:r>
          </w:p>
        </w:tc>
        <w:tc>
          <w:tcPr>
            <w:tcW w:w="4397" w:type="dxa"/>
          </w:tcPr>
          <w:p w:rsidR="00A6645E" w:rsidRPr="0063463F" w:rsidRDefault="00A6645E" w:rsidP="002A5E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po zmianach</w:t>
            </w:r>
          </w:p>
        </w:tc>
      </w:tr>
      <w:tr w:rsidR="00A6645E" w:rsidRPr="0063463F" w:rsidTr="002A5ED4">
        <w:tc>
          <w:tcPr>
            <w:tcW w:w="1413" w:type="dxa"/>
            <w:vAlign w:val="center"/>
          </w:tcPr>
          <w:p w:rsidR="00A6645E" w:rsidRPr="0063463F" w:rsidRDefault="00A6645E" w:rsidP="00A6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3463F">
              <w:rPr>
                <w:rFonts w:ascii="Times New Roman" w:hAnsi="Times New Roman" w:cs="Times New Roman"/>
                <w:b/>
              </w:rPr>
              <w:t xml:space="preserve"> ust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7" w:type="dxa"/>
            <w:vAlign w:val="center"/>
          </w:tcPr>
          <w:p w:rsidR="00A6645E" w:rsidRPr="00A6645E" w:rsidRDefault="00A6645E" w:rsidP="002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3. </w:t>
            </w:r>
            <w:r w:rsidRPr="00A6645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Montaż stolarki drzwiowej wewnętrznej – stolarka aluminiowa, tj. montaż bramy przemysłowej segmentowej z aluminiowym panelem przeszklonym</w:t>
            </w: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segment 3 i 4, ilość przeszkleń 2, wymiar bramy 3,50 m x 4,0 m. Prowadzenie bramy standardowe (STL). Współczynnik przenikania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ciepła 1,0 W/m2K, grubość panelu</w:t>
            </w: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40mm, wodoszczelność klasa 2, wskaźnik izolacyjności akustycznej </w:t>
            </w:r>
            <w:proofErr w:type="spellStart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Rw</w:t>
            </w:r>
            <w:proofErr w:type="spellEnd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min. 23 </w:t>
            </w:r>
            <w:proofErr w:type="spellStart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dB</w:t>
            </w:r>
            <w:proofErr w:type="spellEnd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kolor RAL 3000, kolor ramki przeszklenia RAL 9005, powłoka sprężyn czarne, liczba cykli sprężeń 25 000, Automat do bramy typu GFA SE5 A z otwieraniem awaryjnym i odbiornikiem radiowym ilość  nadajników czterokanałowych – 2, zamek szyfrowy zewnętrzny.</w:t>
            </w:r>
          </w:p>
        </w:tc>
        <w:tc>
          <w:tcPr>
            <w:tcW w:w="4397" w:type="dxa"/>
            <w:vAlign w:val="center"/>
          </w:tcPr>
          <w:p w:rsidR="00A6645E" w:rsidRPr="0063463F" w:rsidRDefault="00A6645E" w:rsidP="00A6645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hAnsi="Times New Roman" w:cs="Times New Roman"/>
              </w:rPr>
              <w:t xml:space="preserve">3. </w:t>
            </w:r>
            <w:r w:rsidRPr="00A6645E">
              <w:rPr>
                <w:rFonts w:ascii="Times New Roman" w:hAnsi="Times New Roman" w:cs="Times New Roman"/>
                <w:b/>
                <w:i/>
              </w:rPr>
              <w:t>Montaż stolarki drzwiowej wewnętrznej – stolarka aluminiowa, tj. montaż bramy przemysłowej segmentowej z aluminiowym panelem przeszklonym</w:t>
            </w:r>
            <w:r w:rsidRPr="00A6645E">
              <w:rPr>
                <w:rFonts w:ascii="Times New Roman" w:hAnsi="Times New Roman" w:cs="Times New Roman"/>
              </w:rPr>
              <w:t>, segment 6, ilość przeszkleń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45E">
              <w:rPr>
                <w:rFonts w:ascii="Times New Roman" w:hAnsi="Times New Roman" w:cs="Times New Roman"/>
              </w:rPr>
              <w:t xml:space="preserve">4, wymiar bramy 3,50 m x 4,0 m. Prowadzenie bramy standardowe (STL). Współczynnik przenikania ciepła 1,0 W/m2K, grubość </w:t>
            </w:r>
            <w:proofErr w:type="spellStart"/>
            <w:r w:rsidRPr="00A6645E">
              <w:rPr>
                <w:rFonts w:ascii="Times New Roman" w:hAnsi="Times New Roman" w:cs="Times New Roman"/>
              </w:rPr>
              <w:t>panela</w:t>
            </w:r>
            <w:proofErr w:type="spellEnd"/>
            <w:r w:rsidRPr="00A6645E">
              <w:rPr>
                <w:rFonts w:ascii="Times New Roman" w:hAnsi="Times New Roman" w:cs="Times New Roman"/>
              </w:rPr>
              <w:t xml:space="preserve"> 40mm, wodoszczelność klasa 2, wskaźnik izolacyjności akustycznej </w:t>
            </w:r>
            <w:proofErr w:type="spellStart"/>
            <w:r w:rsidRPr="00A6645E">
              <w:rPr>
                <w:rFonts w:ascii="Times New Roman" w:hAnsi="Times New Roman" w:cs="Times New Roman"/>
              </w:rPr>
              <w:t>Rw</w:t>
            </w:r>
            <w:proofErr w:type="spellEnd"/>
            <w:r w:rsidRPr="00A6645E">
              <w:rPr>
                <w:rFonts w:ascii="Times New Roman" w:hAnsi="Times New Roman" w:cs="Times New Roman"/>
              </w:rPr>
              <w:t xml:space="preserve"> min. 23 </w:t>
            </w:r>
            <w:proofErr w:type="spellStart"/>
            <w:r w:rsidRPr="00A6645E">
              <w:rPr>
                <w:rFonts w:ascii="Times New Roman" w:hAnsi="Times New Roman" w:cs="Times New Roman"/>
              </w:rPr>
              <w:t>dB</w:t>
            </w:r>
            <w:proofErr w:type="spellEnd"/>
            <w:r w:rsidRPr="00A6645E">
              <w:rPr>
                <w:rFonts w:ascii="Times New Roman" w:hAnsi="Times New Roman" w:cs="Times New Roman"/>
              </w:rPr>
              <w:t>, kolor RAL 3000 przeszklenie ALU SZX2, typ przeszklenia SZX2, kolor ramki przeszklenia RAL 9005, powłoka sprężyn czarne lub ocynkowane, liczba cykli sprężeń 25 000, Automat do bramy typu GFA SE5 A z otwieraniem awaryjnym i odbiornikiem radiowym ilość  nadajników czterokanałowych – 2, zamek szyfrowy zewnętrzny.</w:t>
            </w:r>
          </w:p>
        </w:tc>
      </w:tr>
      <w:tr w:rsidR="00A2506D" w:rsidRPr="0063463F" w:rsidTr="00A2506D">
        <w:tc>
          <w:tcPr>
            <w:tcW w:w="1413" w:type="dxa"/>
            <w:vAlign w:val="center"/>
          </w:tcPr>
          <w:p w:rsidR="00A2506D" w:rsidRDefault="00A2506D" w:rsidP="00A6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7" w:type="dxa"/>
            <w:vAlign w:val="center"/>
          </w:tcPr>
          <w:p w:rsidR="00A2506D" w:rsidRPr="00A2506D" w:rsidRDefault="00A2506D" w:rsidP="00A2506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250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Ostateczny termin wykonania zadania: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29 września </w:t>
            </w:r>
            <w:r w:rsidRPr="00A25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2017 r. </w:t>
            </w:r>
          </w:p>
        </w:tc>
        <w:tc>
          <w:tcPr>
            <w:tcW w:w="4397" w:type="dxa"/>
            <w:vAlign w:val="center"/>
          </w:tcPr>
          <w:p w:rsidR="00A2506D" w:rsidRPr="00A6645E" w:rsidRDefault="00A2506D" w:rsidP="00A2506D">
            <w:pPr>
              <w:spacing w:before="120"/>
              <w:rPr>
                <w:rFonts w:ascii="Times New Roman" w:hAnsi="Times New Roman" w:cs="Times New Roman"/>
              </w:rPr>
            </w:pPr>
            <w:r w:rsidRPr="00A2506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Ostateczny termin wykonania zadania: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A250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13 październik 2017 r.</w:t>
            </w:r>
          </w:p>
        </w:tc>
      </w:tr>
      <w:tr w:rsidR="00A6645E" w:rsidRPr="0063463F" w:rsidTr="002A5ED4">
        <w:tc>
          <w:tcPr>
            <w:tcW w:w="1413" w:type="dxa"/>
            <w:vAlign w:val="center"/>
          </w:tcPr>
          <w:p w:rsidR="00A6645E" w:rsidRPr="0063463F" w:rsidRDefault="00A6645E" w:rsidP="002A5E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ust.1 pkt 1</w:t>
            </w:r>
            <w:r w:rsidRPr="006346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A6645E" w:rsidRPr="00A6645E" w:rsidRDefault="00A6645E" w:rsidP="00A6645E">
            <w:pPr>
              <w:tabs>
                <w:tab w:val="left" w:pos="34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Formularz ofertowy (według </w:t>
            </w:r>
            <w:r w:rsidRPr="00A66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załącznika nr 2 </w:t>
            </w: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do SIWZ) oraz przedmiar robót (wg.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załącznika </w:t>
            </w:r>
            <w:r w:rsidRPr="00A66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10</w:t>
            </w: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SIWZ);</w:t>
            </w:r>
          </w:p>
          <w:p w:rsidR="00A6645E" w:rsidRPr="0063463F" w:rsidRDefault="00A6645E" w:rsidP="002A5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A6645E" w:rsidRPr="00A6645E" w:rsidRDefault="00A6645E" w:rsidP="00A6645E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hAnsi="Times New Roman" w:cs="Times New Roman"/>
              </w:rPr>
              <w:t xml:space="preserve">Formularz ofertowy (według </w:t>
            </w:r>
            <w:r w:rsidRPr="00A6645E">
              <w:rPr>
                <w:rFonts w:ascii="Times New Roman" w:hAnsi="Times New Roman" w:cs="Times New Roman"/>
                <w:b/>
              </w:rPr>
              <w:t xml:space="preserve">załącznika nr 2 </w:t>
            </w:r>
            <w:r w:rsidRPr="00A6645E">
              <w:rPr>
                <w:rFonts w:ascii="Times New Roman" w:hAnsi="Times New Roman" w:cs="Times New Roman"/>
              </w:rPr>
              <w:t>do SIWZ)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645E" w:rsidRPr="0063463F" w:rsidRDefault="00A6645E" w:rsidP="002A5ED4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A6645E" w:rsidRPr="0063463F" w:rsidTr="002A5ED4">
        <w:tc>
          <w:tcPr>
            <w:tcW w:w="1413" w:type="dxa"/>
            <w:vAlign w:val="center"/>
          </w:tcPr>
          <w:p w:rsidR="00A6645E" w:rsidRPr="0063463F" w:rsidRDefault="00A6645E" w:rsidP="002A5E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63F">
              <w:rPr>
                <w:rFonts w:ascii="Times New Roman" w:hAnsi="Times New Roman" w:cs="Times New Roman"/>
                <w:b/>
              </w:rPr>
              <w:t>12 pkt 1</w:t>
            </w:r>
          </w:p>
        </w:tc>
        <w:tc>
          <w:tcPr>
            <w:tcW w:w="4397" w:type="dxa"/>
            <w:vAlign w:val="center"/>
          </w:tcPr>
          <w:p w:rsidR="00A6645E" w:rsidRPr="0063463F" w:rsidRDefault="00A6645E" w:rsidP="002A5ED4">
            <w:pPr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ofertowa jest ceną brutto za wykonanie całego przedmiotu zamówienia, która obliczana jest na podstawie dokumentacji projektowej, przedmiaru i specyfikacji. Wymienione dokumenty służą zobrazowaniu skali zamierzenia i ułatwieniu w oszacowaniu kosztów realizacji zamówienia, dlatego co do zasady pełnią funkcję pomocniczą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;</w:t>
            </w:r>
          </w:p>
        </w:tc>
        <w:tc>
          <w:tcPr>
            <w:tcW w:w="4397" w:type="dxa"/>
            <w:vAlign w:val="center"/>
          </w:tcPr>
          <w:p w:rsidR="00A6645E" w:rsidRPr="0063463F" w:rsidRDefault="00A6645E" w:rsidP="00A6645E">
            <w:pPr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hAnsi="Times New Roman" w:cs="Times New Roman"/>
              </w:rPr>
              <w:t>Cena ofertowa jest ceną brutto za wykonanie całego przedmiotu zamówienia, która obliczana jest na podstawie dokumentacji projektowej i specyfikacji. Wymienione dokumenty służą zobrazowaniu skali zamierzenia i ułatwieniu w oszacowaniu kosztów realizacji zamówienia, dlatego co do zasady pełnią funkcję pomocniczą</w:t>
            </w:r>
            <w:r w:rsidRPr="0063463F">
              <w:rPr>
                <w:rFonts w:ascii="Times New Roman" w:hAnsi="Times New Roman" w:cs="Times New Roman"/>
              </w:rPr>
              <w:t>;</w:t>
            </w:r>
          </w:p>
        </w:tc>
      </w:tr>
      <w:tr w:rsidR="00A6645E" w:rsidRPr="0063463F" w:rsidTr="002A5ED4">
        <w:tc>
          <w:tcPr>
            <w:tcW w:w="1413" w:type="dxa"/>
            <w:vAlign w:val="center"/>
          </w:tcPr>
          <w:p w:rsidR="00A6645E" w:rsidRPr="0063463F" w:rsidRDefault="00A6645E" w:rsidP="00A664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346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pkt 10</w:t>
            </w:r>
          </w:p>
        </w:tc>
        <w:tc>
          <w:tcPr>
            <w:tcW w:w="4397" w:type="dxa"/>
            <w:vAlign w:val="center"/>
          </w:tcPr>
          <w:p w:rsidR="00A6645E" w:rsidRPr="004D7E66" w:rsidRDefault="00A6645E" w:rsidP="004D7E66">
            <w:pPr>
              <w:numPr>
                <w:ilvl w:val="0"/>
                <w:numId w:val="2"/>
              </w:num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6645E">
              <w:rPr>
                <w:rFonts w:ascii="Times New Roman" w:hAnsi="Times New Roman" w:cs="Times New Roman"/>
                <w:sz w:val="24"/>
              </w:rPr>
              <w:t>przedmiar robót</w:t>
            </w:r>
            <w:r w:rsidRPr="00A6645E">
              <w:rPr>
                <w:rFonts w:ascii="Times New Roman" w:hAnsi="Times New Roman" w:cs="Times New Roman"/>
                <w:b/>
                <w:sz w:val="24"/>
              </w:rPr>
              <w:t xml:space="preserve"> – załącznik nr 10;</w:t>
            </w:r>
          </w:p>
        </w:tc>
        <w:tc>
          <w:tcPr>
            <w:tcW w:w="4397" w:type="dxa"/>
            <w:vAlign w:val="center"/>
          </w:tcPr>
          <w:p w:rsidR="00A6645E" w:rsidRPr="0063463F" w:rsidRDefault="00A6645E" w:rsidP="00A6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usunięto</w:t>
            </w:r>
          </w:p>
        </w:tc>
      </w:tr>
    </w:tbl>
    <w:p w:rsidR="00A6645E" w:rsidRDefault="00A6645E" w:rsidP="00E659E8">
      <w:pPr>
        <w:jc w:val="center"/>
        <w:rPr>
          <w:rFonts w:ascii="Times New Roman" w:hAnsi="Times New Roman" w:cs="Times New Roman"/>
          <w:b/>
          <w:sz w:val="28"/>
        </w:rPr>
      </w:pPr>
    </w:p>
    <w:p w:rsidR="00A6645E" w:rsidRDefault="00A66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83797" w:rsidRPr="0063463F" w:rsidRDefault="00E659E8" w:rsidP="00E659E8">
      <w:pPr>
        <w:jc w:val="center"/>
        <w:rPr>
          <w:rFonts w:ascii="Times New Roman" w:hAnsi="Times New Roman" w:cs="Times New Roman"/>
          <w:b/>
          <w:sz w:val="28"/>
        </w:rPr>
      </w:pPr>
      <w:r w:rsidRPr="0063463F">
        <w:rPr>
          <w:rFonts w:ascii="Times New Roman" w:hAnsi="Times New Roman" w:cs="Times New Roman"/>
          <w:b/>
          <w:sz w:val="28"/>
        </w:rPr>
        <w:lastRenderedPageBreak/>
        <w:t xml:space="preserve">TABELA ZMIAN W ZAŁĄCZNIKU NR 7 </w:t>
      </w:r>
    </w:p>
    <w:p w:rsidR="00E659E8" w:rsidRPr="0063463F" w:rsidRDefault="00E659E8" w:rsidP="00E659E8">
      <w:pPr>
        <w:jc w:val="center"/>
        <w:rPr>
          <w:rFonts w:ascii="Times New Roman" w:hAnsi="Times New Roman" w:cs="Times New Roman"/>
          <w:b/>
          <w:sz w:val="28"/>
        </w:rPr>
      </w:pPr>
      <w:r w:rsidRPr="0063463F">
        <w:rPr>
          <w:rFonts w:ascii="Times New Roman" w:hAnsi="Times New Roman" w:cs="Times New Roman"/>
          <w:b/>
          <w:sz w:val="28"/>
        </w:rPr>
        <w:t>Wzór umowy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3"/>
        <w:gridCol w:w="4397"/>
        <w:gridCol w:w="4397"/>
      </w:tblGrid>
      <w:tr w:rsidR="00E659E8" w:rsidRPr="0063463F" w:rsidTr="0063463F">
        <w:tc>
          <w:tcPr>
            <w:tcW w:w="1413" w:type="dxa"/>
          </w:tcPr>
          <w:p w:rsidR="00E659E8" w:rsidRPr="0063463F" w:rsidRDefault="0063463F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§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pierwotna</w:t>
            </w:r>
          </w:p>
        </w:tc>
        <w:tc>
          <w:tcPr>
            <w:tcW w:w="4397" w:type="dxa"/>
          </w:tcPr>
          <w:p w:rsidR="00E659E8" w:rsidRPr="0063463F" w:rsidRDefault="00E659E8" w:rsidP="00E659E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463F">
              <w:rPr>
                <w:rFonts w:ascii="Times New Roman" w:hAnsi="Times New Roman" w:cs="Times New Roman"/>
                <w:b/>
                <w:sz w:val="32"/>
              </w:rPr>
              <w:t>Treść po zmianach</w:t>
            </w: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A6645E" w:rsidP="00A6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ust. 3</w:t>
            </w:r>
          </w:p>
        </w:tc>
        <w:tc>
          <w:tcPr>
            <w:tcW w:w="4397" w:type="dxa"/>
            <w:vAlign w:val="center"/>
          </w:tcPr>
          <w:p w:rsidR="00A6645E" w:rsidRPr="00A6645E" w:rsidRDefault="00A6645E" w:rsidP="00A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3. </w:t>
            </w:r>
            <w:r w:rsidRPr="00A6645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Montaż stolarki drzwiowej wewnętrznej – stolarka aluminiowa, tj. montaż bramy przemysłowej segmentowej z aluminiowym panelem przeszklonym</w:t>
            </w: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segment 3 i 4, ilość przeszkleń 2, wymiar bramy 3,50 m x 4,0 m. Prowadzenie bramy standardowe (STL). Współczynnik przenikania ciepła 1,0 W/m2K, grubość </w:t>
            </w:r>
            <w:proofErr w:type="spellStart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panela</w:t>
            </w:r>
            <w:proofErr w:type="spellEnd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40mm, wodoszczelność klasa 2, wskaźnik izolacyjności akustycznej </w:t>
            </w:r>
            <w:proofErr w:type="spellStart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Rw</w:t>
            </w:r>
            <w:proofErr w:type="spellEnd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min. 23 </w:t>
            </w:r>
            <w:proofErr w:type="spellStart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dB</w:t>
            </w:r>
            <w:proofErr w:type="spellEnd"/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kolor RAL 3000, kolor ramki przeszklenia RAL 9005, powłoka sprężyn czarne, liczba cykli sprężeń 25 000, Automat do bramy typu GFA SE5 A z otwieraniem awaryjnym i odbiornikiem radiowym ilość  nadajników czterokanałowych – 2, zamek szyfrowy zewnętrzny.</w:t>
            </w:r>
          </w:p>
          <w:p w:rsidR="00E659E8" w:rsidRPr="0063463F" w:rsidRDefault="00E659E8" w:rsidP="00634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E659E8" w:rsidRPr="0063463F" w:rsidRDefault="00A6645E" w:rsidP="00A6645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hAnsi="Times New Roman" w:cs="Times New Roman"/>
              </w:rPr>
              <w:t xml:space="preserve">3. </w:t>
            </w:r>
            <w:r w:rsidRPr="00A6645E">
              <w:rPr>
                <w:rFonts w:ascii="Times New Roman" w:hAnsi="Times New Roman" w:cs="Times New Roman"/>
                <w:b/>
                <w:i/>
              </w:rPr>
              <w:t>Montaż stolarki drzwiowej wewnętrznej – stolarka aluminiowa, tj. montaż bramy przemysłowej segmentowej z aluminiowym panelem przeszklonym</w:t>
            </w:r>
            <w:r w:rsidRPr="00A6645E">
              <w:rPr>
                <w:rFonts w:ascii="Times New Roman" w:hAnsi="Times New Roman" w:cs="Times New Roman"/>
              </w:rPr>
              <w:t xml:space="preserve">, segment 6, ilość przeszkleń 4, wymiar bramy 3,50 m x 4,0 m. Prowadzenie bramy standardowe (STL). Współczynnik przenikania ciepła 1,0 W/m2K, grubość </w:t>
            </w:r>
            <w:proofErr w:type="spellStart"/>
            <w:r w:rsidRPr="00A6645E">
              <w:rPr>
                <w:rFonts w:ascii="Times New Roman" w:hAnsi="Times New Roman" w:cs="Times New Roman"/>
              </w:rPr>
              <w:t>panela</w:t>
            </w:r>
            <w:proofErr w:type="spellEnd"/>
            <w:r w:rsidRPr="00A6645E">
              <w:rPr>
                <w:rFonts w:ascii="Times New Roman" w:hAnsi="Times New Roman" w:cs="Times New Roman"/>
              </w:rPr>
              <w:t xml:space="preserve"> 40mm, wodoszczelność klasa 2, wskaźnik izolacyjności akustycznej </w:t>
            </w:r>
            <w:proofErr w:type="spellStart"/>
            <w:r w:rsidRPr="00A6645E">
              <w:rPr>
                <w:rFonts w:ascii="Times New Roman" w:hAnsi="Times New Roman" w:cs="Times New Roman"/>
              </w:rPr>
              <w:t>Rw</w:t>
            </w:r>
            <w:proofErr w:type="spellEnd"/>
            <w:r w:rsidRPr="00A6645E">
              <w:rPr>
                <w:rFonts w:ascii="Times New Roman" w:hAnsi="Times New Roman" w:cs="Times New Roman"/>
              </w:rPr>
              <w:t xml:space="preserve"> min. 23 </w:t>
            </w:r>
            <w:proofErr w:type="spellStart"/>
            <w:r w:rsidRPr="00A6645E">
              <w:rPr>
                <w:rFonts w:ascii="Times New Roman" w:hAnsi="Times New Roman" w:cs="Times New Roman"/>
              </w:rPr>
              <w:t>dB</w:t>
            </w:r>
            <w:proofErr w:type="spellEnd"/>
            <w:r w:rsidRPr="00A6645E">
              <w:rPr>
                <w:rFonts w:ascii="Times New Roman" w:hAnsi="Times New Roman" w:cs="Times New Roman"/>
              </w:rPr>
              <w:t>, kolor RAL 3000 przeszklenie ALU SZX2, typ przeszklenia SZX2, kolor ramki przeszklenia RAL 9005, powłoka sprężyn czarne lub ocynkowane, liczba cykli sprężeń 25 000, Automat do bramy typu GFA SE5 A z otwieraniem awaryjnym i odbiornikiem radiowym ilość  nadajników czterokanałowych – 2, zamek szyfrowy zewnętrzny.</w:t>
            </w:r>
          </w:p>
        </w:tc>
      </w:tr>
      <w:tr w:rsidR="00E659E8" w:rsidRPr="0063463F" w:rsidTr="0063463F">
        <w:tc>
          <w:tcPr>
            <w:tcW w:w="1413" w:type="dxa"/>
            <w:vAlign w:val="center"/>
          </w:tcPr>
          <w:p w:rsidR="00E659E8" w:rsidRPr="0063463F" w:rsidRDefault="00A6645E" w:rsidP="00A66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ust. 10</w:t>
            </w:r>
          </w:p>
        </w:tc>
        <w:tc>
          <w:tcPr>
            <w:tcW w:w="4397" w:type="dxa"/>
            <w:vAlign w:val="center"/>
          </w:tcPr>
          <w:p w:rsidR="00E659E8" w:rsidRPr="0063463F" w:rsidRDefault="00A6645E" w:rsidP="00A6645E">
            <w:pPr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zobowiązuje się wykonać roboty budowlane, które nie zostały wyszczególnione w przedmiarze robót a są konieczne do realizacji przedmiotu Umowy zgodnie z wykonanym projektem.</w:t>
            </w:r>
          </w:p>
        </w:tc>
        <w:tc>
          <w:tcPr>
            <w:tcW w:w="4397" w:type="dxa"/>
            <w:vAlign w:val="center"/>
          </w:tcPr>
          <w:p w:rsidR="00E659E8" w:rsidRPr="0063463F" w:rsidRDefault="00A6645E" w:rsidP="00A6645E">
            <w:pPr>
              <w:jc w:val="both"/>
              <w:rPr>
                <w:rFonts w:ascii="Times New Roman" w:hAnsi="Times New Roman" w:cs="Times New Roman"/>
              </w:rPr>
            </w:pPr>
            <w:r w:rsidRPr="00A6645E">
              <w:rPr>
                <w:rFonts w:ascii="Times New Roman" w:hAnsi="Times New Roman" w:cs="Times New Roman"/>
              </w:rPr>
              <w:t xml:space="preserve">Wykonawca zobowiązuje się wykonać roboty budowlane, które nie zostały wskazane w opisie przedmiotu zamówienia a są konieczne </w:t>
            </w:r>
            <w:r>
              <w:rPr>
                <w:rFonts w:ascii="Times New Roman" w:hAnsi="Times New Roman" w:cs="Times New Roman"/>
              </w:rPr>
              <w:br/>
            </w:r>
            <w:r w:rsidRPr="00A6645E">
              <w:rPr>
                <w:rFonts w:ascii="Times New Roman" w:hAnsi="Times New Roman" w:cs="Times New Roman"/>
              </w:rPr>
              <w:t xml:space="preserve">do realizacji przedmiotu Umowy zgodnie </w:t>
            </w:r>
            <w:r>
              <w:rPr>
                <w:rFonts w:ascii="Times New Roman" w:hAnsi="Times New Roman" w:cs="Times New Roman"/>
              </w:rPr>
              <w:br/>
            </w:r>
            <w:r w:rsidRPr="00A6645E">
              <w:rPr>
                <w:rFonts w:ascii="Times New Roman" w:hAnsi="Times New Roman" w:cs="Times New Roman"/>
              </w:rPr>
              <w:t>z wykonanym projektem.</w:t>
            </w:r>
          </w:p>
        </w:tc>
      </w:tr>
    </w:tbl>
    <w:p w:rsidR="0063463F" w:rsidRDefault="0063463F" w:rsidP="0063463F">
      <w:pPr>
        <w:rPr>
          <w:rFonts w:ascii="Times New Roman" w:hAnsi="Times New Roman" w:cs="Times New Roman"/>
        </w:rPr>
      </w:pPr>
    </w:p>
    <w:p w:rsidR="002D787C" w:rsidRPr="002D787C" w:rsidRDefault="002D787C" w:rsidP="002D787C">
      <w:pPr>
        <w:ind w:left="567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787C">
        <w:rPr>
          <w:rFonts w:ascii="Times New Roman" w:hAnsi="Times New Roman" w:cs="Times New Roman"/>
          <w:b/>
          <w:color w:val="000000" w:themeColor="text1"/>
        </w:rPr>
        <w:t>Wójt Gminy Brodnica</w:t>
      </w:r>
    </w:p>
    <w:p w:rsidR="002D787C" w:rsidRPr="002D787C" w:rsidRDefault="002D787C" w:rsidP="002D787C">
      <w:pPr>
        <w:ind w:left="567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787C">
        <w:rPr>
          <w:rFonts w:ascii="Times New Roman" w:hAnsi="Times New Roman" w:cs="Times New Roman"/>
          <w:b/>
          <w:color w:val="000000" w:themeColor="text1"/>
        </w:rPr>
        <w:t>-- mgr inż. Marek Pakowski --</w:t>
      </w:r>
    </w:p>
    <w:sectPr w:rsidR="002D787C" w:rsidRPr="002D787C" w:rsidSect="007736A3">
      <w:headerReference w:type="default" r:id="rId7"/>
      <w:footerReference w:type="default" r:id="rId8"/>
      <w:pgSz w:w="11906" w:h="16838"/>
      <w:pgMar w:top="426" w:right="1417" w:bottom="1417" w:left="1417" w:header="4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53" w:rsidRDefault="005B1153" w:rsidP="007736A3">
      <w:pPr>
        <w:spacing w:after="0" w:line="240" w:lineRule="auto"/>
      </w:pPr>
      <w:r>
        <w:separator/>
      </w:r>
    </w:p>
  </w:endnote>
  <w:endnote w:type="continuationSeparator" w:id="0">
    <w:p w:rsidR="005B1153" w:rsidRDefault="005B1153" w:rsidP="007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7736A3" w:rsidRPr="007736A3" w:rsidTr="00E77C73">
      <w:trPr>
        <w:trHeight w:val="1049"/>
      </w:trPr>
      <w:tc>
        <w:tcPr>
          <w:tcW w:w="5268" w:type="dxa"/>
          <w:shd w:val="clear" w:color="auto" w:fill="auto"/>
        </w:tcPr>
        <w:p w:rsidR="007736A3" w:rsidRPr="007736A3" w:rsidRDefault="007736A3" w:rsidP="007736A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pl-PL"/>
            </w:rPr>
            <w:t>Urząd Gminy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63-112 Brodnica, 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NIP: 785-12-94-531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Regon: 000533133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Godziny otwarcia Urzędu Gminy: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br/>
            <w:t xml:space="preserve">poniedziałek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8:00 do 16:00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wtorek - piątek: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od 7.00 do 15.00</w:t>
          </w:r>
        </w:p>
      </w:tc>
      <w:tc>
        <w:tcPr>
          <w:tcW w:w="5270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tel. +48 61 2823527, 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fax +48 61 2823558</w:t>
          </w: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br/>
            <w:t xml:space="preserve">e-mail: </w:t>
          </w:r>
          <w:hyperlink r:id="rId1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ug@brodnica.net.pl</w:t>
            </w:r>
          </w:hyperlink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>,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</w:pPr>
          <w:r w:rsidRPr="007736A3">
            <w:rPr>
              <w:rFonts w:ascii="Arial" w:eastAsia="Times New Roman" w:hAnsi="Arial" w:cs="Arial"/>
              <w:color w:val="000000"/>
              <w:sz w:val="18"/>
              <w:szCs w:val="18"/>
              <w:lang w:val="en-US" w:eastAsia="pl-PL"/>
            </w:rPr>
            <w:t xml:space="preserve">http: </w:t>
          </w:r>
          <w:hyperlink r:id="rId2" w:tgtFrame="_blank" w:history="1">
            <w:r w:rsidRPr="007736A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 w:eastAsia="pl-PL"/>
              </w:rPr>
              <w:t>www.brodnica.net.pl</w:t>
            </w:r>
          </w:hyperlink>
        </w:p>
      </w:tc>
    </w:tr>
  </w:tbl>
  <w:p w:rsidR="007736A3" w:rsidRPr="007736A3" w:rsidRDefault="007736A3" w:rsidP="007736A3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</w:p>
  <w:p w:rsidR="007736A3" w:rsidRDefault="0077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53" w:rsidRDefault="005B1153" w:rsidP="007736A3">
      <w:pPr>
        <w:spacing w:after="0" w:line="240" w:lineRule="auto"/>
      </w:pPr>
      <w:r>
        <w:separator/>
      </w:r>
    </w:p>
  </w:footnote>
  <w:footnote w:type="continuationSeparator" w:id="0">
    <w:p w:rsidR="005B1153" w:rsidRDefault="005B1153" w:rsidP="007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7736A3" w:rsidRPr="007736A3" w:rsidTr="00E77C73">
      <w:trPr>
        <w:trHeight w:val="1276"/>
      </w:trPr>
      <w:tc>
        <w:tcPr>
          <w:tcW w:w="2235" w:type="dxa"/>
          <w:shd w:val="clear" w:color="auto" w:fill="auto"/>
        </w:tcPr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7736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418533C" wp14:editId="443E139E">
                <wp:extent cx="561975" cy="685800"/>
                <wp:effectExtent l="0" t="0" r="9525" b="0"/>
                <wp:docPr id="21" name="Obraz 2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736A3" w:rsidRPr="007736A3" w:rsidRDefault="005C175B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GMINA BRODNICA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</w:pPr>
          <w:r w:rsidRPr="007736A3">
            <w:rPr>
              <w:rFonts w:ascii="Georgia" w:eastAsia="Times New Roman" w:hAnsi="Georgia" w:cs="Times New Roman"/>
              <w:b/>
              <w:sz w:val="24"/>
              <w:szCs w:val="24"/>
              <w:lang w:eastAsia="pl-PL"/>
            </w:rPr>
            <w:t>Brodnica 41</w:t>
          </w:r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4"/>
              <w:szCs w:val="16"/>
              <w:lang w:val="en-US" w:eastAsia="pl-PL"/>
            </w:rPr>
          </w:pPr>
          <w:r w:rsidRPr="007736A3"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  <w:t xml:space="preserve">e-mail: </w:t>
          </w:r>
          <w:hyperlink r:id="rId2" w:history="1">
            <w:r w:rsidRPr="007736A3">
              <w:rPr>
                <w:rFonts w:ascii="Georgia" w:eastAsia="Times New Roman" w:hAnsi="Georgia" w:cs="Times New Roman"/>
                <w:b/>
                <w:i/>
                <w:color w:val="0000FF"/>
                <w:sz w:val="18"/>
                <w:szCs w:val="20"/>
                <w:u w:val="single"/>
                <w:lang w:val="en-US" w:eastAsia="pl-PL"/>
              </w:rPr>
              <w:t>ug@brodnica.net.pl</w:t>
            </w:r>
          </w:hyperlink>
        </w:p>
        <w:p w:rsidR="007736A3" w:rsidRPr="007736A3" w:rsidRDefault="007736A3" w:rsidP="007736A3">
          <w:pPr>
            <w:tabs>
              <w:tab w:val="center" w:pos="4536"/>
              <w:tab w:val="right" w:pos="9072"/>
            </w:tabs>
            <w:spacing w:before="120" w:after="120" w:line="360" w:lineRule="auto"/>
            <w:jc w:val="center"/>
            <w:rPr>
              <w:rFonts w:ascii="Georgia" w:eastAsia="Times New Roman" w:hAnsi="Georgia" w:cs="Times New Roman"/>
              <w:b/>
              <w:i/>
              <w:sz w:val="16"/>
              <w:szCs w:val="16"/>
              <w:lang w:val="en-US" w:eastAsia="pl-PL"/>
            </w:rPr>
          </w:pPr>
        </w:p>
      </w:tc>
    </w:tr>
  </w:tbl>
  <w:p w:rsidR="007736A3" w:rsidRDefault="00773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1A"/>
    <w:multiLevelType w:val="singleLevel"/>
    <w:tmpl w:val="F8A69EAA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8"/>
    <w:rsid w:val="00283797"/>
    <w:rsid w:val="002D787C"/>
    <w:rsid w:val="00415F8C"/>
    <w:rsid w:val="004507CE"/>
    <w:rsid w:val="004D7E66"/>
    <w:rsid w:val="005B1153"/>
    <w:rsid w:val="005C175B"/>
    <w:rsid w:val="0063463F"/>
    <w:rsid w:val="00634EB5"/>
    <w:rsid w:val="007736A3"/>
    <w:rsid w:val="008D6EB9"/>
    <w:rsid w:val="00A2506D"/>
    <w:rsid w:val="00A6645E"/>
    <w:rsid w:val="00B939BF"/>
    <w:rsid w:val="00C31369"/>
    <w:rsid w:val="00E659E8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38CE2-F5FF-441C-A907-F5BE22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A3"/>
  </w:style>
  <w:style w:type="paragraph" w:styleId="Stopka">
    <w:name w:val="footer"/>
    <w:basedOn w:val="Normalny"/>
    <w:link w:val="StopkaZnak"/>
    <w:uiPriority w:val="99"/>
    <w:unhideWhenUsed/>
    <w:rsid w:val="0077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A3"/>
  </w:style>
  <w:style w:type="character" w:styleId="Hipercze">
    <w:name w:val="Hyperlink"/>
    <w:basedOn w:val="Domylnaczcionkaakapitu"/>
    <w:uiPriority w:val="99"/>
    <w:unhideWhenUsed/>
    <w:rsid w:val="008D6E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3</cp:revision>
  <cp:lastPrinted>2017-07-14T07:47:00Z</cp:lastPrinted>
  <dcterms:created xsi:type="dcterms:W3CDTF">2017-07-14T07:55:00Z</dcterms:created>
  <dcterms:modified xsi:type="dcterms:W3CDTF">2017-07-14T08:42:00Z</dcterms:modified>
</cp:coreProperties>
</file>