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16" w:rsidRDefault="00E07737">
      <w:pPr>
        <w:jc w:val="both"/>
        <w:rPr>
          <w:b/>
          <w:bCs/>
          <w:iCs/>
          <w:sz w:val="20"/>
          <w:szCs w:val="20"/>
          <w:lang w:eastAsia="ar-SA"/>
        </w:rPr>
      </w:pPr>
      <w:r>
        <w:rPr>
          <w:b/>
          <w:bCs/>
          <w:iCs/>
          <w:sz w:val="20"/>
          <w:szCs w:val="20"/>
          <w:lang w:eastAsia="ar-SA"/>
        </w:rPr>
        <w:t xml:space="preserve">Klauzura informacyjna dotycząca Rozporządzenia </w:t>
      </w:r>
      <w:r>
        <w:rPr>
          <w:b/>
          <w:bCs/>
          <w:iCs/>
          <w:color w:val="000000"/>
          <w:sz w:val="20"/>
          <w:szCs w:val="20"/>
          <w:lang w:eastAsia="ar-SA"/>
        </w:rPr>
        <w:t>Parlamentu Europejskiego i Rady (UE) 2016/679 z dnia 27 kwietnia 2016 r. w</w:t>
      </w:r>
      <w:r>
        <w:rPr>
          <w:b/>
          <w:bCs/>
          <w:iCs/>
          <w:sz w:val="20"/>
          <w:szCs w:val="20"/>
          <w:lang w:eastAsia="ar-SA"/>
        </w:rPr>
        <w:t xml:space="preserve"> </w:t>
      </w:r>
      <w:r>
        <w:rPr>
          <w:b/>
          <w:bCs/>
          <w:iCs/>
          <w:color w:val="000000"/>
          <w:sz w:val="20"/>
          <w:szCs w:val="20"/>
          <w:lang w:eastAsia="ar-SA"/>
        </w:rPr>
        <w:t>sprawie ochrony osób fizycznych w związku z przetwarzaniem danych osobowych i w sprawie swobodnego przepływu takich</w:t>
      </w:r>
      <w:r>
        <w:rPr>
          <w:b/>
          <w:bCs/>
          <w:iCs/>
          <w:sz w:val="20"/>
          <w:szCs w:val="20"/>
          <w:lang w:eastAsia="ar-SA"/>
        </w:rPr>
        <w:t xml:space="preserve"> </w:t>
      </w:r>
      <w:r>
        <w:rPr>
          <w:b/>
          <w:bCs/>
          <w:iCs/>
          <w:color w:val="000000"/>
          <w:sz w:val="20"/>
          <w:szCs w:val="20"/>
          <w:lang w:eastAsia="ar-SA"/>
        </w:rPr>
        <w:t>danych oraz uchylenia dyrektywy 95/46/WE (ogólne rozporządzenie o ochronie danych „RODO”)</w:t>
      </w:r>
      <w:r>
        <w:rPr>
          <w:b/>
          <w:bCs/>
          <w:iCs/>
          <w:sz w:val="20"/>
          <w:szCs w:val="20"/>
          <w:lang w:eastAsia="ar-SA"/>
        </w:rPr>
        <w:t xml:space="preserve">  </w:t>
      </w:r>
    </w:p>
    <w:p w:rsidR="00CE4016" w:rsidRDefault="00CE4016">
      <w:pPr>
        <w:widowControl w:val="0"/>
        <w:suppressAutoHyphens/>
        <w:rPr>
          <w:b/>
          <w:bCs/>
          <w:iCs/>
          <w:sz w:val="16"/>
          <w:szCs w:val="16"/>
          <w:u w:val="single"/>
          <w:lang w:eastAsia="ar-SA"/>
        </w:rPr>
      </w:pPr>
    </w:p>
    <w:p w:rsidR="00CE4016" w:rsidRDefault="00E0773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Realizując obowiązek informacyjny Administratora danych osobowych, uprzejmie informujemy, iż:</w:t>
      </w:r>
    </w:p>
    <w:p w:rsidR="00CE4016" w:rsidRDefault="00E07737" w:rsidP="006E3E56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>Administratorem danych osobowych, zawartych we wniosku</w:t>
      </w:r>
      <w:r w:rsidR="006E3E56">
        <w:rPr>
          <w:sz w:val="20"/>
          <w:szCs w:val="20"/>
        </w:rPr>
        <w:t xml:space="preserve"> o zwrot podatku akcyzowego zawartego w cenie oleju napędowego wykorzystywanego do produkcji rolnej</w:t>
      </w:r>
      <w:r w:rsidR="00DD61FC">
        <w:rPr>
          <w:sz w:val="20"/>
          <w:szCs w:val="20"/>
        </w:rPr>
        <w:t xml:space="preserve"> wraz z załącznikami</w:t>
      </w:r>
      <w:r w:rsidRPr="006E3E56">
        <w:rPr>
          <w:sz w:val="20"/>
          <w:szCs w:val="20"/>
        </w:rPr>
        <w:t>, który przetwarza Pana/Pani dane osobowe jest Wójt Gminy</w:t>
      </w:r>
      <w:r w:rsidR="0007736E">
        <w:rPr>
          <w:sz w:val="20"/>
          <w:szCs w:val="20"/>
        </w:rPr>
        <w:t xml:space="preserve"> Bolesławiec</w:t>
      </w:r>
      <w:r w:rsidRPr="006E3E56">
        <w:rPr>
          <w:sz w:val="20"/>
          <w:szCs w:val="20"/>
        </w:rPr>
        <w:t xml:space="preserve"> z siedzibą w </w:t>
      </w:r>
      <w:r w:rsidR="0007736E">
        <w:rPr>
          <w:sz w:val="20"/>
          <w:szCs w:val="20"/>
        </w:rPr>
        <w:t>Bolesławcu</w:t>
      </w:r>
      <w:r w:rsidRPr="006E3E56">
        <w:rPr>
          <w:sz w:val="20"/>
          <w:szCs w:val="20"/>
        </w:rPr>
        <w:t xml:space="preserve">, ul. </w:t>
      </w:r>
      <w:r w:rsidR="0007736E">
        <w:rPr>
          <w:sz w:val="20"/>
          <w:szCs w:val="20"/>
        </w:rPr>
        <w:t>Rynek</w:t>
      </w:r>
      <w:r w:rsidRPr="006E3E56">
        <w:rPr>
          <w:sz w:val="20"/>
          <w:szCs w:val="20"/>
        </w:rPr>
        <w:t xml:space="preserve"> 1,</w:t>
      </w:r>
      <w:r w:rsidR="006E3E56">
        <w:rPr>
          <w:sz w:val="20"/>
          <w:szCs w:val="20"/>
        </w:rPr>
        <w:t xml:space="preserve"> </w:t>
      </w:r>
      <w:r w:rsidR="0007736E">
        <w:rPr>
          <w:sz w:val="20"/>
          <w:szCs w:val="20"/>
        </w:rPr>
        <w:t>98-430 Bolesławiec</w:t>
      </w:r>
      <w:r w:rsidRPr="006E3E56">
        <w:rPr>
          <w:sz w:val="20"/>
          <w:szCs w:val="20"/>
        </w:rPr>
        <w:t xml:space="preserve">. 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 xml:space="preserve">Administrator wyznaczył Inspektora Ochrony Danych, z którym można się kontaktować poprzez email: </w:t>
      </w:r>
      <w:r w:rsidR="0007736E">
        <w:rPr>
          <w:sz w:val="20"/>
          <w:szCs w:val="20"/>
        </w:rPr>
        <w:t>inspektor.odo@boleslawiec.net.pl</w:t>
      </w:r>
      <w:bookmarkStart w:id="0" w:name="_GoBack"/>
      <w:bookmarkEnd w:id="0"/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>Pani/Pana dane osobowe są przetwarzane (w tym są zbierane) przez Administratora wyłącznie w celu:</w:t>
      </w:r>
    </w:p>
    <w:p w:rsidR="00CE4016" w:rsidRDefault="00E07737">
      <w:pPr>
        <w:pStyle w:val="Akapitzlist"/>
        <w:numPr>
          <w:ilvl w:val="0"/>
          <w:numId w:val="2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>wypełnienia obowiązku prawnego ciążącego na administratorze,</w:t>
      </w:r>
    </w:p>
    <w:p w:rsidR="00CE4016" w:rsidRPr="006E3E56" w:rsidRDefault="00E07737">
      <w:pPr>
        <w:pStyle w:val="Akapitzlist"/>
        <w:numPr>
          <w:ilvl w:val="0"/>
          <w:numId w:val="2"/>
        </w:numPr>
        <w:spacing w:after="120" w:line="252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dochodzenia ewentualnych roszczeń.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 w:rsidRPr="006E3E56">
        <w:rPr>
          <w:sz w:val="20"/>
          <w:szCs w:val="20"/>
        </w:rPr>
        <w:t>Podstawa prawna przetwarzania przez Administratora Pani/Pana danych osobowych: art. 6 ust. 1 lit. c RODO, zgodnie z którego treścią dopuszcza się przetwarzanie danych osobowych jeśli jest to niezbędne do wypełnienia</w:t>
      </w:r>
      <w:r>
        <w:rPr>
          <w:sz w:val="20"/>
          <w:szCs w:val="20"/>
        </w:rPr>
        <w:t xml:space="preserve"> obowiązku prawnego ciążącego na administratorze. Podanie przez Pana/Panią danych osobowych jest </w:t>
      </w:r>
      <w:r>
        <w:rPr>
          <w:b/>
          <w:sz w:val="20"/>
          <w:szCs w:val="20"/>
        </w:rPr>
        <w:t>obowiązkowe</w:t>
      </w:r>
      <w:r>
        <w:rPr>
          <w:sz w:val="20"/>
          <w:szCs w:val="20"/>
        </w:rPr>
        <w:t>. Niepodanie tych danych uniemożliwia przeprowadzenie postępowania, w wyniku którego wydana  zastanie decyzja administracyjna.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>Pani/Pana dane osobowe mogą być przekazywane następującym kategoriom odbiorców:</w:t>
      </w:r>
    </w:p>
    <w:p w:rsidR="00CE4016" w:rsidRDefault="00E07737">
      <w:pPr>
        <w:pStyle w:val="Akapitzlist"/>
        <w:numPr>
          <w:ilvl w:val="0"/>
          <w:numId w:val="3"/>
        </w:numPr>
        <w:spacing w:after="160" w:line="252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podmiotom uprawnionym na podstawie przepisów prawa,</w:t>
      </w:r>
    </w:p>
    <w:p w:rsidR="00CE4016" w:rsidRDefault="00E07737">
      <w:pPr>
        <w:pStyle w:val="Akapitzlist"/>
        <w:numPr>
          <w:ilvl w:val="0"/>
          <w:numId w:val="3"/>
        </w:numPr>
        <w:spacing w:after="160" w:line="252" w:lineRule="auto"/>
        <w:ind w:left="284" w:hanging="284"/>
        <w:jc w:val="both"/>
      </w:pPr>
      <w:r>
        <w:rPr>
          <w:sz w:val="20"/>
          <w:szCs w:val="20"/>
        </w:rPr>
        <w:t>podmiotom współpracującym z Administratorem w zakresie realizacji świadczeń niezbędnych dla realizacji przedmiotowego procesu i zarządzania naszym podmiotem, w tym zwłaszcza podmiotom zaopatrującym Administratora w umożliwiające ich realizację rozwiązania techniczne i organizacyjne, a zwłaszcza dostawcom usług:</w:t>
      </w:r>
    </w:p>
    <w:p w:rsidR="00CE4016" w:rsidRDefault="00E07737">
      <w:pPr>
        <w:pStyle w:val="Akapitzlist"/>
        <w:numPr>
          <w:ilvl w:val="0"/>
          <w:numId w:val="4"/>
        </w:numPr>
        <w:spacing w:after="160" w:line="252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teleinformatycznych,</w:t>
      </w:r>
    </w:p>
    <w:p w:rsidR="00CE4016" w:rsidRDefault="00E07737">
      <w:pPr>
        <w:pStyle w:val="Akapitzlist"/>
        <w:numPr>
          <w:ilvl w:val="0"/>
          <w:numId w:val="4"/>
        </w:numPr>
        <w:spacing w:after="160" w:line="252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księgowych,</w:t>
      </w:r>
    </w:p>
    <w:p w:rsidR="00CE4016" w:rsidRDefault="00E07737">
      <w:pPr>
        <w:pStyle w:val="Akapitzlist"/>
        <w:numPr>
          <w:ilvl w:val="0"/>
          <w:numId w:val="4"/>
        </w:numPr>
        <w:spacing w:after="160" w:line="252" w:lineRule="auto"/>
        <w:ind w:left="709" w:hanging="425"/>
        <w:jc w:val="both"/>
      </w:pPr>
      <w:r>
        <w:rPr>
          <w:sz w:val="20"/>
          <w:szCs w:val="20"/>
        </w:rPr>
        <w:t xml:space="preserve">prawnych, doradczych oraz wspierających Administratora </w:t>
      </w:r>
    </w:p>
    <w:p w:rsidR="00CE4016" w:rsidRDefault="00E07737">
      <w:pPr>
        <w:pStyle w:val="Akapitzlist"/>
        <w:numPr>
          <w:ilvl w:val="0"/>
          <w:numId w:val="4"/>
        </w:numPr>
        <w:spacing w:after="160" w:line="252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kurierskich i pocztowych,</w:t>
      </w:r>
    </w:p>
    <w:p w:rsidR="00CE4016" w:rsidRDefault="00E07737">
      <w:pPr>
        <w:pStyle w:val="Akapitzlist"/>
        <w:numPr>
          <w:ilvl w:val="0"/>
          <w:numId w:val="4"/>
        </w:numPr>
        <w:spacing w:after="160" w:line="252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archiwizacyjnych,</w:t>
      </w:r>
    </w:p>
    <w:p w:rsidR="00CE4016" w:rsidRDefault="00E07737">
      <w:pPr>
        <w:pStyle w:val="Akapitzlist"/>
        <w:numPr>
          <w:ilvl w:val="0"/>
          <w:numId w:val="4"/>
        </w:numPr>
        <w:spacing w:after="160" w:line="252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związanych z utylizacją dokumentacji oraz innych nośników zawierających dane osobowe,</w:t>
      </w:r>
    </w:p>
    <w:p w:rsidR="00CE4016" w:rsidRDefault="00E07737">
      <w:pPr>
        <w:pStyle w:val="Akapitzlist"/>
        <w:numPr>
          <w:ilvl w:val="0"/>
          <w:numId w:val="3"/>
        </w:numPr>
        <w:spacing w:after="160" w:line="252" w:lineRule="auto"/>
        <w:ind w:left="227" w:hanging="227"/>
        <w:jc w:val="both"/>
      </w:pPr>
      <w:r>
        <w:rPr>
          <w:sz w:val="20"/>
          <w:szCs w:val="20"/>
        </w:rPr>
        <w:t>osobom upoważnionym przez Administratora Danych, w tym naszym pracownikom i współpracownikom, którzy muszą mieć dostęp do danych, aby wykonywać swoje obowiązki,</w:t>
      </w:r>
    </w:p>
    <w:p w:rsidR="00CE4016" w:rsidRDefault="00E07737">
      <w:pPr>
        <w:pStyle w:val="Akapitzlist"/>
        <w:numPr>
          <w:ilvl w:val="0"/>
          <w:numId w:val="3"/>
        </w:numPr>
        <w:spacing w:after="160" w:line="252" w:lineRule="auto"/>
        <w:ind w:left="709" w:hanging="709"/>
        <w:jc w:val="both"/>
      </w:pPr>
      <w:r>
        <w:rPr>
          <w:sz w:val="20"/>
          <w:szCs w:val="20"/>
        </w:rPr>
        <w:t>osobom i/lub podmiotom przez Panią/Pana upoważnionym,</w:t>
      </w:r>
    </w:p>
    <w:p w:rsidR="00CE4016" w:rsidRDefault="00E07737">
      <w:pPr>
        <w:pStyle w:val="Akapitzlist"/>
        <w:numPr>
          <w:ilvl w:val="0"/>
          <w:numId w:val="3"/>
        </w:numPr>
        <w:spacing w:after="160" w:line="252" w:lineRule="auto"/>
        <w:ind w:left="709" w:hanging="709"/>
        <w:jc w:val="both"/>
      </w:pPr>
      <w:r>
        <w:rPr>
          <w:sz w:val="20"/>
          <w:szCs w:val="20"/>
        </w:rPr>
        <w:t>innym osobom i/lub podmiotom na podstawie obowiązujących przepisów prawa.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>Pani/Pana dane osobowe będą przetwarzana przez okres niezbędny do realizacji odpowiedniego celu przetwarzania wskazanego w pkt 3, w tym również obowiązku archiwizacyjnego wynikającego z przepisów prawa. Po upływie wyżej wymienionych okresów Pani/Pana dane są usuwane lub poddawane anonimizacji.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sz w:val="20"/>
          <w:szCs w:val="20"/>
        </w:rPr>
        <w:t>Pani/Pana dane osobowe nie będą przekazywane do państwa trzeciego ani organizacji międzynarodowej.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color w:val="000000"/>
          <w:sz w:val="20"/>
          <w:szCs w:val="20"/>
        </w:rPr>
        <w:t>Przysługuje Pani/Panu prawo dostępu do treści swoich danych, ich sprostowania, żądania ich usunięcia lub ograniczenia ich przetwarzania. Może Pani/Pan skorzystać z uprawnienia do wniesienia sprzeciwu wobec ich przetwarzania oraz prawa do przenoszenia danych do innego administratora danych.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bCs/>
          <w:sz w:val="20"/>
          <w:szCs w:val="20"/>
        </w:rPr>
        <w:t>Posiada Pani/Pan prawo wniesienia skargi do organu nadzorczego tj. Prezesa Urzędu Ochrony Danych Osobowych, gdy uzna Pani/Pan, iż przetwarzanie  Pani/Pana danych osobowych  narusza przepisy RODO</w:t>
      </w:r>
    </w:p>
    <w:p w:rsidR="00CE4016" w:rsidRDefault="00E07737">
      <w:pPr>
        <w:pStyle w:val="Akapitzlist"/>
        <w:numPr>
          <w:ilvl w:val="0"/>
          <w:numId w:val="1"/>
        </w:numPr>
        <w:spacing w:after="120" w:line="252" w:lineRule="auto"/>
        <w:ind w:left="284" w:hanging="284"/>
        <w:jc w:val="both"/>
      </w:pPr>
      <w:r>
        <w:rPr>
          <w:bCs/>
          <w:sz w:val="20"/>
          <w:szCs w:val="20"/>
        </w:rPr>
        <w:t>Pani/Pana dane osobowe nie podlegają zautomatyzowanemu podejmowaniu decyzji, w tym profilowaniu.</w:t>
      </w:r>
    </w:p>
    <w:p w:rsidR="00CE4016" w:rsidRDefault="00CE4016">
      <w:pPr>
        <w:pStyle w:val="Akapitzlist"/>
        <w:spacing w:after="120" w:line="252" w:lineRule="auto"/>
        <w:ind w:left="284" w:hanging="284"/>
        <w:jc w:val="both"/>
        <w:rPr>
          <w:bCs/>
          <w:sz w:val="20"/>
          <w:szCs w:val="20"/>
        </w:rPr>
      </w:pPr>
    </w:p>
    <w:p w:rsidR="00993185" w:rsidRDefault="00993185">
      <w:pPr>
        <w:pStyle w:val="Akapitzlist"/>
        <w:spacing w:after="120" w:line="252" w:lineRule="auto"/>
        <w:ind w:left="284" w:hanging="284"/>
        <w:jc w:val="both"/>
        <w:rPr>
          <w:bCs/>
          <w:sz w:val="20"/>
          <w:szCs w:val="20"/>
        </w:rPr>
      </w:pPr>
    </w:p>
    <w:p w:rsidR="00993185" w:rsidRDefault="00993185">
      <w:pPr>
        <w:pStyle w:val="Akapitzlist"/>
        <w:spacing w:after="120" w:line="252" w:lineRule="auto"/>
        <w:ind w:left="284" w:hanging="284"/>
        <w:jc w:val="both"/>
        <w:rPr>
          <w:bCs/>
          <w:sz w:val="20"/>
          <w:szCs w:val="20"/>
        </w:rPr>
      </w:pPr>
    </w:p>
    <w:p w:rsidR="00993185" w:rsidRDefault="00993185">
      <w:pPr>
        <w:pStyle w:val="Tekstpodstawowy"/>
        <w:spacing w:after="120" w:line="252" w:lineRule="auto"/>
        <w:ind w:left="284" w:hanging="284"/>
        <w:contextualSpacing/>
      </w:pPr>
    </w:p>
    <w:p w:rsidR="00993185" w:rsidRDefault="00993185">
      <w:pPr>
        <w:pStyle w:val="Tekstpodstawowy"/>
        <w:spacing w:after="120" w:line="252" w:lineRule="auto"/>
        <w:ind w:left="284" w:hanging="284"/>
        <w:contextualSpacing/>
      </w:pPr>
      <w:r>
        <w:t>………………..……………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993185" w:rsidRDefault="00993185">
      <w:pPr>
        <w:pStyle w:val="Tekstpodstawowy"/>
        <w:spacing w:after="120" w:line="252" w:lineRule="auto"/>
        <w:ind w:left="284" w:hanging="284"/>
        <w:contextualSpacing/>
      </w:pPr>
    </w:p>
    <w:p w:rsidR="00CE4016" w:rsidRPr="00993185" w:rsidRDefault="00993185">
      <w:pPr>
        <w:pStyle w:val="Tekstpodstawowy"/>
        <w:spacing w:after="120" w:line="252" w:lineRule="auto"/>
        <w:ind w:left="284" w:hanging="284"/>
        <w:contextualSpacing/>
        <w:rPr>
          <w:sz w:val="22"/>
        </w:rPr>
      </w:pPr>
      <w:r>
        <w:rPr>
          <w:sz w:val="22"/>
        </w:rPr>
        <w:t xml:space="preserve">    </w:t>
      </w:r>
      <w:r w:rsidRPr="00993185">
        <w:rPr>
          <w:sz w:val="22"/>
        </w:rPr>
        <w:t>Miejscowość, data</w:t>
      </w:r>
      <w:r w:rsidRPr="00993185">
        <w:rPr>
          <w:sz w:val="22"/>
        </w:rPr>
        <w:tab/>
      </w:r>
      <w:r w:rsidRPr="00993185">
        <w:rPr>
          <w:sz w:val="22"/>
        </w:rPr>
        <w:tab/>
      </w:r>
      <w:r w:rsidRPr="00993185">
        <w:rPr>
          <w:sz w:val="22"/>
        </w:rPr>
        <w:tab/>
      </w:r>
      <w:r w:rsidRPr="00993185">
        <w:rPr>
          <w:sz w:val="22"/>
        </w:rPr>
        <w:tab/>
      </w:r>
      <w:r w:rsidRPr="00993185">
        <w:rPr>
          <w:sz w:val="22"/>
        </w:rPr>
        <w:tab/>
      </w:r>
      <w:r w:rsidRPr="00993185">
        <w:rPr>
          <w:sz w:val="22"/>
        </w:rPr>
        <w:tab/>
      </w:r>
      <w:r>
        <w:rPr>
          <w:sz w:val="22"/>
        </w:rPr>
        <w:t xml:space="preserve">    </w:t>
      </w:r>
      <w:r w:rsidRPr="00993185">
        <w:rPr>
          <w:sz w:val="22"/>
        </w:rPr>
        <w:t>Czytelny podpis producenta rolnego</w:t>
      </w:r>
    </w:p>
    <w:sectPr w:rsidR="00CE4016" w:rsidRPr="00993185" w:rsidSect="00A34F05">
      <w:pgSz w:w="11906" w:h="16838"/>
      <w:pgMar w:top="1134" w:right="1137" w:bottom="1134" w:left="142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4B"/>
    <w:multiLevelType w:val="multilevel"/>
    <w:tmpl w:val="926CBBF2"/>
    <w:lvl w:ilvl="0">
      <w:start w:val="1"/>
      <w:numFmt w:val="lowerLetter"/>
      <w:suff w:val="space"/>
      <w:lvlText w:val="%1)"/>
      <w:lvlJc w:val="left"/>
      <w:pPr>
        <w:ind w:left="1788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934C8E"/>
    <w:multiLevelType w:val="multilevel"/>
    <w:tmpl w:val="76FAC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DF2099"/>
    <w:multiLevelType w:val="multilevel"/>
    <w:tmpl w:val="922C36A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741AFD"/>
    <w:multiLevelType w:val="multilevel"/>
    <w:tmpl w:val="30906AFA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447688"/>
    <w:multiLevelType w:val="multilevel"/>
    <w:tmpl w:val="193EE8F4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16"/>
    <w:rsid w:val="0007736E"/>
    <w:rsid w:val="001C40D9"/>
    <w:rsid w:val="006E3E56"/>
    <w:rsid w:val="00993185"/>
    <w:rsid w:val="00A34F05"/>
    <w:rsid w:val="00B56226"/>
    <w:rsid w:val="00CE4016"/>
    <w:rsid w:val="00DD61FC"/>
    <w:rsid w:val="00E07737"/>
    <w:rsid w:val="00E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677A-029B-4178-9777-EDEA1ED7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2z0">
    <w:name w:val="WW8Num52z0"/>
    <w:qFormat/>
    <w:rPr>
      <w:b w:val="0"/>
      <w:color w:val="000000"/>
      <w:sz w:val="20"/>
      <w:szCs w:val="2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81z0">
    <w:name w:val="WW8Num81z0"/>
    <w:qFormat/>
    <w:rPr>
      <w:rFonts w:cs="Times New Roman"/>
    </w:rPr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54z0">
    <w:name w:val="WW8Num54z0"/>
    <w:qFormat/>
    <w:rPr>
      <w:rFonts w:cs="Times New Roman"/>
      <w:sz w:val="20"/>
      <w:szCs w:val="2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84z0">
    <w:name w:val="WW8Num84z0"/>
    <w:qFormat/>
    <w:rPr>
      <w:rFonts w:ascii="Symbol" w:hAnsi="Symbol" w:cs="Symbol"/>
      <w:sz w:val="20"/>
      <w:szCs w:val="20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b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Times New Roman"/>
      <w:sz w:val="20"/>
      <w:szCs w:val="20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b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sz w:val="20"/>
    </w:rPr>
  </w:style>
  <w:style w:type="character" w:customStyle="1" w:styleId="ListLabel7">
    <w:name w:val="ListLabel 7"/>
    <w:qFormat/>
    <w:rPr>
      <w:rFonts w:cs="Times New Roman"/>
      <w:sz w:val="20"/>
      <w:szCs w:val="20"/>
    </w:rPr>
  </w:style>
  <w:style w:type="character" w:customStyle="1" w:styleId="ListLabel8">
    <w:name w:val="ListLabel 8"/>
    <w:qFormat/>
    <w:rPr>
      <w:rFonts w:cs="Symbol"/>
      <w:sz w:val="20"/>
      <w:szCs w:val="20"/>
    </w:rPr>
  </w:style>
  <w:style w:type="character" w:customStyle="1" w:styleId="ListLabel9">
    <w:name w:val="ListLabel 9"/>
    <w:qFormat/>
    <w:rPr>
      <w:b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Times New Roman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</w:rPr>
  </w:style>
  <w:style w:type="numbering" w:customStyle="1" w:styleId="WW8Num52">
    <w:name w:val="WW8Num52"/>
    <w:qFormat/>
  </w:style>
  <w:style w:type="numbering" w:customStyle="1" w:styleId="WW8Num81">
    <w:name w:val="WW8Num81"/>
    <w:qFormat/>
  </w:style>
  <w:style w:type="numbering" w:customStyle="1" w:styleId="WW8Num54">
    <w:name w:val="WW8Num54"/>
    <w:qFormat/>
  </w:style>
  <w:style w:type="numbering" w:customStyle="1" w:styleId="WW8Num84">
    <w:name w:val="WW8Num84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73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6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Magdalena Szkop</cp:lastModifiedBy>
  <cp:revision>4</cp:revision>
  <cp:lastPrinted>2019-01-11T12:54:00Z</cp:lastPrinted>
  <dcterms:created xsi:type="dcterms:W3CDTF">2019-01-11T12:37:00Z</dcterms:created>
  <dcterms:modified xsi:type="dcterms:W3CDTF">2019-01-11T12:58:00Z</dcterms:modified>
  <dc:language>pl-PL</dc:language>
</cp:coreProperties>
</file>